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246380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1"/>
        <w:spacing w:after="0"/>
        <w:rPr>
          <w:sz w:val="20"/>
          <w:szCs w:val="20"/>
          <w:color w:val="auto"/>
        </w:rPr>
      </w:pPr>
      <w:r>
        <w:rPr>
          <w:rFonts w:ascii="Arial" w:cs="Arial" w:eastAsia="Arial" w:hAnsi="Arial"/>
          <w:sz w:val="14"/>
          <w:szCs w:val="14"/>
          <w:b w:val="1"/>
          <w:bCs w:val="1"/>
          <w:color w:val="auto"/>
        </w:rPr>
        <w:t>(Mark One)</w:t>
      </w:r>
    </w:p>
    <w:p>
      <w:pPr>
        <w:spacing w:after="0" w:line="126" w:lineRule="exact"/>
        <w:rPr>
          <w:sz w:val="24"/>
          <w:szCs w:val="24"/>
          <w:color w:val="auto"/>
        </w:rPr>
      </w:pPr>
    </w:p>
    <w:p>
      <w:pPr>
        <w:ind w:left="461" w:hanging="461"/>
        <w:spacing w:after="0"/>
        <w:tabs>
          <w:tab w:leader="none" w:pos="46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461" w:hanging="461"/>
        <w:spacing w:after="0"/>
        <w:tabs>
          <w:tab w:leader="none" w:pos="461"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12" w:lineRule="exact"/>
        <w:rPr>
          <w:sz w:val="24"/>
          <w:szCs w:val="24"/>
          <w:color w:val="auto"/>
        </w:rPr>
      </w:pPr>
    </w:p>
    <w:p>
      <w:pPr>
        <w:ind w:left="2981"/>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001-39712</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OLEMA PHARMACEUTICALS, INC.</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05" w:lineRule="exact"/>
        <w:rPr>
          <w:sz w:val="24"/>
          <w:szCs w:val="24"/>
          <w:color w:val="auto"/>
        </w:rPr>
      </w:pPr>
    </w:p>
    <w:tbl>
      <w:tblPr>
        <w:tblLayout w:type="fixed"/>
        <w:tblInd w:w="1381" w:type="dxa"/>
        <w:tblCellMar>
          <w:top w:w="0" w:type="dxa"/>
          <w:left w:w="0" w:type="dxa"/>
          <w:bottom w:w="0" w:type="dxa"/>
          <w:right w:w="0" w:type="dxa"/>
        </w:tblCellMar>
      </w:tblPr>
      <w:tr>
        <w:trPr>
          <w:trHeight w:val="207"/>
        </w:trPr>
        <w:tc>
          <w:tcPr>
            <w:tcW w:w="4040" w:type="dxa"/>
            <w:vAlign w:val="bottom"/>
          </w:tcPr>
          <w:p>
            <w:pPr>
              <w:jc w:val="center"/>
              <w:ind w:right="1625"/>
              <w:spacing w:after="0"/>
              <w:rPr>
                <w:sz w:val="20"/>
                <w:szCs w:val="20"/>
                <w:color w:val="auto"/>
              </w:rPr>
            </w:pPr>
            <w:r>
              <w:rPr>
                <w:rFonts w:ascii="Arial" w:cs="Arial" w:eastAsia="Arial" w:hAnsi="Arial"/>
                <w:sz w:val="18"/>
                <w:szCs w:val="18"/>
                <w:b w:val="1"/>
                <w:bCs w:val="1"/>
                <w:color w:val="auto"/>
                <w:w w:val="98"/>
              </w:rPr>
              <w:t>Delaware</w:t>
            </w:r>
          </w:p>
        </w:tc>
        <w:tc>
          <w:tcPr>
            <w:tcW w:w="2760" w:type="dxa"/>
            <w:vAlign w:val="bottom"/>
          </w:tcPr>
          <w:p>
            <w:pPr>
              <w:jc w:val="right"/>
              <w:spacing w:after="0"/>
              <w:rPr>
                <w:sz w:val="20"/>
                <w:szCs w:val="20"/>
                <w:color w:val="auto"/>
              </w:rPr>
            </w:pPr>
            <w:r>
              <w:rPr>
                <w:rFonts w:ascii="Arial" w:cs="Arial" w:eastAsia="Arial" w:hAnsi="Arial"/>
                <w:sz w:val="18"/>
                <w:szCs w:val="18"/>
                <w:b w:val="1"/>
                <w:bCs w:val="1"/>
                <w:color w:val="auto"/>
              </w:rPr>
              <w:t>30-0409740</w:t>
            </w:r>
          </w:p>
        </w:tc>
      </w:tr>
      <w:tr>
        <w:trPr>
          <w:trHeight w:val="135"/>
        </w:trPr>
        <w:tc>
          <w:tcPr>
            <w:tcW w:w="4040" w:type="dxa"/>
            <w:vAlign w:val="bottom"/>
          </w:tcPr>
          <w:p>
            <w:pPr>
              <w:jc w:val="center"/>
              <w:ind w:right="1625"/>
              <w:spacing w:after="0" w:line="135" w:lineRule="exact"/>
              <w:rPr>
                <w:sz w:val="20"/>
                <w:szCs w:val="20"/>
                <w:color w:val="auto"/>
              </w:rPr>
            </w:pPr>
            <w:r>
              <w:rPr>
                <w:rFonts w:ascii="Arial" w:cs="Arial" w:eastAsia="Arial" w:hAnsi="Arial"/>
                <w:sz w:val="13"/>
                <w:szCs w:val="13"/>
                <w:b w:val="1"/>
                <w:bCs w:val="1"/>
                <w:color w:val="auto"/>
                <w:w w:val="97"/>
              </w:rPr>
              <w:t>(State or other jurisdiction of</w:t>
            </w:r>
          </w:p>
        </w:tc>
        <w:tc>
          <w:tcPr>
            <w:tcW w:w="2760" w:type="dxa"/>
            <w:vAlign w:val="bottom"/>
          </w:tcPr>
          <w:p>
            <w:pPr>
              <w:jc w:val="center"/>
              <w:ind w:left="1646"/>
              <w:spacing w:after="0" w:line="135" w:lineRule="exact"/>
              <w:rPr>
                <w:sz w:val="20"/>
                <w:szCs w:val="20"/>
                <w:color w:val="auto"/>
              </w:rPr>
            </w:pPr>
            <w:r>
              <w:rPr>
                <w:rFonts w:ascii="Arial" w:cs="Arial" w:eastAsia="Arial" w:hAnsi="Arial"/>
                <w:sz w:val="13"/>
                <w:szCs w:val="13"/>
                <w:b w:val="1"/>
                <w:bCs w:val="1"/>
                <w:color w:val="auto"/>
                <w:w w:val="96"/>
              </w:rPr>
              <w:t>(I.R.S. Employer</w:t>
            </w:r>
          </w:p>
        </w:tc>
      </w:tr>
      <w:tr>
        <w:trPr>
          <w:trHeight w:val="130"/>
        </w:trPr>
        <w:tc>
          <w:tcPr>
            <w:tcW w:w="4040" w:type="dxa"/>
            <w:vAlign w:val="bottom"/>
          </w:tcPr>
          <w:p>
            <w:pPr>
              <w:jc w:val="center"/>
              <w:ind w:right="1645"/>
              <w:spacing w:after="0" w:line="130" w:lineRule="exact"/>
              <w:rPr>
                <w:sz w:val="20"/>
                <w:szCs w:val="20"/>
                <w:color w:val="auto"/>
              </w:rPr>
            </w:pPr>
            <w:r>
              <w:rPr>
                <w:rFonts w:ascii="Arial" w:cs="Arial" w:eastAsia="Arial" w:hAnsi="Arial"/>
                <w:sz w:val="13"/>
                <w:szCs w:val="13"/>
                <w:b w:val="1"/>
                <w:bCs w:val="1"/>
                <w:color w:val="auto"/>
                <w:w w:val="96"/>
              </w:rPr>
              <w:t>incorporation or organization)</w:t>
            </w:r>
          </w:p>
        </w:tc>
        <w:tc>
          <w:tcPr>
            <w:tcW w:w="2760" w:type="dxa"/>
            <w:vAlign w:val="bottom"/>
          </w:tcPr>
          <w:p>
            <w:pPr>
              <w:jc w:val="center"/>
              <w:ind w:left="1626"/>
              <w:spacing w:after="0" w:line="130" w:lineRule="exact"/>
              <w:rPr>
                <w:sz w:val="20"/>
                <w:szCs w:val="20"/>
                <w:color w:val="auto"/>
              </w:rPr>
            </w:pPr>
            <w:r>
              <w:rPr>
                <w:rFonts w:ascii="Arial" w:cs="Arial" w:eastAsia="Arial" w:hAnsi="Arial"/>
                <w:sz w:val="13"/>
                <w:szCs w:val="13"/>
                <w:b w:val="1"/>
                <w:bCs w:val="1"/>
                <w:color w:val="auto"/>
                <w:w w:val="96"/>
              </w:rPr>
              <w:t>Identification No.)</w:t>
            </w:r>
          </w:p>
        </w:tc>
      </w:tr>
      <w:tr>
        <w:trPr>
          <w:trHeight w:val="207"/>
        </w:trPr>
        <w:tc>
          <w:tcPr>
            <w:tcW w:w="4040" w:type="dxa"/>
            <w:vAlign w:val="bottom"/>
          </w:tcPr>
          <w:p>
            <w:pPr>
              <w:jc w:val="center"/>
              <w:ind w:right="1645"/>
              <w:spacing w:after="0" w:line="207" w:lineRule="exact"/>
              <w:rPr>
                <w:sz w:val="20"/>
                <w:szCs w:val="20"/>
                <w:color w:val="auto"/>
              </w:rPr>
            </w:pPr>
            <w:r>
              <w:rPr>
                <w:rFonts w:ascii="Arial" w:cs="Arial" w:eastAsia="Arial" w:hAnsi="Arial"/>
                <w:sz w:val="16"/>
                <w:szCs w:val="16"/>
                <w:b w:val="1"/>
                <w:bCs w:val="1"/>
                <w:color w:val="auto"/>
              </w:rPr>
              <w:t>512 2</w:t>
            </w:r>
            <w:r>
              <w:rPr>
                <w:rFonts w:ascii="Arial" w:cs="Arial" w:eastAsia="Arial" w:hAnsi="Arial"/>
                <w:sz w:val="23"/>
                <w:szCs w:val="23"/>
                <w:b w:val="1"/>
                <w:bCs w:val="1"/>
                <w:color w:val="auto"/>
                <w:vertAlign w:val="superscript"/>
              </w:rPr>
              <w:t>nd</w:t>
            </w:r>
            <w:r>
              <w:rPr>
                <w:rFonts w:ascii="Arial" w:cs="Arial" w:eastAsia="Arial" w:hAnsi="Arial"/>
                <w:sz w:val="16"/>
                <w:szCs w:val="16"/>
                <w:b w:val="1"/>
                <w:bCs w:val="1"/>
                <w:color w:val="auto"/>
              </w:rPr>
              <w:t xml:space="preserve"> Street, 4</w:t>
            </w:r>
            <w:r>
              <w:rPr>
                <w:rFonts w:ascii="Arial" w:cs="Arial" w:eastAsia="Arial" w:hAnsi="Arial"/>
                <w:sz w:val="23"/>
                <w:szCs w:val="23"/>
                <w:b w:val="1"/>
                <w:bCs w:val="1"/>
                <w:color w:val="auto"/>
                <w:vertAlign w:val="superscript"/>
              </w:rPr>
              <w:t>th</w:t>
            </w:r>
            <w:r>
              <w:rPr>
                <w:rFonts w:ascii="Arial" w:cs="Arial" w:eastAsia="Arial" w:hAnsi="Arial"/>
                <w:sz w:val="16"/>
                <w:szCs w:val="16"/>
                <w:b w:val="1"/>
                <w:bCs w:val="1"/>
                <w:color w:val="auto"/>
              </w:rPr>
              <w:t xml:space="preserve"> Floor</w:t>
            </w:r>
          </w:p>
        </w:tc>
        <w:tc>
          <w:tcPr>
            <w:tcW w:w="2760" w:type="dxa"/>
            <w:vAlign w:val="bottom"/>
          </w:tcPr>
          <w:p>
            <w:pPr>
              <w:spacing w:after="0"/>
              <w:rPr>
                <w:sz w:val="17"/>
                <w:szCs w:val="17"/>
                <w:color w:val="auto"/>
              </w:rPr>
            </w:pPr>
          </w:p>
        </w:tc>
      </w:tr>
      <w:tr>
        <w:trPr>
          <w:trHeight w:val="203"/>
        </w:trPr>
        <w:tc>
          <w:tcPr>
            <w:tcW w:w="4040" w:type="dxa"/>
            <w:vAlign w:val="bottom"/>
          </w:tcPr>
          <w:p>
            <w:pPr>
              <w:jc w:val="center"/>
              <w:ind w:right="1625"/>
              <w:spacing w:after="0" w:line="203" w:lineRule="exact"/>
              <w:rPr>
                <w:sz w:val="20"/>
                <w:szCs w:val="20"/>
                <w:color w:val="auto"/>
              </w:rPr>
            </w:pPr>
            <w:r>
              <w:rPr>
                <w:rFonts w:ascii="Arial" w:cs="Arial" w:eastAsia="Arial" w:hAnsi="Arial"/>
                <w:sz w:val="18"/>
                <w:szCs w:val="18"/>
                <w:b w:val="1"/>
                <w:bCs w:val="1"/>
                <w:color w:val="auto"/>
                <w:w w:val="99"/>
              </w:rPr>
              <w:t>San Francisco, CA</w:t>
            </w:r>
          </w:p>
        </w:tc>
        <w:tc>
          <w:tcPr>
            <w:tcW w:w="2760" w:type="dxa"/>
            <w:vAlign w:val="bottom"/>
          </w:tcPr>
          <w:p>
            <w:pPr>
              <w:jc w:val="right"/>
              <w:ind w:right="206"/>
              <w:spacing w:after="0" w:line="203" w:lineRule="exact"/>
              <w:rPr>
                <w:sz w:val="20"/>
                <w:szCs w:val="20"/>
                <w:color w:val="auto"/>
              </w:rPr>
            </w:pPr>
            <w:r>
              <w:rPr>
                <w:rFonts w:ascii="Arial" w:cs="Arial" w:eastAsia="Arial" w:hAnsi="Arial"/>
                <w:sz w:val="18"/>
                <w:szCs w:val="18"/>
                <w:b w:val="1"/>
                <w:bCs w:val="1"/>
                <w:color w:val="auto"/>
              </w:rPr>
              <w:t>94107</w:t>
            </w:r>
          </w:p>
        </w:tc>
      </w:tr>
      <w:tr>
        <w:trPr>
          <w:trHeight w:val="168"/>
        </w:trPr>
        <w:tc>
          <w:tcPr>
            <w:tcW w:w="4040" w:type="dxa"/>
            <w:vAlign w:val="bottom"/>
          </w:tcPr>
          <w:p>
            <w:pPr>
              <w:jc w:val="center"/>
              <w:ind w:right="1625"/>
              <w:spacing w:after="0"/>
              <w:rPr>
                <w:sz w:val="20"/>
                <w:szCs w:val="20"/>
                <w:color w:val="auto"/>
              </w:rPr>
            </w:pPr>
            <w:r>
              <w:rPr>
                <w:rFonts w:ascii="Arial" w:cs="Arial" w:eastAsia="Arial" w:hAnsi="Arial"/>
                <w:sz w:val="13"/>
                <w:szCs w:val="13"/>
                <w:b w:val="1"/>
                <w:bCs w:val="1"/>
                <w:color w:val="auto"/>
                <w:w w:val="96"/>
              </w:rPr>
              <w:t>(Address of principal executive offices)</w:t>
            </w:r>
          </w:p>
        </w:tc>
        <w:tc>
          <w:tcPr>
            <w:tcW w:w="2760" w:type="dxa"/>
            <w:vAlign w:val="bottom"/>
          </w:tcPr>
          <w:p>
            <w:pPr>
              <w:jc w:val="center"/>
              <w:ind w:left="1626"/>
              <w:spacing w:after="0"/>
              <w:rPr>
                <w:sz w:val="20"/>
                <w:szCs w:val="20"/>
                <w:color w:val="auto"/>
              </w:rPr>
            </w:pPr>
            <w:r>
              <w:rPr>
                <w:rFonts w:ascii="Arial" w:cs="Arial" w:eastAsia="Arial" w:hAnsi="Arial"/>
                <w:sz w:val="13"/>
                <w:szCs w:val="13"/>
                <w:b w:val="1"/>
                <w:bCs w:val="1"/>
                <w:color w:val="auto"/>
                <w:w w:val="96"/>
              </w:rPr>
              <w:t>(Zip Code)</w:t>
            </w:r>
          </w:p>
        </w:tc>
      </w:tr>
    </w:tbl>
    <w:p>
      <w:pPr>
        <w:spacing w:after="0" w:line="169" w:lineRule="exact"/>
        <w:rPr>
          <w:sz w:val="24"/>
          <w:szCs w:val="24"/>
          <w:color w:val="auto"/>
        </w:rPr>
      </w:pPr>
    </w:p>
    <w:p>
      <w:pPr>
        <w:ind w:left="2221"/>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155" w:lineRule="exact"/>
        <w:rPr>
          <w:sz w:val="24"/>
          <w:szCs w:val="24"/>
          <w:color w:val="auto"/>
        </w:rPr>
      </w:pPr>
    </w:p>
    <w:p>
      <w:pPr>
        <w:ind w:left="1"/>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8" w:lineRule="exact"/>
        <w:rPr>
          <w:sz w:val="24"/>
          <w:szCs w:val="24"/>
          <w:color w:val="auto"/>
        </w:rPr>
      </w:pPr>
    </w:p>
    <w:tbl>
      <w:tblPr>
        <w:tblLayout w:type="fixed"/>
        <w:tblInd w:w="11" w:type="dxa"/>
        <w:tblCellMar>
          <w:top w:w="0" w:type="dxa"/>
          <w:left w:w="0" w:type="dxa"/>
          <w:bottom w:w="0" w:type="dxa"/>
          <w:right w:w="0" w:type="dxa"/>
        </w:tblCellMar>
      </w:tblPr>
      <w:tr>
        <w:trPr>
          <w:trHeight w:val="203"/>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 of Securities Registered</w:t>
            </w:r>
          </w:p>
        </w:tc>
        <w:tc>
          <w:tcPr>
            <w:tcW w:w="1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Trading Symbol</w:t>
            </w:r>
          </w:p>
        </w:tc>
        <w:tc>
          <w:tcPr>
            <w:tcW w:w="51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rPr>
              <w:t>Name of Each Exchange on which Securities are Registered</w:t>
            </w:r>
          </w:p>
        </w:tc>
      </w:tr>
      <w:tr>
        <w:trPr>
          <w:trHeight w:val="183"/>
        </w:trPr>
        <w:tc>
          <w:tcPr>
            <w:tcW w:w="3740" w:type="dxa"/>
            <w:vAlign w:val="bottom"/>
            <w:tcBorders>
              <w:left w:val="single" w:sz="8" w:color="auto"/>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Common Stock, par value $0.0001 per share</w:t>
            </w:r>
          </w:p>
        </w:tc>
        <w:tc>
          <w:tcPr>
            <w:tcW w:w="136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OLMA</w:t>
            </w:r>
          </w:p>
        </w:tc>
        <w:tc>
          <w:tcPr>
            <w:tcW w:w="5140" w:type="dxa"/>
            <w:vAlign w:val="bottom"/>
            <w:tcBorders>
              <w:bottom w:val="single" w:sz="8" w:color="auto"/>
              <w:right w:val="single" w:sz="8" w:color="auto"/>
            </w:tcBorders>
          </w:tcPr>
          <w:p>
            <w:pPr>
              <w:jc w:val="center"/>
              <w:spacing w:after="0" w:line="183" w:lineRule="exact"/>
              <w:rPr>
                <w:sz w:val="20"/>
                <w:szCs w:val="20"/>
                <w:color w:val="auto"/>
              </w:rPr>
            </w:pPr>
            <w:r>
              <w:rPr>
                <w:rFonts w:ascii="Arial" w:cs="Arial" w:eastAsia="Arial" w:hAnsi="Arial"/>
                <w:sz w:val="16"/>
                <w:szCs w:val="16"/>
                <w:color w:val="auto"/>
              </w:rPr>
              <w:t>The Nasdaq Global Select Market</w:t>
            </w:r>
          </w:p>
        </w:tc>
      </w:tr>
    </w:tbl>
    <w:p>
      <w:pPr>
        <w:spacing w:after="0" w:line="204" w:lineRule="exact"/>
        <w:rPr>
          <w:sz w:val="24"/>
          <w:szCs w:val="24"/>
          <w:color w:val="auto"/>
        </w:rPr>
      </w:pPr>
    </w:p>
    <w:p>
      <w:pPr>
        <w:jc w:val="both"/>
        <w:ind w:left="1" w:right="20"/>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13" w:lineRule="exact"/>
        <w:rPr>
          <w:sz w:val="24"/>
          <w:szCs w:val="24"/>
          <w:color w:val="auto"/>
        </w:rPr>
      </w:pPr>
    </w:p>
    <w:p>
      <w:pPr>
        <w:jc w:val="both"/>
        <w:ind w:left="1" w:right="40"/>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7" w:lineRule="exact"/>
        <w:rPr>
          <w:sz w:val="24"/>
          <w:szCs w:val="24"/>
          <w:color w:val="auto"/>
        </w:rPr>
      </w:pPr>
    </w:p>
    <w:p>
      <w:pPr>
        <w:jc w:val="both"/>
        <w:ind w:left="1" w:right="20"/>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78" w:lineRule="exact"/>
        <w:rPr>
          <w:sz w:val="24"/>
          <w:szCs w:val="24"/>
          <w:color w:val="auto"/>
        </w:rPr>
      </w:pPr>
    </w:p>
    <w:tbl>
      <w:tblPr>
        <w:tblLayout w:type="fixed"/>
        <w:tblInd w:w="1" w:type="dxa"/>
        <w:tblCellMar>
          <w:top w:w="0" w:type="dxa"/>
          <w:left w:w="0" w:type="dxa"/>
          <w:bottom w:w="0" w:type="dxa"/>
          <w:right w:w="0" w:type="dxa"/>
        </w:tblCellMar>
      </w:tblPr>
      <w:tr>
        <w:trPr>
          <w:trHeight w:val="202"/>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Accelerated filer</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ind w:left="2840"/>
              <w:spacing w:after="0"/>
              <w:rPr>
                <w:sz w:val="20"/>
                <w:szCs w:val="20"/>
                <w:color w:val="auto"/>
              </w:rPr>
            </w:pPr>
            <w:r>
              <w:rPr>
                <w:rFonts w:ascii="Arial" w:cs="Arial" w:eastAsia="Arial" w:hAnsi="Arial"/>
                <w:sz w:val="16"/>
                <w:szCs w:val="16"/>
                <w:color w:val="auto"/>
              </w:rPr>
              <w:t>Smaller reporting company</w:t>
            </w:r>
          </w:p>
        </w:tc>
        <w:tc>
          <w:tcPr>
            <w:tcW w:w="200" w:type="dxa"/>
            <w:vAlign w:val="bottom"/>
          </w:tcPr>
          <w:p>
            <w:pPr>
              <w:ind w:left="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40" w:type="dxa"/>
            <w:vAlign w:val="bottom"/>
          </w:tcPr>
          <w:p>
            <w:pPr>
              <w:ind w:left="60"/>
              <w:spacing w:after="0" w:line="161" w:lineRule="exact"/>
              <w:rPr>
                <w:sz w:val="20"/>
                <w:szCs w:val="20"/>
                <w:color w:val="auto"/>
              </w:rPr>
            </w:pPr>
            <w:r>
              <w:rPr>
                <w:rFonts w:ascii="MS PGothic" w:cs="MS PGothic" w:eastAsia="MS PGothic" w:hAnsi="MS PGothic"/>
                <w:sz w:val="16"/>
                <w:szCs w:val="16"/>
                <w:color w:val="auto"/>
              </w:rPr>
              <w:t>☐</w:t>
            </w:r>
          </w:p>
        </w:tc>
        <w:tc>
          <w:tcPr>
            <w:tcW w:w="4840" w:type="dxa"/>
            <w:vAlign w:val="bottom"/>
          </w:tcPr>
          <w:p>
            <w:pPr>
              <w:spacing w:after="0"/>
              <w:rPr>
                <w:sz w:val="22"/>
                <w:szCs w:val="22"/>
                <w:color w:val="auto"/>
              </w:rPr>
            </w:pPr>
          </w:p>
        </w:tc>
        <w:tc>
          <w:tcPr>
            <w:tcW w:w="200" w:type="dxa"/>
            <w:vAlign w:val="bottom"/>
          </w:tcPr>
          <w:p>
            <w:pPr>
              <w:spacing w:after="0"/>
              <w:rPr>
                <w:sz w:val="22"/>
                <w:szCs w:val="22"/>
                <w:color w:val="auto"/>
              </w:rPr>
            </w:pPr>
          </w:p>
        </w:tc>
      </w:tr>
    </w:tbl>
    <w:p>
      <w:pPr>
        <w:spacing w:after="0" w:line="192" w:lineRule="exact"/>
        <w:rPr>
          <w:sz w:val="24"/>
          <w:szCs w:val="24"/>
          <w:color w:val="auto"/>
        </w:rPr>
      </w:pPr>
    </w:p>
    <w:p>
      <w:pPr>
        <w:ind w:left="1" w:right="20"/>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1" w:lineRule="exact"/>
        <w:rPr>
          <w:sz w:val="24"/>
          <w:szCs w:val="24"/>
          <w:color w:val="auto"/>
        </w:rPr>
      </w:pPr>
    </w:p>
    <w:p>
      <w:pPr>
        <w:ind w:left="1" w:right="120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5, 2023, the number of outstanding shares of the Registrant’s common stock was 40,761,714.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-6350</wp:posOffset>
            </wp:positionH>
            <wp:positionV relativeFrom="paragraph">
              <wp:posOffset>466725</wp:posOffset>
            </wp:positionV>
            <wp:extent cx="6497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171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wp:posOffset>
            </wp:positionV>
            <wp:extent cx="64979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38100</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41"/>
          </w:cols>
          <w:pgMar w:left="839" w:top="665" w:right="819"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39"/>
        </w:trPr>
        <w:tc>
          <w:tcPr>
            <w:tcW w:w="1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940" w:type="dxa"/>
            <w:vAlign w:val="bottom"/>
            <w:gridSpan w:val="8"/>
          </w:tcPr>
          <w:p>
            <w:pPr>
              <w:jc w:val="center"/>
              <w:ind w:right="280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9"/>
        </w:trPr>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380" w:type="dxa"/>
            <w:vAlign w:val="bottom"/>
            <w:gridSpan w:val="11"/>
          </w:tcPr>
          <w:p>
            <w:pPr>
              <w:jc w:val="center"/>
              <w:ind w:right="2380"/>
              <w:spacing w:after="0"/>
              <w:rPr>
                <w:sz w:val="20"/>
                <w:szCs w:val="20"/>
                <w:color w:val="auto"/>
              </w:rPr>
            </w:pPr>
            <w:r>
              <w:rPr>
                <w:rFonts w:ascii="Arial" w:cs="Arial" w:eastAsia="Arial" w:hAnsi="Arial"/>
                <w:sz w:val="18"/>
                <w:szCs w:val="18"/>
                <w:b w:val="1"/>
                <w:bCs w:val="1"/>
                <w:color w:val="auto"/>
                <w:w w:val="99"/>
              </w:rPr>
              <w:t>PART I-FINANCIAL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80" w:type="dxa"/>
            <w:vAlign w:val="bottom"/>
            <w:gridSpan w:val="19"/>
          </w:tcPr>
          <w:p>
            <w:pPr>
              <w:spacing w:after="0"/>
              <w:rPr>
                <w:sz w:val="20"/>
                <w:szCs w:val="20"/>
                <w:color w:val="auto"/>
              </w:rPr>
            </w:pPr>
            <w:r>
              <w:rPr>
                <w:rFonts w:ascii="Arial" w:cs="Arial" w:eastAsia="Arial" w:hAnsi="Arial"/>
                <w:sz w:val="18"/>
                <w:szCs w:val="18"/>
                <w:b w:val="1"/>
                <w:bCs w:val="1"/>
                <w:color w:val="auto"/>
              </w:rPr>
              <w:t>Item 1. Financial Statements.</w:t>
            </w:r>
          </w:p>
        </w:tc>
        <w:tc>
          <w:tcPr>
            <w:tcW w:w="520" w:type="dxa"/>
            <w:vAlign w:val="bottom"/>
            <w:vMerge w:val="restart"/>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94"/>
        </w:trPr>
        <w:tc>
          <w:tcPr>
            <w:tcW w:w="8280" w:type="dxa"/>
            <w:vAlign w:val="bottom"/>
            <w:gridSpan w:val="19"/>
            <w:vMerge w:val="restart"/>
          </w:tcPr>
          <w:p>
            <w:pPr>
              <w:spacing w:after="0"/>
              <w:rPr>
                <w:sz w:val="20"/>
                <w:szCs w:val="20"/>
                <w:color w:val="auto"/>
              </w:rPr>
            </w:pPr>
            <w:r>
              <w:rPr>
                <w:rFonts w:ascii="Arial" w:cs="Arial" w:eastAsia="Arial" w:hAnsi="Arial"/>
                <w:sz w:val="18"/>
                <w:szCs w:val="18"/>
                <w:color w:val="0000EE"/>
              </w:rPr>
              <w:t>PART I. FINANCIAL INFORMATION</w:t>
            </w:r>
          </w:p>
        </w:tc>
        <w:tc>
          <w:tcPr>
            <w:tcW w:w="5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280" w:type="dxa"/>
            <w:vAlign w:val="bottom"/>
            <w:gridSpan w:val="19"/>
            <w:vMerge w:val="continue"/>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Item 1. Financial Statements (unaudited)</w:t>
            </w:r>
          </w:p>
        </w:tc>
        <w:tc>
          <w:tcPr>
            <w:tcW w:w="5020" w:type="dxa"/>
            <w:vAlign w:val="bottom"/>
            <w:gridSpan w:val="9"/>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Balance Sheets</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tcBorders>
              <w:bottom w:val="single" w:sz="8" w:color="0000EE"/>
            </w:tcBorders>
            <w:gridSpan w:val="17"/>
          </w:tcPr>
          <w:p>
            <w:pPr>
              <w:spacing w:after="0" w:line="182" w:lineRule="exact"/>
              <w:rPr>
                <w:sz w:val="20"/>
                <w:szCs w:val="20"/>
                <w:color w:val="auto"/>
              </w:rPr>
            </w:pPr>
            <w:r>
              <w:rPr>
                <w:rFonts w:ascii="Arial" w:cs="Arial" w:eastAsia="Arial" w:hAnsi="Arial"/>
                <w:sz w:val="18"/>
                <w:szCs w:val="18"/>
                <w:color w:val="0000EE"/>
                <w:w w:val="99"/>
              </w:rPr>
              <w:t>Condensed Consolidated Statements of Operations and Comprehensive Loss</w:t>
            </w:r>
          </w:p>
        </w:tc>
        <w:tc>
          <w:tcPr>
            <w:tcW w:w="2060" w:type="dxa"/>
            <w:vAlign w:val="bottom"/>
            <w:gridSpan w:val="2"/>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488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Condensed Consolidated Statements of Stockholders’ Equity</w:t>
            </w:r>
          </w:p>
        </w:tc>
        <w:tc>
          <w:tcPr>
            <w:tcW w:w="3400" w:type="dxa"/>
            <w:vAlign w:val="bottom"/>
            <w:gridSpan w:val="6"/>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Condensed Consolidated Statements of Cash Flows</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360" w:type="dxa"/>
            <w:vAlign w:val="bottom"/>
            <w:tcBorders>
              <w:bottom w:val="single" w:sz="8" w:color="0000EE"/>
            </w:tcBorders>
            <w:gridSpan w:val="15"/>
          </w:tcPr>
          <w:p>
            <w:pPr>
              <w:spacing w:after="0" w:line="182" w:lineRule="exact"/>
              <w:rPr>
                <w:sz w:val="20"/>
                <w:szCs w:val="20"/>
                <w:color w:val="auto"/>
              </w:rPr>
            </w:pPr>
            <w:r>
              <w:rPr>
                <w:rFonts w:ascii="Arial" w:cs="Arial" w:eastAsia="Arial" w:hAnsi="Arial"/>
                <w:sz w:val="18"/>
                <w:szCs w:val="18"/>
                <w:color w:val="0000EE"/>
                <w:w w:val="99"/>
              </w:rPr>
              <w:t>Notes to Unaudited Condensed Consolidated Financial Statements</w:t>
            </w:r>
          </w:p>
        </w:tc>
        <w:tc>
          <w:tcPr>
            <w:tcW w:w="2920" w:type="dxa"/>
            <w:vAlign w:val="bottom"/>
            <w:gridSpan w:val="4"/>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Item 2. Management’s Discussion and Analysis of Financial Condition and Results of Operations</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83"/>
        </w:trPr>
        <w:tc>
          <w:tcPr>
            <w:tcW w:w="5320" w:type="dxa"/>
            <w:vAlign w:val="bottom"/>
            <w:tcBorders>
              <w:top w:val="single" w:sz="8" w:color="0000EE"/>
              <w:bottom w:val="single" w:sz="8" w:color="0000EE"/>
            </w:tcBorders>
            <w:gridSpan w:val="14"/>
          </w:tcPr>
          <w:p>
            <w:pPr>
              <w:spacing w:after="0" w:line="182" w:lineRule="exact"/>
              <w:rPr>
                <w:sz w:val="20"/>
                <w:szCs w:val="20"/>
                <w:color w:val="auto"/>
              </w:rPr>
            </w:pPr>
            <w:r>
              <w:rPr>
                <w:rFonts w:ascii="Arial" w:cs="Arial" w:eastAsia="Arial" w:hAnsi="Arial"/>
                <w:sz w:val="18"/>
                <w:szCs w:val="18"/>
                <w:color w:val="0000EE"/>
                <w:w w:val="99"/>
              </w:rPr>
              <w:t>Item 3. Quantitative and Qualitative Disclosures About Market Risk</w:t>
            </w:r>
          </w:p>
        </w:tc>
        <w:tc>
          <w:tcPr>
            <w:tcW w:w="2360" w:type="dxa"/>
            <w:vAlign w:val="bottom"/>
            <w:tcBorders>
              <w:top w:val="single" w:sz="8" w:color="0000EE"/>
            </w:tcBorders>
            <w:gridSpan w:val="4"/>
          </w:tcPr>
          <w:p>
            <w:pPr>
              <w:spacing w:after="0"/>
              <w:rPr>
                <w:sz w:val="15"/>
                <w:szCs w:val="15"/>
                <w:color w:val="auto"/>
              </w:rPr>
            </w:pPr>
          </w:p>
        </w:tc>
        <w:tc>
          <w:tcPr>
            <w:tcW w:w="600" w:type="dxa"/>
            <w:vAlign w:val="bottom"/>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60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Item 4. Controls and Procedures</w:t>
            </w:r>
          </w:p>
        </w:tc>
        <w:tc>
          <w:tcPr>
            <w:tcW w:w="5680" w:type="dxa"/>
            <w:vAlign w:val="bottom"/>
            <w:gridSpan w:val="13"/>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PART II. OTHER INFORMATION</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640" w:type="dxa"/>
            <w:vAlign w:val="bottom"/>
            <w:tcBorders>
              <w:top w:val="single" w:sz="8" w:color="0000EE"/>
            </w:tcBorders>
            <w:gridSpan w:val="7"/>
          </w:tcPr>
          <w:p>
            <w:pPr>
              <w:spacing w:after="0" w:line="182" w:lineRule="exact"/>
              <w:rPr>
                <w:sz w:val="20"/>
                <w:szCs w:val="20"/>
                <w:color w:val="auto"/>
              </w:rPr>
            </w:pPr>
            <w:r>
              <w:rPr>
                <w:rFonts w:ascii="Arial" w:cs="Arial" w:eastAsia="Arial" w:hAnsi="Arial"/>
                <w:sz w:val="18"/>
                <w:szCs w:val="18"/>
                <w:color w:val="0000EE"/>
              </w:rPr>
              <w:t>Item 1. Legal Proceedings</w:t>
            </w:r>
          </w:p>
        </w:tc>
        <w:tc>
          <w:tcPr>
            <w:tcW w:w="5640" w:type="dxa"/>
            <w:vAlign w:val="bottom"/>
            <w:gridSpan w:val="12"/>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83"/>
        </w:trPr>
        <w:tc>
          <w:tcPr>
            <w:tcW w:w="21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Item 1A. Risk Factors</w:t>
            </w:r>
          </w:p>
        </w:tc>
        <w:tc>
          <w:tcPr>
            <w:tcW w:w="6180" w:type="dxa"/>
            <w:vAlign w:val="bottom"/>
            <w:gridSpan w:val="15"/>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Item 2. Unregistered Sales of Equity Securities and Use of Proceeds</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183"/>
        </w:trPr>
        <w:tc>
          <w:tcPr>
            <w:tcW w:w="3160" w:type="dxa"/>
            <w:vAlign w:val="bottom"/>
            <w:tcBorders>
              <w:top w:val="single" w:sz="8" w:color="0000EE"/>
              <w:bottom w:val="single" w:sz="8" w:color="0000EE"/>
            </w:tcBorders>
            <w:gridSpan w:val="9"/>
          </w:tcPr>
          <w:p>
            <w:pPr>
              <w:spacing w:after="0" w:line="182" w:lineRule="exact"/>
              <w:rPr>
                <w:sz w:val="20"/>
                <w:szCs w:val="20"/>
                <w:color w:val="auto"/>
              </w:rPr>
            </w:pPr>
            <w:r>
              <w:rPr>
                <w:rFonts w:ascii="Arial" w:cs="Arial" w:eastAsia="Arial" w:hAnsi="Arial"/>
                <w:sz w:val="18"/>
                <w:szCs w:val="18"/>
                <w:color w:val="0000EE"/>
                <w:w w:val="99"/>
              </w:rPr>
              <w:t>Item 3. Defaults Upon Senior Securities</w:t>
            </w:r>
          </w:p>
        </w:tc>
        <w:tc>
          <w:tcPr>
            <w:tcW w:w="2300" w:type="dxa"/>
            <w:vAlign w:val="bottom"/>
            <w:tcBorders>
              <w:top w:val="single" w:sz="8" w:color="0000EE"/>
            </w:tcBorders>
            <w:gridSpan w:val="7"/>
          </w:tcPr>
          <w:p>
            <w:pPr>
              <w:spacing w:after="0"/>
              <w:rPr>
                <w:sz w:val="15"/>
                <w:szCs w:val="15"/>
                <w:color w:val="auto"/>
              </w:rPr>
            </w:pPr>
          </w:p>
        </w:tc>
        <w:tc>
          <w:tcPr>
            <w:tcW w:w="2820" w:type="dxa"/>
            <w:vAlign w:val="bottom"/>
            <w:gridSpan w:val="3"/>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2540" w:type="dxa"/>
            <w:vAlign w:val="bottom"/>
            <w:tcBorders>
              <w:bottom w:val="single" w:sz="8" w:color="0000EE"/>
            </w:tcBorders>
            <w:gridSpan w:val="5"/>
          </w:tcPr>
          <w:p>
            <w:pPr>
              <w:spacing w:after="0" w:line="182" w:lineRule="exact"/>
              <w:rPr>
                <w:sz w:val="20"/>
                <w:szCs w:val="20"/>
                <w:color w:val="auto"/>
              </w:rPr>
            </w:pPr>
            <w:r>
              <w:rPr>
                <w:rFonts w:ascii="Arial" w:cs="Arial" w:eastAsia="Arial" w:hAnsi="Arial"/>
                <w:sz w:val="18"/>
                <w:szCs w:val="18"/>
                <w:color w:val="0000EE"/>
                <w:w w:val="99"/>
              </w:rPr>
              <w:t>Item 4. Mine Safety Disclosures</w:t>
            </w:r>
          </w:p>
        </w:tc>
        <w:tc>
          <w:tcPr>
            <w:tcW w:w="5740" w:type="dxa"/>
            <w:vAlign w:val="bottom"/>
            <w:gridSpan w:val="14"/>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8280" w:type="dxa"/>
            <w:vAlign w:val="bottom"/>
            <w:gridSpan w:val="19"/>
          </w:tcPr>
          <w:p>
            <w:pPr>
              <w:spacing w:after="0" w:line="182" w:lineRule="exact"/>
              <w:rPr>
                <w:sz w:val="20"/>
                <w:szCs w:val="20"/>
                <w:color w:val="auto"/>
              </w:rPr>
            </w:pPr>
            <w:r>
              <w:rPr>
                <w:rFonts w:ascii="Arial" w:cs="Arial" w:eastAsia="Arial" w:hAnsi="Arial"/>
                <w:sz w:val="18"/>
                <w:szCs w:val="18"/>
                <w:color w:val="0000EE"/>
              </w:rPr>
              <w:t>Item 5. Other Information</w:t>
            </w: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183"/>
        </w:trPr>
        <w:tc>
          <w:tcPr>
            <w:tcW w:w="124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9"/>
              </w:rPr>
              <w:t>Item 6. Exhibits</w:t>
            </w:r>
          </w:p>
        </w:tc>
        <w:tc>
          <w:tcPr>
            <w:tcW w:w="760" w:type="dxa"/>
            <w:vAlign w:val="bottom"/>
            <w:tcBorders>
              <w:top w:val="single" w:sz="8" w:color="0000EE"/>
            </w:tcBorders>
            <w:gridSpan w:val="2"/>
          </w:tcPr>
          <w:p>
            <w:pPr>
              <w:spacing w:after="0"/>
              <w:rPr>
                <w:sz w:val="15"/>
                <w:szCs w:val="15"/>
                <w:color w:val="auto"/>
              </w:rPr>
            </w:pPr>
          </w:p>
        </w:tc>
        <w:tc>
          <w:tcPr>
            <w:tcW w:w="6280" w:type="dxa"/>
            <w:vAlign w:val="bottom"/>
            <w:gridSpan w:val="16"/>
          </w:tcPr>
          <w:p>
            <w:pPr>
              <w:spacing w:after="0"/>
              <w:rPr>
                <w:sz w:val="15"/>
                <w:szCs w:val="15"/>
                <w:color w:val="auto"/>
              </w:rPr>
            </w:pPr>
          </w:p>
        </w:tc>
        <w:tc>
          <w:tcPr>
            <w:tcW w:w="520" w:type="dxa"/>
            <w:vAlign w:val="bottom"/>
          </w:tcPr>
          <w:p>
            <w:pPr>
              <w:jc w:val="right"/>
              <w:spacing w:after="0" w:line="182"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6680" w:type="dxa"/>
            <w:vAlign w:val="bottom"/>
            <w:tcBorders>
              <w:top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231F20"/>
              </w:rPr>
              <w:t>March 31,</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231F20"/>
              </w:rPr>
              <w:t>December 31,</w:t>
            </w:r>
          </w:p>
        </w:tc>
      </w:tr>
      <w:tr>
        <w:trPr>
          <w:trHeight w:val="168"/>
        </w:trPr>
        <w:tc>
          <w:tcPr>
            <w:tcW w:w="6680" w:type="dxa"/>
            <w:vAlign w:val="bottom"/>
          </w:tcPr>
          <w:p>
            <w:pPr>
              <w:spacing w:after="0"/>
              <w:rPr>
                <w:sz w:val="14"/>
                <w:szCs w:val="14"/>
                <w:color w:val="auto"/>
              </w:rPr>
            </w:pPr>
          </w:p>
        </w:tc>
        <w:tc>
          <w:tcPr>
            <w:tcW w:w="1020" w:type="dxa"/>
            <w:vAlign w:val="bottom"/>
          </w:tcPr>
          <w:p>
            <w:pPr>
              <w:jc w:val="right"/>
              <w:ind w:right="328"/>
              <w:spacing w:after="0"/>
              <w:rPr>
                <w:sz w:val="20"/>
                <w:szCs w:val="20"/>
                <w:color w:val="auto"/>
              </w:rPr>
            </w:pPr>
            <w:r>
              <w:rPr>
                <w:rFonts w:ascii="Arial" w:cs="Arial" w:eastAsia="Arial" w:hAnsi="Arial"/>
                <w:sz w:val="14"/>
                <w:szCs w:val="14"/>
                <w:b w:val="1"/>
                <w:bCs w:val="1"/>
                <w:color w:val="auto"/>
              </w:rPr>
              <w:t>2023</w:t>
            </w:r>
          </w:p>
        </w:tc>
        <w:tc>
          <w:tcPr>
            <w:tcW w:w="1200" w:type="dxa"/>
            <w:vAlign w:val="bottom"/>
          </w:tcPr>
          <w:p>
            <w:pPr>
              <w:jc w:val="right"/>
              <w:ind w:right="328"/>
              <w:spacing w:after="0"/>
              <w:rPr>
                <w:sz w:val="20"/>
                <w:szCs w:val="20"/>
                <w:color w:val="auto"/>
              </w:rPr>
            </w:pPr>
            <w:r>
              <w:rPr>
                <w:rFonts w:ascii="Arial" w:cs="Arial" w:eastAsia="Arial" w:hAnsi="Arial"/>
                <w:sz w:val="14"/>
                <w:szCs w:val="14"/>
                <w:b w:val="1"/>
                <w:bCs w:val="1"/>
                <w:color w:val="auto"/>
              </w:rPr>
              <w:t>2022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-7620</wp:posOffset>
            </wp:positionV>
            <wp:extent cx="564896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line="234" w:lineRule="auto"/>
        <w:rPr>
          <w:sz w:val="20"/>
          <w:szCs w:val="20"/>
          <w:color w:val="auto"/>
        </w:rPr>
      </w:pPr>
      <w:r>
        <w:rPr>
          <w:rFonts w:ascii="Arial" w:cs="Arial" w:eastAsia="Arial" w:hAnsi="Arial"/>
          <w:sz w:val="18"/>
          <w:szCs w:val="18"/>
          <w:color w:val="auto"/>
        </w:rPr>
        <w:t>Assets</w:t>
      </w:r>
    </w:p>
    <w:p>
      <w:pPr>
        <w:ind w:left="60"/>
        <w:spacing w:after="0" w:line="235" w:lineRule="auto"/>
        <w:rPr>
          <w:sz w:val="20"/>
          <w:szCs w:val="20"/>
          <w:color w:val="auto"/>
        </w:rPr>
      </w:pPr>
      <w:r>
        <w:rPr>
          <w:rFonts w:ascii="Arial" w:cs="Arial" w:eastAsia="Arial" w:hAnsi="Arial"/>
          <w:sz w:val="18"/>
          <w:szCs w:val="18"/>
          <w:color w:val="auto"/>
        </w:rPr>
        <w:t>Current assets:</w:t>
      </w:r>
    </w:p>
    <w:p>
      <w:pPr>
        <w:ind w:left="160"/>
        <w:spacing w:after="0" w:line="235" w:lineRule="auto"/>
        <w:rPr>
          <w:sz w:val="20"/>
          <w:szCs w:val="20"/>
          <w:color w:val="auto"/>
        </w:rPr>
      </w:pPr>
      <w:r>
        <w:rPr>
          <w:rFonts w:ascii="Arial" w:cs="Arial" w:eastAsia="Arial" w:hAnsi="Arial"/>
          <w:sz w:val="18"/>
          <w:szCs w:val="18"/>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5" w:lineRule="auto"/>
        <w:rPr>
          <w:sz w:val="20"/>
          <w:szCs w:val="20"/>
          <w:color w:val="auto"/>
        </w:rPr>
      </w:pPr>
      <w:r>
        <w:rPr>
          <w:rFonts w:ascii="Arial" w:cs="Arial" w:eastAsia="Arial" w:hAnsi="Arial"/>
          <w:sz w:val="18"/>
          <w:szCs w:val="18"/>
          <w:color w:val="auto"/>
        </w:rPr>
        <w:t>Marketable securities</w:t>
      </w:r>
    </w:p>
    <w:p>
      <w:pPr>
        <w:ind w:left="160"/>
        <w:spacing w:after="0"/>
        <w:rPr>
          <w:sz w:val="20"/>
          <w:szCs w:val="20"/>
          <w:color w:val="auto"/>
        </w:rPr>
      </w:pP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280"/>
        <w:spacing w:after="0"/>
        <w:rPr>
          <w:sz w:val="20"/>
          <w:szCs w:val="20"/>
          <w:color w:val="auto"/>
        </w:rPr>
      </w:pPr>
      <w:r>
        <w:rPr>
          <w:rFonts w:ascii="Arial" w:cs="Arial" w:eastAsia="Arial" w:hAnsi="Arial"/>
          <w:sz w:val="18"/>
          <w:szCs w:val="18"/>
          <w:color w:val="auto"/>
        </w:rPr>
        <w:t>Total current assets</w:t>
      </w:r>
    </w:p>
    <w:p>
      <w:pPr>
        <w:ind w:left="60"/>
        <w:spacing w:after="0" w:line="234" w:lineRule="auto"/>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60"/>
        <w:spacing w:after="0" w:line="235" w:lineRule="auto"/>
        <w:rPr>
          <w:sz w:val="20"/>
          <w:szCs w:val="20"/>
          <w:color w:val="auto"/>
        </w:rPr>
      </w:pPr>
      <w:r>
        <w:rPr>
          <w:rFonts w:ascii="Arial" w:cs="Arial" w:eastAsia="Arial" w:hAnsi="Arial"/>
          <w:sz w:val="18"/>
          <w:szCs w:val="18"/>
          <w:color w:val="auto"/>
        </w:rPr>
        <w:t>Operating lease right-of-use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-130175</wp:posOffset>
            </wp:positionV>
            <wp:extent cx="5648960"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pacing w:after="0" w:line="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5648960" cy="145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45415"/>
                    </a:xfrm>
                    <a:prstGeom prst="rect">
                      <a:avLst/>
                    </a:prstGeom>
                    <a:noFill/>
                  </pic:spPr>
                </pic:pic>
              </a:graphicData>
            </a:graphic>
          </wp:anchor>
        </w:drawing>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Liabilities and stockholders’ equity</w:t>
      </w:r>
    </w:p>
    <w:p>
      <w:pPr>
        <w:spacing w:after="0" w:line="18" w:lineRule="exact"/>
        <w:rPr>
          <w:sz w:val="20"/>
          <w:szCs w:val="20"/>
          <w:color w:val="auto"/>
        </w:rPr>
      </w:pPr>
    </w:p>
    <w:p>
      <w:pPr>
        <w:ind w:left="60"/>
        <w:spacing w:after="0"/>
        <w:rPr>
          <w:sz w:val="20"/>
          <w:szCs w:val="20"/>
          <w:color w:val="auto"/>
        </w:rPr>
      </w:pPr>
      <w:r>
        <w:rPr>
          <w:rFonts w:ascii="Arial" w:cs="Arial" w:eastAsia="Arial" w:hAnsi="Arial"/>
          <w:sz w:val="18"/>
          <w:szCs w:val="18"/>
          <w:color w:val="231F20"/>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-127635</wp:posOffset>
            </wp:positionV>
            <wp:extent cx="5648960"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Accounts payable</w:t>
      </w:r>
    </w:p>
    <w:p>
      <w:pPr>
        <w:ind w:left="160"/>
        <w:spacing w:after="0" w:line="235" w:lineRule="auto"/>
        <w:rPr>
          <w:sz w:val="20"/>
          <w:szCs w:val="20"/>
          <w:color w:val="auto"/>
        </w:rPr>
      </w:pPr>
      <w:r>
        <w:rPr>
          <w:rFonts w:ascii="Arial" w:cs="Arial" w:eastAsia="Arial" w:hAnsi="Arial"/>
          <w:sz w:val="18"/>
          <w:szCs w:val="18"/>
          <w:color w:val="auto"/>
        </w:rPr>
        <w:t>Operating lease liabilities, current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ind w:left="160"/>
        <w:spacing w:after="0" w:line="234" w:lineRule="auto"/>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br w:type="column"/>
      </w:r>
    </w:p>
    <w:p>
      <w:pPr>
        <w:spacing w:after="0" w:line="381" w:lineRule="exact"/>
        <w:rPr>
          <w:sz w:val="20"/>
          <w:szCs w:val="20"/>
          <w:color w:val="auto"/>
        </w:rPr>
      </w:pPr>
    </w:p>
    <w:p>
      <w:pPr>
        <w:spacing w:after="0"/>
        <w:tabs>
          <w:tab w:leader="none" w:pos="300" w:val="left"/>
          <w:tab w:leader="none" w:pos="1100" w:val="left"/>
          <w:tab w:leader="none" w:pos="1580" w:val="left"/>
        </w:tabs>
        <w:rPr>
          <w:sz w:val="20"/>
          <w:szCs w:val="20"/>
          <w:color w:val="auto"/>
        </w:rPr>
      </w:pPr>
      <w:r>
        <w:rPr>
          <w:rFonts w:ascii="Arial" w:cs="Arial" w:eastAsia="Arial" w:hAnsi="Arial"/>
          <w:sz w:val="18"/>
          <w:szCs w:val="18"/>
          <w:color w:val="auto"/>
        </w:rPr>
        <w:t>$</w:t>
        <w:tab/>
        <w:t>40,918</w:t>
        <w:tab/>
        <w:t>$</w:t>
      </w:r>
      <w:r>
        <w:rPr>
          <w:sz w:val="20"/>
          <w:szCs w:val="20"/>
          <w:color w:val="auto"/>
        </w:rPr>
        <w:tab/>
      </w:r>
      <w:r>
        <w:rPr>
          <w:rFonts w:ascii="Arial" w:cs="Arial" w:eastAsia="Arial" w:hAnsi="Arial"/>
          <w:sz w:val="18"/>
          <w:szCs w:val="18"/>
          <w:color w:val="auto"/>
        </w:rPr>
        <w:t>23,702</w:t>
      </w:r>
    </w:p>
    <w:p>
      <w:pPr>
        <w:jc w:val="both"/>
        <w:ind w:left="220"/>
        <w:spacing w:after="0" w:line="234" w:lineRule="auto"/>
        <w:tabs>
          <w:tab w:leader="none" w:pos="1480" w:val="left"/>
        </w:tabs>
        <w:rPr>
          <w:sz w:val="20"/>
          <w:szCs w:val="20"/>
          <w:color w:val="auto"/>
        </w:rPr>
      </w:pPr>
      <w:r>
        <w:rPr>
          <w:rFonts w:ascii="Arial" w:cs="Arial" w:eastAsia="Arial" w:hAnsi="Arial"/>
          <w:sz w:val="18"/>
          <w:szCs w:val="18"/>
          <w:color w:val="auto"/>
        </w:rPr>
        <w:t>145,036</w:t>
      </w:r>
      <w:r>
        <w:rPr>
          <w:sz w:val="20"/>
          <w:szCs w:val="20"/>
          <w:color w:val="auto"/>
        </w:rPr>
        <w:tab/>
      </w:r>
      <w:r>
        <w:rPr>
          <w:rFonts w:ascii="Arial" w:cs="Arial" w:eastAsia="Arial" w:hAnsi="Arial"/>
          <w:sz w:val="18"/>
          <w:szCs w:val="18"/>
          <w:color w:val="auto"/>
        </w:rPr>
        <w:t>180,719</w:t>
      </w:r>
    </w:p>
    <w:p>
      <w:pPr>
        <w:spacing w:after="0" w:line="1" w:lineRule="exact"/>
        <w:rPr>
          <w:sz w:val="20"/>
          <w:szCs w:val="20"/>
          <w:color w:val="auto"/>
        </w:rPr>
      </w:pPr>
    </w:p>
    <w:p>
      <w:pPr>
        <w:jc w:val="both"/>
        <w:ind w:left="420"/>
        <w:spacing w:after="0"/>
        <w:tabs>
          <w:tab w:leader="none" w:pos="1680" w:val="left"/>
        </w:tabs>
        <w:rPr>
          <w:sz w:val="20"/>
          <w:szCs w:val="20"/>
          <w:color w:val="auto"/>
        </w:rPr>
      </w:pPr>
      <w:r>
        <w:rPr>
          <w:rFonts w:ascii="Arial" w:cs="Arial" w:eastAsia="Arial" w:hAnsi="Arial"/>
          <w:sz w:val="18"/>
          <w:szCs w:val="18"/>
          <w:color w:val="auto"/>
        </w:rPr>
        <w:t>3,443</w:t>
      </w:r>
      <w:r>
        <w:rPr>
          <w:sz w:val="20"/>
          <w:szCs w:val="20"/>
          <w:color w:val="auto"/>
        </w:rPr>
        <w:tab/>
      </w:r>
      <w:r>
        <w:rPr>
          <w:rFonts w:ascii="Arial" w:cs="Arial" w:eastAsia="Arial" w:hAnsi="Arial"/>
          <w:sz w:val="18"/>
          <w:szCs w:val="18"/>
          <w:color w:val="auto"/>
        </w:rPr>
        <w:t>4,478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jc w:val="both"/>
        <w:ind w:left="220"/>
        <w:spacing w:after="0"/>
        <w:tabs>
          <w:tab w:leader="none" w:pos="1480" w:val="left"/>
        </w:tabs>
        <w:rPr>
          <w:sz w:val="20"/>
          <w:szCs w:val="20"/>
          <w:color w:val="auto"/>
        </w:rPr>
      </w:pPr>
      <w:r>
        <w:rPr>
          <w:rFonts w:ascii="Arial" w:cs="Arial" w:eastAsia="Arial" w:hAnsi="Arial"/>
          <w:sz w:val="18"/>
          <w:szCs w:val="18"/>
          <w:color w:val="auto"/>
        </w:rPr>
        <w:t>189,397</w:t>
      </w:r>
      <w:r>
        <w:rPr>
          <w:sz w:val="20"/>
          <w:szCs w:val="20"/>
          <w:color w:val="auto"/>
        </w:rPr>
        <w:tab/>
      </w:r>
      <w:r>
        <w:rPr>
          <w:rFonts w:ascii="Arial" w:cs="Arial" w:eastAsia="Arial" w:hAnsi="Arial"/>
          <w:sz w:val="18"/>
          <w:szCs w:val="18"/>
          <w:color w:val="auto"/>
        </w:rPr>
        <w:t>208,899</w:t>
      </w:r>
    </w:p>
    <w:p>
      <w:pPr>
        <w:jc w:val="both"/>
        <w:ind w:left="420"/>
        <w:spacing w:after="0" w:line="234" w:lineRule="auto"/>
        <w:tabs>
          <w:tab w:leader="none" w:pos="1680" w:val="left"/>
        </w:tabs>
        <w:rPr>
          <w:sz w:val="20"/>
          <w:szCs w:val="20"/>
          <w:color w:val="auto"/>
        </w:rPr>
      </w:pPr>
      <w:r>
        <w:rPr>
          <w:rFonts w:ascii="Arial" w:cs="Arial" w:eastAsia="Arial" w:hAnsi="Arial"/>
          <w:sz w:val="18"/>
          <w:szCs w:val="18"/>
          <w:color w:val="auto"/>
        </w:rPr>
        <w:t>1,380</w:t>
      </w:r>
      <w:r>
        <w:rPr>
          <w:sz w:val="20"/>
          <w:szCs w:val="20"/>
          <w:color w:val="auto"/>
        </w:rPr>
        <w:tab/>
      </w:r>
      <w:r>
        <w:rPr>
          <w:rFonts w:ascii="Arial" w:cs="Arial" w:eastAsia="Arial" w:hAnsi="Arial"/>
          <w:sz w:val="18"/>
          <w:szCs w:val="18"/>
          <w:color w:val="auto"/>
        </w:rPr>
        <w:t>1,480</w:t>
      </w:r>
    </w:p>
    <w:p>
      <w:pPr>
        <w:jc w:val="both"/>
        <w:ind w:left="420"/>
        <w:spacing w:after="0" w:line="235" w:lineRule="auto"/>
        <w:tabs>
          <w:tab w:leader="none" w:pos="1680" w:val="left"/>
        </w:tabs>
        <w:rPr>
          <w:sz w:val="20"/>
          <w:szCs w:val="20"/>
          <w:color w:val="auto"/>
        </w:rPr>
      </w:pPr>
      <w:r>
        <w:rPr>
          <w:rFonts w:ascii="Arial" w:cs="Arial" w:eastAsia="Arial" w:hAnsi="Arial"/>
          <w:sz w:val="18"/>
          <w:szCs w:val="18"/>
          <w:color w:val="auto"/>
        </w:rPr>
        <w:t>2,220</w:t>
      </w:r>
      <w:r>
        <w:rPr>
          <w:sz w:val="20"/>
          <w:szCs w:val="20"/>
          <w:color w:val="auto"/>
        </w:rPr>
        <w:tab/>
      </w:r>
      <w:r>
        <w:rPr>
          <w:rFonts w:ascii="Arial" w:cs="Arial" w:eastAsia="Arial" w:hAnsi="Arial"/>
          <w:sz w:val="18"/>
          <w:szCs w:val="18"/>
          <w:color w:val="auto"/>
        </w:rPr>
        <w:t>2,495</w:t>
      </w:r>
    </w:p>
    <w:p>
      <w:pPr>
        <w:spacing w:after="0" w:line="1" w:lineRule="exact"/>
        <w:rPr>
          <w:sz w:val="20"/>
          <w:szCs w:val="20"/>
          <w:color w:val="auto"/>
        </w:rPr>
      </w:pPr>
    </w:p>
    <w:p>
      <w:pPr>
        <w:jc w:val="both"/>
        <w:ind w:left="420"/>
        <w:spacing w:after="0"/>
        <w:tabs>
          <w:tab w:leader="none" w:pos="1680" w:val="left"/>
        </w:tabs>
        <w:rPr>
          <w:sz w:val="20"/>
          <w:szCs w:val="20"/>
          <w:color w:val="auto"/>
        </w:rPr>
      </w:pPr>
      <w:r>
        <w:rPr>
          <w:rFonts w:ascii="Arial" w:cs="Arial" w:eastAsia="Arial" w:hAnsi="Arial"/>
          <w:sz w:val="18"/>
          <w:szCs w:val="18"/>
          <w:color w:val="auto"/>
        </w:rPr>
        <w:t>2,771</w:t>
      </w:r>
      <w:r>
        <w:rPr>
          <w:sz w:val="20"/>
          <w:szCs w:val="20"/>
          <w:color w:val="auto"/>
        </w:rPr>
        <w:tab/>
      </w:r>
      <w:r>
        <w:rPr>
          <w:rFonts w:ascii="Arial" w:cs="Arial" w:eastAsia="Arial" w:hAnsi="Arial"/>
          <w:sz w:val="18"/>
          <w:szCs w:val="18"/>
          <w:color w:val="auto"/>
        </w:rPr>
        <w:t>2,771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14147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tabs>
          <w:tab w:leader="none" w:pos="1100" w:val="left"/>
          <w:tab w:leader="none" w:pos="1480" w:val="left"/>
        </w:tabs>
        <w:rPr>
          <w:sz w:val="20"/>
          <w:szCs w:val="20"/>
          <w:color w:val="auto"/>
        </w:rPr>
      </w:pPr>
      <w:r>
        <w:rPr>
          <w:rFonts w:ascii="Arial" w:cs="Arial" w:eastAsia="Arial" w:hAnsi="Arial"/>
          <w:sz w:val="18"/>
          <w:szCs w:val="18"/>
          <w:u w:val="single" w:color="auto"/>
          <w:color w:val="auto"/>
        </w:rPr>
        <w:t>$ 195,768</w:t>
        <w:tab/>
        <w:t>$</w:t>
        <w:tab/>
        <w:t>215,645</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540" w:val="left"/>
          <w:tab w:leader="none" w:pos="1100" w:val="left"/>
          <w:tab w:leader="none" w:pos="18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681</w:t>
        <w:tab/>
        <w:t>$</w:t>
      </w:r>
      <w:r>
        <w:rPr>
          <w:sz w:val="20"/>
          <w:szCs w:val="20"/>
          <w:color w:val="auto"/>
        </w:rPr>
        <w:tab/>
      </w:r>
      <w:r>
        <w:rPr>
          <w:rFonts w:ascii="Arial" w:cs="Arial" w:eastAsia="Arial" w:hAnsi="Arial"/>
          <w:sz w:val="17"/>
          <w:szCs w:val="17"/>
          <w:color w:val="auto"/>
        </w:rPr>
        <w:t>374</w:t>
      </w:r>
    </w:p>
    <w:p>
      <w:pPr>
        <w:ind w:left="1700" w:hanging="1138"/>
        <w:spacing w:after="0" w:line="234" w:lineRule="auto"/>
        <w:tabs>
          <w:tab w:leader="none" w:pos="1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1,015</w:t>
      </w:r>
    </w:p>
    <w:p>
      <w:pPr>
        <w:ind w:left="320"/>
        <w:spacing w:after="0" w:line="233" w:lineRule="auto"/>
        <w:rPr>
          <w:rFonts w:ascii="Arial" w:cs="Arial" w:eastAsia="Arial" w:hAnsi="Arial"/>
          <w:sz w:val="18"/>
          <w:szCs w:val="18"/>
          <w:color w:val="auto"/>
        </w:rPr>
      </w:pPr>
      <w:r>
        <w:rPr>
          <w:rFonts w:ascii="Arial" w:cs="Arial" w:eastAsia="Arial" w:hAnsi="Arial"/>
          <w:sz w:val="18"/>
          <w:szCs w:val="18"/>
          <w:color w:val="auto"/>
        </w:rPr>
        <w:t>17,82115,160</w:t>
      </w:r>
    </w:p>
    <w:p>
      <w:pPr>
        <w:spacing w:after="0" w:line="1" w:lineRule="exact"/>
        <w:rPr>
          <w:sz w:val="20"/>
          <w:szCs w:val="20"/>
          <w:color w:val="auto"/>
        </w:rPr>
      </w:pPr>
    </w:p>
    <w:p>
      <w:pPr>
        <w:sectPr>
          <w:pgSz w:w="11900" w:h="16838" w:orient="portrait"/>
          <w:cols w:equalWidth="0" w:num="2">
            <w:col w:w="6020" w:space="720"/>
            <w:col w:w="2279"/>
          </w:cols>
          <w:pgMar w:left="1440" w:top="517" w:right="1440" w:bottom="1440" w:gutter="0" w:footer="0" w:header="0"/>
          <w:type w:val="continuous"/>
        </w:sectPr>
      </w:pPr>
    </w:p>
    <w:tbl>
      <w:tblPr>
        <w:tblLayout w:type="fixed"/>
        <w:tblInd w:w="60" w:type="dxa"/>
        <w:tblCellMar>
          <w:top w:w="0" w:type="dxa"/>
          <w:left w:w="0" w:type="dxa"/>
          <w:bottom w:w="0" w:type="dxa"/>
          <w:right w:w="0" w:type="dxa"/>
        </w:tblCellMar>
      </w:tblPr>
      <w:tr>
        <w:trPr>
          <w:trHeight w:val="198"/>
        </w:trPr>
        <w:tc>
          <w:tcPr>
            <w:tcW w:w="6680" w:type="dxa"/>
            <w:vAlign w:val="bottom"/>
            <w:tcBorders>
              <w:top w:val="single" w:sz="8" w:color="CCEEFF"/>
            </w:tcBorders>
            <w:shd w:val="clear" w:color="auto" w:fill="CCEEFF"/>
          </w:tcPr>
          <w:p>
            <w:pPr>
              <w:ind w:left="220"/>
              <w:spacing w:after="0" w:line="198" w:lineRule="exact"/>
              <w:rPr>
                <w:sz w:val="20"/>
                <w:szCs w:val="20"/>
                <w:color w:val="auto"/>
              </w:rPr>
            </w:pPr>
            <w:r>
              <w:rPr>
                <w:rFonts w:ascii="Arial" w:cs="Arial" w:eastAsia="Arial" w:hAnsi="Arial"/>
                <w:sz w:val="18"/>
                <w:szCs w:val="18"/>
                <w:color w:val="auto"/>
              </w:rPr>
              <w:t>Total current liabilities</w:t>
            </w:r>
          </w:p>
        </w:tc>
        <w:tc>
          <w:tcPr>
            <w:tcW w:w="1020" w:type="dxa"/>
            <w:vAlign w:val="bottom"/>
            <w:tcBorders>
              <w:top w:val="single" w:sz="8" w:color="auto"/>
            </w:tcBorders>
            <w:shd w:val="clear" w:color="auto" w:fill="CCEEFF"/>
          </w:tcPr>
          <w:p>
            <w:pPr>
              <w:jc w:val="right"/>
              <w:ind w:right="70"/>
              <w:spacing w:after="0" w:line="198" w:lineRule="exact"/>
              <w:rPr>
                <w:sz w:val="20"/>
                <w:szCs w:val="20"/>
                <w:color w:val="auto"/>
              </w:rPr>
            </w:pPr>
            <w:r>
              <w:rPr>
                <w:rFonts w:ascii="Arial" w:cs="Arial" w:eastAsia="Arial" w:hAnsi="Arial"/>
                <w:sz w:val="18"/>
                <w:szCs w:val="18"/>
                <w:color w:val="auto"/>
              </w:rPr>
              <w:t>19,410</w:t>
            </w:r>
          </w:p>
        </w:tc>
        <w:tc>
          <w:tcPr>
            <w:tcW w:w="3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198" w:lineRule="exact"/>
              <w:rPr>
                <w:sz w:val="20"/>
                <w:szCs w:val="20"/>
                <w:color w:val="auto"/>
              </w:rPr>
            </w:pPr>
            <w:r>
              <w:rPr>
                <w:rFonts w:ascii="Arial" w:cs="Arial" w:eastAsia="Arial" w:hAnsi="Arial"/>
                <w:sz w:val="18"/>
                <w:szCs w:val="18"/>
                <w:color w:val="auto"/>
              </w:rPr>
              <w:t>16,549</w:t>
            </w:r>
          </w:p>
        </w:tc>
      </w:tr>
      <w:tr>
        <w:trPr>
          <w:trHeight w:val="203"/>
        </w:trPr>
        <w:tc>
          <w:tcPr>
            <w:tcW w:w="66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1020" w:type="dxa"/>
            <w:vAlign w:val="bottom"/>
            <w:tcBorders>
              <w:bottom w:val="single" w:sz="8" w:color="auto"/>
            </w:tcBorders>
          </w:tcPr>
          <w:p>
            <w:pPr>
              <w:jc w:val="right"/>
              <w:ind w:right="70"/>
              <w:spacing w:after="0" w:line="202" w:lineRule="exact"/>
              <w:rPr>
                <w:sz w:val="20"/>
                <w:szCs w:val="20"/>
                <w:color w:val="auto"/>
              </w:rPr>
            </w:pPr>
            <w:r>
              <w:rPr>
                <w:rFonts w:ascii="Arial" w:cs="Arial" w:eastAsia="Arial" w:hAnsi="Arial"/>
                <w:sz w:val="18"/>
                <w:szCs w:val="18"/>
                <w:color w:val="auto"/>
              </w:rPr>
              <w:t>1,383</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1,550</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Total liabilities</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rPr>
              <w:t>20,793</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18,099</w:t>
            </w:r>
          </w:p>
        </w:tc>
      </w:tr>
      <w:tr>
        <w:trPr>
          <w:trHeight w:val="196"/>
        </w:trPr>
        <w:tc>
          <w:tcPr>
            <w:tcW w:w="6680" w:type="dxa"/>
            <w:vAlign w:val="bottom"/>
          </w:tcPr>
          <w:p>
            <w:pPr>
              <w:spacing w:after="0" w:line="196" w:lineRule="exact"/>
              <w:rPr>
                <w:sz w:val="20"/>
                <w:szCs w:val="20"/>
                <w:color w:val="auto"/>
              </w:rPr>
            </w:pPr>
            <w:r>
              <w:rPr>
                <w:rFonts w:ascii="Arial" w:cs="Arial" w:eastAsia="Arial" w:hAnsi="Arial"/>
                <w:sz w:val="18"/>
                <w:szCs w:val="18"/>
                <w:color w:val="auto"/>
              </w:rPr>
              <w:t>Commitments and contingencies (Note 10)</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231F20"/>
              </w:rPr>
              <w:t>Stockholders’ equity:</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02"/>
        </w:trPr>
        <w:tc>
          <w:tcPr>
            <w:tcW w:w="6680" w:type="dxa"/>
            <w:vAlign w:val="bottom"/>
          </w:tcPr>
          <w:p>
            <w:pPr>
              <w:spacing w:after="0" w:line="201" w:lineRule="exact"/>
              <w:rPr>
                <w:sz w:val="20"/>
                <w:szCs w:val="20"/>
                <w:color w:val="auto"/>
              </w:rPr>
            </w:pPr>
            <w:r>
              <w:rPr>
                <w:rFonts w:ascii="Arial" w:cs="Arial" w:eastAsia="Arial" w:hAnsi="Arial"/>
                <w:sz w:val="18"/>
                <w:szCs w:val="18"/>
                <w:color w:val="231F20"/>
              </w:rPr>
              <w:t>Preferred stock, $0.0001 par value; 10,000,000 shares authorized as of March</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31, 2023 and December 31, 2022; no shares issued and outstanding as of March</w:t>
            </w: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6680" w:type="dxa"/>
            <w:vAlign w:val="bottom"/>
          </w:tcPr>
          <w:p>
            <w:pPr>
              <w:spacing w:after="0" w:line="203" w:lineRule="exact"/>
              <w:rPr>
                <w:sz w:val="20"/>
                <w:szCs w:val="20"/>
                <w:color w:val="auto"/>
              </w:rPr>
            </w:pPr>
            <w:r>
              <w:rPr>
                <w:rFonts w:ascii="Arial" w:cs="Arial" w:eastAsia="Arial" w:hAnsi="Arial"/>
                <w:sz w:val="18"/>
                <w:szCs w:val="18"/>
                <w:color w:val="231F20"/>
              </w:rPr>
              <w:t>31, 2023 and December 31, 2022.</w:t>
            </w:r>
          </w:p>
        </w:tc>
        <w:tc>
          <w:tcPr>
            <w:tcW w:w="1020" w:type="dxa"/>
            <w:vAlign w:val="bottom"/>
          </w:tcPr>
          <w:p>
            <w:pPr>
              <w:jc w:val="right"/>
              <w:ind w:right="70"/>
              <w:spacing w:after="0" w:line="203"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r>
      <w:tr>
        <w:trPr>
          <w:trHeight w:val="202"/>
        </w:trPr>
        <w:tc>
          <w:tcPr>
            <w:tcW w:w="6680" w:type="dxa"/>
            <w:vAlign w:val="bottom"/>
            <w:shd w:val="clear" w:color="auto" w:fill="CCEEFF"/>
          </w:tcPr>
          <w:p>
            <w:pPr>
              <w:spacing w:after="0" w:line="201" w:lineRule="exact"/>
              <w:rPr>
                <w:sz w:val="20"/>
                <w:szCs w:val="20"/>
                <w:color w:val="auto"/>
              </w:rPr>
            </w:pPr>
            <w:r>
              <w:rPr>
                <w:rFonts w:ascii="Arial" w:cs="Arial" w:eastAsia="Arial" w:hAnsi="Arial"/>
                <w:sz w:val="18"/>
                <w:szCs w:val="18"/>
                <w:color w:val="231F20"/>
              </w:rPr>
              <w:t>Common stock, $0.0001 par value; 490,000,000 shares authorized as of March</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31, 2023 and December 31, 2022; 40,696,563 and 40,601,648 shares issued as</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of March 31, 2023 and December 31, 2022, respectively; 40,438,320 and</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2" w:lineRule="exact"/>
              <w:rPr>
                <w:sz w:val="20"/>
                <w:szCs w:val="20"/>
                <w:color w:val="auto"/>
              </w:rPr>
            </w:pPr>
            <w:r>
              <w:rPr>
                <w:rFonts w:ascii="Arial" w:cs="Arial" w:eastAsia="Arial" w:hAnsi="Arial"/>
                <w:sz w:val="18"/>
                <w:szCs w:val="18"/>
                <w:color w:val="231F20"/>
              </w:rPr>
              <w:t>40,287,097 shares outstanding as of March 31, 2023 and December 31, 2022,</w:t>
            </w: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03"/>
        </w:trPr>
        <w:tc>
          <w:tcPr>
            <w:tcW w:w="6680" w:type="dxa"/>
            <w:vAlign w:val="bottom"/>
            <w:shd w:val="clear" w:color="auto" w:fill="CCEEFF"/>
          </w:tcPr>
          <w:p>
            <w:pPr>
              <w:spacing w:after="0" w:line="203" w:lineRule="exact"/>
              <w:rPr>
                <w:sz w:val="20"/>
                <w:szCs w:val="20"/>
                <w:color w:val="auto"/>
              </w:rPr>
            </w:pPr>
            <w:r>
              <w:rPr>
                <w:rFonts w:ascii="Arial" w:cs="Arial" w:eastAsia="Arial" w:hAnsi="Arial"/>
                <w:sz w:val="18"/>
                <w:szCs w:val="18"/>
                <w:color w:val="231F20"/>
              </w:rPr>
              <w:t>respectively.</w:t>
            </w:r>
          </w:p>
        </w:tc>
        <w:tc>
          <w:tcPr>
            <w:tcW w:w="1020" w:type="dxa"/>
            <w:vAlign w:val="bottom"/>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r>
      <w:tr>
        <w:trPr>
          <w:trHeight w:val="203"/>
        </w:trPr>
        <w:tc>
          <w:tcPr>
            <w:tcW w:w="6680" w:type="dxa"/>
            <w:vAlign w:val="bottom"/>
          </w:tcPr>
          <w:p>
            <w:pPr>
              <w:spacing w:after="0" w:line="202" w:lineRule="exact"/>
              <w:rPr>
                <w:sz w:val="20"/>
                <w:szCs w:val="20"/>
                <w:color w:val="auto"/>
              </w:rPr>
            </w:pPr>
            <w:r>
              <w:rPr>
                <w:rFonts w:ascii="Arial" w:cs="Arial" w:eastAsia="Arial" w:hAnsi="Arial"/>
                <w:sz w:val="18"/>
                <w:szCs w:val="18"/>
                <w:color w:val="231F20"/>
              </w:rPr>
              <w:t>Additional paid-in capital</w:t>
            </w:r>
          </w:p>
        </w:tc>
        <w:tc>
          <w:tcPr>
            <w:tcW w:w="10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413,213</w:t>
            </w:r>
          </w:p>
        </w:tc>
        <w:tc>
          <w:tcPr>
            <w:tcW w:w="3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408,333</w:t>
            </w:r>
          </w:p>
        </w:tc>
      </w:tr>
      <w:tr>
        <w:trPr>
          <w:trHeight w:val="203"/>
        </w:trPr>
        <w:tc>
          <w:tcPr>
            <w:tcW w:w="668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Accumulated other comprehensive loss</w:t>
            </w:r>
          </w:p>
        </w:tc>
        <w:tc>
          <w:tcPr>
            <w:tcW w:w="102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(978)</w:t>
            </w: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(1,813)</w:t>
            </w:r>
          </w:p>
        </w:tc>
      </w:tr>
      <w:tr>
        <w:trPr>
          <w:trHeight w:val="203"/>
        </w:trPr>
        <w:tc>
          <w:tcPr>
            <w:tcW w:w="668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Accumulated deficit</w:t>
            </w:r>
          </w:p>
        </w:tc>
        <w:tc>
          <w:tcPr>
            <w:tcW w:w="1020" w:type="dxa"/>
            <w:vAlign w:val="bottom"/>
            <w:tcBorders>
              <w:bottom w:val="single" w:sz="8" w:color="auto"/>
            </w:tcBorders>
          </w:tcPr>
          <w:p>
            <w:pPr>
              <w:jc w:val="right"/>
              <w:ind w:right="10"/>
              <w:spacing w:after="0" w:line="202" w:lineRule="exact"/>
              <w:rPr>
                <w:sz w:val="20"/>
                <w:szCs w:val="20"/>
                <w:color w:val="auto"/>
              </w:rPr>
            </w:pPr>
            <w:r>
              <w:rPr>
                <w:rFonts w:ascii="Arial" w:cs="Arial" w:eastAsia="Arial" w:hAnsi="Arial"/>
                <w:sz w:val="18"/>
                <w:szCs w:val="18"/>
                <w:color w:val="auto"/>
              </w:rPr>
              <w:t>(237,263)</w:t>
            </w: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(208,977)</w:t>
            </w:r>
          </w:p>
        </w:tc>
      </w:tr>
      <w:tr>
        <w:trPr>
          <w:trHeight w:val="196"/>
        </w:trPr>
        <w:tc>
          <w:tcPr>
            <w:tcW w:w="668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231F20"/>
              </w:rPr>
              <w:t>Total stockholders’ equity</w:t>
            </w:r>
          </w:p>
        </w:tc>
        <w:tc>
          <w:tcPr>
            <w:tcW w:w="102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231F20"/>
              </w:rPr>
              <w:t>174,975</w:t>
            </w:r>
          </w:p>
        </w:tc>
        <w:tc>
          <w:tcPr>
            <w:tcW w:w="3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197,546</w:t>
            </w:r>
          </w:p>
        </w:tc>
      </w:tr>
      <w:tr>
        <w:trPr>
          <w:trHeight w:val="196"/>
        </w:trPr>
        <w:tc>
          <w:tcPr>
            <w:tcW w:w="6680" w:type="dxa"/>
            <w:vAlign w:val="bottom"/>
            <w:tcBorders>
              <w:bottom w:val="single" w:sz="8" w:color="auto"/>
            </w:tcBorders>
          </w:tcPr>
          <w:p>
            <w:pPr>
              <w:ind w:left="220"/>
              <w:spacing w:after="0" w:line="196" w:lineRule="exact"/>
              <w:rPr>
                <w:sz w:val="20"/>
                <w:szCs w:val="20"/>
                <w:color w:val="auto"/>
              </w:rPr>
            </w:pPr>
            <w:r>
              <w:rPr>
                <w:rFonts w:ascii="Arial" w:cs="Arial" w:eastAsia="Arial" w:hAnsi="Arial"/>
                <w:sz w:val="18"/>
                <w:szCs w:val="18"/>
                <w:color w:val="231F20"/>
              </w:rPr>
              <w:t>Total liabilities and stockholders’ equity</w:t>
            </w:r>
          </w:p>
        </w:tc>
        <w:tc>
          <w:tcPr>
            <w:tcW w:w="102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231F20"/>
              </w:rPr>
              <w:t>195,768</w:t>
            </w:r>
          </w:p>
        </w:tc>
        <w:tc>
          <w:tcPr>
            <w:tcW w:w="3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231F20"/>
              </w:rPr>
              <w:t>215,645</w:t>
            </w:r>
          </w:p>
        </w:tc>
      </w:tr>
      <w:tr>
        <w:trPr>
          <w:trHeight w:val="20"/>
        </w:trPr>
        <w:tc>
          <w:tcPr>
            <w:tcW w:w="6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jc w:val="center"/>
        <w:ind w:right="19"/>
        <w:spacing w:after="0"/>
        <w:rPr>
          <w:sz w:val="20"/>
          <w:szCs w:val="20"/>
          <w:color w:val="auto"/>
        </w:rPr>
      </w:pPr>
      <w:r>
        <w:rPr>
          <w:rFonts w:ascii="Arial" w:cs="Arial" w:eastAsia="Arial" w:hAnsi="Arial"/>
          <w:sz w:val="18"/>
          <w:szCs w:val="18"/>
          <w:color w:val="auto"/>
        </w:rPr>
        <w:t>(Amounts in thousands, except for share and per share amounts)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820" w:type="dxa"/>
            <w:vAlign w:val="bottom"/>
            <w:tcBorders>
              <w:top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2920" w:type="dxa"/>
            <w:vAlign w:val="bottom"/>
            <w:tcBorders>
              <w:top w:val="single" w:sz="8" w:color="auto"/>
              <w:bottom w:val="single" w:sz="8" w:color="auto"/>
            </w:tcBorders>
            <w:gridSpan w:val="3"/>
          </w:tcPr>
          <w:p>
            <w:pPr>
              <w:jc w:val="right"/>
              <w:ind w:right="42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56"/>
        </w:trPr>
        <w:tc>
          <w:tcPr>
            <w:tcW w:w="58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2023</w:t>
            </w: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08"/>
              <w:spacing w:after="0" w:line="155" w:lineRule="exact"/>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155"/>
        </w:trPr>
        <w:tc>
          <w:tcPr>
            <w:tcW w:w="5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Operating expenses:</w:t>
            </w: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8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148"/>
              <w:spacing w:after="0"/>
              <w:rPr>
                <w:sz w:val="20"/>
                <w:szCs w:val="20"/>
                <w:color w:val="auto"/>
              </w:rPr>
            </w:pPr>
            <w:r>
              <w:rPr>
                <w:rFonts w:ascii="Arial" w:cs="Arial" w:eastAsia="Arial" w:hAnsi="Arial"/>
                <w:sz w:val="14"/>
                <w:szCs w:val="14"/>
                <w:color w:val="auto"/>
              </w:rPr>
              <w:t>22,826</w:t>
            </w:r>
          </w:p>
        </w:tc>
        <w:tc>
          <w:tcPr>
            <w:tcW w:w="50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16,009</w:t>
            </w: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160" w:type="dxa"/>
            <w:vAlign w:val="bottom"/>
            <w:tcBorders>
              <w:bottom w:val="single" w:sz="8" w:color="auto"/>
            </w:tcBorders>
            <w:shd w:val="clear" w:color="auto" w:fill="CCEEFF"/>
          </w:tcPr>
          <w:p>
            <w:pPr>
              <w:spacing w:after="0"/>
              <w:rPr>
                <w:sz w:val="14"/>
                <w:szCs w:val="14"/>
                <w:color w:val="auto"/>
              </w:rPr>
            </w:pPr>
          </w:p>
        </w:tc>
        <w:tc>
          <w:tcPr>
            <w:tcW w:w="140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6,776</w:t>
            </w:r>
          </w:p>
        </w:tc>
        <w:tc>
          <w:tcPr>
            <w:tcW w:w="5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7,245</w:t>
            </w:r>
          </w:p>
        </w:tc>
        <w:tc>
          <w:tcPr>
            <w:tcW w:w="0" w:type="dxa"/>
            <w:vAlign w:val="bottom"/>
          </w:tcPr>
          <w:p>
            <w:pPr>
              <w:spacing w:after="0"/>
              <w:rPr>
                <w:sz w:val="1"/>
                <w:szCs w:val="1"/>
                <w:color w:val="auto"/>
              </w:rPr>
            </w:pPr>
          </w:p>
        </w:tc>
      </w:tr>
      <w:tr>
        <w:trPr>
          <w:trHeight w:val="156"/>
        </w:trPr>
        <w:tc>
          <w:tcPr>
            <w:tcW w:w="58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Total operating expenses</w:t>
            </w:r>
          </w:p>
        </w:tc>
        <w:tc>
          <w:tcPr>
            <w:tcW w:w="1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29,602</w:t>
            </w:r>
          </w:p>
        </w:tc>
        <w:tc>
          <w:tcPr>
            <w:tcW w:w="5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23,254</w:t>
            </w:r>
          </w:p>
        </w:tc>
        <w:tc>
          <w:tcPr>
            <w:tcW w:w="0" w:type="dxa"/>
            <w:vAlign w:val="bottom"/>
          </w:tcPr>
          <w:p>
            <w:pPr>
              <w:spacing w:after="0"/>
              <w:rPr>
                <w:sz w:val="1"/>
                <w:szCs w:val="1"/>
                <w:color w:val="auto"/>
              </w:rPr>
            </w:pPr>
          </w:p>
        </w:tc>
      </w:tr>
      <w:tr>
        <w:trPr>
          <w:trHeight w:val="155"/>
        </w:trPr>
        <w:tc>
          <w:tcPr>
            <w:tcW w:w="582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Loss from operations</w:t>
            </w:r>
          </w:p>
        </w:tc>
        <w:tc>
          <w:tcPr>
            <w:tcW w:w="160" w:type="dxa"/>
            <w:vAlign w:val="bottom"/>
            <w:shd w:val="clear" w:color="auto" w:fill="CCEEFF"/>
          </w:tcPr>
          <w:p>
            <w:pPr>
              <w:spacing w:after="0"/>
              <w:rPr>
                <w:sz w:val="13"/>
                <w:szCs w:val="13"/>
                <w:color w:val="auto"/>
              </w:rPr>
            </w:pPr>
          </w:p>
        </w:tc>
        <w:tc>
          <w:tcPr>
            <w:tcW w:w="140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(29,602)</w:t>
            </w:r>
          </w:p>
        </w:tc>
        <w:tc>
          <w:tcPr>
            <w:tcW w:w="5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(23,254)</w:t>
            </w:r>
          </w:p>
        </w:tc>
        <w:tc>
          <w:tcPr>
            <w:tcW w:w="0" w:type="dxa"/>
            <w:vAlign w:val="bottom"/>
          </w:tcPr>
          <w:p>
            <w:pPr>
              <w:spacing w:after="0"/>
              <w:rPr>
                <w:sz w:val="1"/>
                <w:szCs w:val="1"/>
                <w:color w:val="auto"/>
              </w:rPr>
            </w:pPr>
          </w:p>
        </w:tc>
      </w:tr>
      <w:tr>
        <w:trPr>
          <w:trHeight w:val="162"/>
        </w:trPr>
        <w:tc>
          <w:tcPr>
            <w:tcW w:w="5820" w:type="dxa"/>
            <w:vAlign w:val="bottom"/>
          </w:tcPr>
          <w:p>
            <w:pPr>
              <w:spacing w:after="0"/>
              <w:rPr>
                <w:sz w:val="20"/>
                <w:szCs w:val="20"/>
                <w:color w:val="auto"/>
              </w:rPr>
            </w:pPr>
            <w:r>
              <w:rPr>
                <w:rFonts w:ascii="Arial" w:cs="Arial" w:eastAsia="Arial" w:hAnsi="Arial"/>
                <w:sz w:val="14"/>
                <w:szCs w:val="14"/>
                <w:color w:val="auto"/>
              </w:rPr>
              <w:t>Other income:</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8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Interest income</w:t>
            </w:r>
          </w:p>
        </w:tc>
        <w:tc>
          <w:tcPr>
            <w:tcW w:w="16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1,305</w:t>
            </w: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62"/>
        </w:trPr>
        <w:tc>
          <w:tcPr>
            <w:tcW w:w="582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Other income:</w:t>
            </w:r>
          </w:p>
        </w:tc>
        <w:tc>
          <w:tcPr>
            <w:tcW w:w="16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11</w:t>
            </w:r>
          </w:p>
        </w:tc>
        <w:tc>
          <w:tcPr>
            <w:tcW w:w="5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ind w:left="100"/>
              <w:spacing w:after="0" w:line="155" w:lineRule="exact"/>
              <w:rPr>
                <w:sz w:val="20"/>
                <w:szCs w:val="20"/>
                <w:color w:val="auto"/>
              </w:rPr>
            </w:pPr>
            <w:r>
              <w:rPr>
                <w:rFonts w:ascii="Arial" w:cs="Arial" w:eastAsia="Arial" w:hAnsi="Arial"/>
                <w:sz w:val="14"/>
                <w:szCs w:val="14"/>
                <w:color w:val="auto"/>
              </w:rPr>
              <w:t>Total other income</w:t>
            </w:r>
          </w:p>
        </w:tc>
        <w:tc>
          <w:tcPr>
            <w:tcW w:w="160" w:type="dxa"/>
            <w:vAlign w:val="bottom"/>
            <w:tcBorders>
              <w:bottom w:val="single" w:sz="8" w:color="auto"/>
            </w:tcBorders>
            <w:shd w:val="clear" w:color="auto" w:fill="CCEEFF"/>
          </w:tcPr>
          <w:p>
            <w:pPr>
              <w:spacing w:after="0"/>
              <w:rPr>
                <w:sz w:val="13"/>
                <w:szCs w:val="13"/>
                <w:color w:val="auto"/>
              </w:rPr>
            </w:pPr>
          </w:p>
        </w:tc>
        <w:tc>
          <w:tcPr>
            <w:tcW w:w="140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1,316</w:t>
            </w:r>
          </w:p>
        </w:tc>
        <w:tc>
          <w:tcPr>
            <w:tcW w:w="5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96"/>
        </w:trPr>
        <w:tc>
          <w:tcPr>
            <w:tcW w:w="5820" w:type="dxa"/>
            <w:vAlign w:val="bottom"/>
            <w:tcBorders>
              <w:bottom w:val="single" w:sz="8" w:color="CCEEFF"/>
            </w:tcBorders>
          </w:tcPr>
          <w:p>
            <w:pPr>
              <w:ind w:left="220"/>
              <w:spacing w:after="0" w:line="155" w:lineRule="exact"/>
              <w:rPr>
                <w:sz w:val="20"/>
                <w:szCs w:val="20"/>
                <w:color w:val="auto"/>
              </w:rPr>
            </w:pPr>
            <w:r>
              <w:rPr>
                <w:rFonts w:ascii="Arial" w:cs="Arial" w:eastAsia="Arial" w:hAnsi="Arial"/>
                <w:sz w:val="14"/>
                <w:szCs w:val="14"/>
                <w:color w:val="auto"/>
              </w:rPr>
              <w:t>Net loss attributable to common stockholders</w:t>
            </w:r>
          </w:p>
        </w:tc>
        <w:tc>
          <w:tcPr>
            <w:tcW w:w="1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(28,286)</w:t>
            </w:r>
          </w:p>
        </w:tc>
        <w:tc>
          <w:tcPr>
            <w:tcW w:w="500" w:type="dxa"/>
            <w:vAlign w:val="bottom"/>
            <w:tcBorders>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(23,030)</w:t>
            </w:r>
          </w:p>
        </w:tc>
        <w:tc>
          <w:tcPr>
            <w:tcW w:w="0" w:type="dxa"/>
            <w:vAlign w:val="bottom"/>
          </w:tcPr>
          <w:p>
            <w:pPr>
              <w:spacing w:after="0"/>
              <w:rPr>
                <w:sz w:val="1"/>
                <w:szCs w:val="1"/>
                <w:color w:val="auto"/>
              </w:rPr>
            </w:pPr>
          </w:p>
        </w:tc>
      </w:tr>
      <w:tr>
        <w:trPr>
          <w:trHeight w:val="143"/>
        </w:trPr>
        <w:tc>
          <w:tcPr>
            <w:tcW w:w="5820" w:type="dxa"/>
            <w:vAlign w:val="bottom"/>
            <w:tcBorders>
              <w:bottom w:val="single" w:sz="8" w:color="CCEEFF"/>
            </w:tcBorders>
            <w:shd w:val="clear" w:color="auto" w:fill="CCEEFF"/>
          </w:tcPr>
          <w:p>
            <w:pPr>
              <w:spacing w:after="0" w:line="143" w:lineRule="exact"/>
              <w:rPr>
                <w:sz w:val="20"/>
                <w:szCs w:val="20"/>
                <w:color w:val="auto"/>
              </w:rPr>
            </w:pPr>
            <w:r>
              <w:rPr>
                <w:rFonts w:ascii="Arial" w:cs="Arial" w:eastAsia="Arial" w:hAnsi="Arial"/>
                <w:sz w:val="14"/>
                <w:szCs w:val="14"/>
                <w:color w:val="231F20"/>
              </w:rPr>
              <w:t>Net loss per share attributable to common stockholders, basic and diluted</w:t>
            </w:r>
          </w:p>
        </w:tc>
        <w:tc>
          <w:tcPr>
            <w:tcW w:w="16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ind w:right="88"/>
              <w:spacing w:after="0" w:line="143" w:lineRule="exact"/>
              <w:rPr>
                <w:sz w:val="20"/>
                <w:szCs w:val="20"/>
                <w:color w:val="auto"/>
              </w:rPr>
            </w:pPr>
            <w:r>
              <w:rPr>
                <w:rFonts w:ascii="Arial" w:cs="Arial" w:eastAsia="Arial" w:hAnsi="Arial"/>
                <w:sz w:val="14"/>
                <w:szCs w:val="14"/>
                <w:color w:val="231F20"/>
              </w:rPr>
              <w:t>(0.70)</w:t>
            </w:r>
          </w:p>
        </w:tc>
        <w:tc>
          <w:tcPr>
            <w:tcW w:w="500" w:type="dxa"/>
            <w:vAlign w:val="bottom"/>
            <w:tcBorders>
              <w:bottom w:val="single" w:sz="8" w:color="auto"/>
            </w:tcBorders>
            <w:shd w:val="clear" w:color="auto" w:fill="CCEEFF"/>
          </w:tcPr>
          <w:p>
            <w:pPr>
              <w:jc w:val="right"/>
              <w:ind w:right="168"/>
              <w:spacing w:after="0" w:line="143" w:lineRule="exact"/>
              <w:rPr>
                <w:sz w:val="20"/>
                <w:szCs w:val="20"/>
                <w:color w:val="auto"/>
              </w:rPr>
            </w:pPr>
            <w:r>
              <w:rPr>
                <w:rFonts w:ascii="Arial" w:cs="Arial" w:eastAsia="Arial" w:hAnsi="Arial"/>
                <w:sz w:val="14"/>
                <w:szCs w:val="14"/>
                <w:color w:val="231F20"/>
              </w:rPr>
              <w:t>$</w:t>
            </w:r>
          </w:p>
        </w:tc>
        <w:tc>
          <w:tcPr>
            <w:tcW w:w="102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4"/>
                <w:szCs w:val="14"/>
                <w:color w:val="231F20"/>
              </w:rPr>
              <w:t>(0.58)</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4"/>
                <w:szCs w:val="14"/>
                <w:color w:val="231F20"/>
              </w:rPr>
              <w:t>Weighted average shares used to compute net loss per share attributable to common</w:t>
            </w: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582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1400" w:type="dxa"/>
            <w:vAlign w:val="bottom"/>
            <w:vMerge w:val="restart"/>
          </w:tcPr>
          <w:p>
            <w:pPr>
              <w:jc w:val="right"/>
              <w:ind w:right="148"/>
              <w:spacing w:after="0"/>
              <w:rPr>
                <w:sz w:val="20"/>
                <w:szCs w:val="20"/>
                <w:color w:val="auto"/>
              </w:rPr>
            </w:pPr>
            <w:r>
              <w:rPr>
                <w:rFonts w:ascii="Arial" w:cs="Arial" w:eastAsia="Arial" w:hAnsi="Arial"/>
                <w:sz w:val="14"/>
                <w:szCs w:val="14"/>
                <w:color w:val="auto"/>
              </w:rPr>
              <w:t>40,354,493</w:t>
            </w:r>
          </w:p>
        </w:tc>
        <w:tc>
          <w:tcPr>
            <w:tcW w:w="500" w:type="dxa"/>
            <w:vAlign w:val="bottom"/>
          </w:tcPr>
          <w:p>
            <w:pPr>
              <w:spacing w:after="0"/>
              <w:rPr>
                <w:sz w:val="10"/>
                <w:szCs w:val="10"/>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39,834,619</w:t>
            </w:r>
          </w:p>
        </w:tc>
        <w:tc>
          <w:tcPr>
            <w:tcW w:w="0" w:type="dxa"/>
            <w:vAlign w:val="bottom"/>
          </w:tcPr>
          <w:p>
            <w:pPr>
              <w:spacing w:after="0"/>
              <w:rPr>
                <w:sz w:val="1"/>
                <w:szCs w:val="1"/>
                <w:color w:val="auto"/>
              </w:rPr>
            </w:pPr>
          </w:p>
        </w:tc>
      </w:tr>
      <w:tr>
        <w:trPr>
          <w:trHeight w:val="144"/>
        </w:trPr>
        <w:tc>
          <w:tcPr>
            <w:tcW w:w="5820" w:type="dxa"/>
            <w:vAlign w:val="bottom"/>
          </w:tcPr>
          <w:p>
            <w:pPr>
              <w:spacing w:after="0" w:line="144" w:lineRule="exact"/>
              <w:rPr>
                <w:sz w:val="20"/>
                <w:szCs w:val="20"/>
                <w:color w:val="auto"/>
              </w:rPr>
            </w:pPr>
            <w:r>
              <w:rPr>
                <w:rFonts w:ascii="Arial" w:cs="Arial" w:eastAsia="Arial" w:hAnsi="Arial"/>
                <w:sz w:val="14"/>
                <w:szCs w:val="14"/>
                <w:color w:val="231F20"/>
              </w:rPr>
              <w:t>stockholders, basic and diluted</w:t>
            </w:r>
          </w:p>
        </w:tc>
        <w:tc>
          <w:tcPr>
            <w:tcW w:w="16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vMerge w:val="continue"/>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5820" w:type="dxa"/>
            <w:vAlign w:val="bottom"/>
            <w:tcBorders>
              <w:top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2760" w:type="dxa"/>
            <w:vAlign w:val="bottom"/>
            <w:tcBorders>
              <w:top w:val="single" w:sz="8" w:color="auto"/>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82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2022</w:t>
            </w:r>
          </w:p>
        </w:tc>
      </w:tr>
      <w:tr>
        <w:trPr>
          <w:trHeight w:val="156"/>
        </w:trPr>
        <w:tc>
          <w:tcPr>
            <w:tcW w:w="582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231F20"/>
              </w:rPr>
              <w:t>Net loss</w:t>
            </w:r>
          </w:p>
        </w:tc>
        <w:tc>
          <w:tcPr>
            <w:tcW w:w="320" w:type="dxa"/>
            <w:vAlign w:val="bottom"/>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ind w:right="88"/>
              <w:spacing w:after="0" w:line="155" w:lineRule="exact"/>
              <w:rPr>
                <w:sz w:val="20"/>
                <w:szCs w:val="20"/>
                <w:color w:val="auto"/>
              </w:rPr>
            </w:pPr>
            <w:r>
              <w:rPr>
                <w:rFonts w:ascii="Arial" w:cs="Arial" w:eastAsia="Arial" w:hAnsi="Arial"/>
                <w:sz w:val="14"/>
                <w:szCs w:val="14"/>
                <w:color w:val="auto"/>
              </w:rPr>
              <w:t>(28,286)</w:t>
            </w:r>
          </w:p>
        </w:tc>
        <w:tc>
          <w:tcPr>
            <w:tcW w:w="480" w:type="dxa"/>
            <w:vAlign w:val="bottom"/>
            <w:shd w:val="clear" w:color="auto" w:fill="CCEEFF"/>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(23,030)</w:t>
            </w:r>
          </w:p>
        </w:tc>
      </w:tr>
      <w:tr>
        <w:trPr>
          <w:trHeight w:val="162"/>
        </w:trPr>
        <w:tc>
          <w:tcPr>
            <w:tcW w:w="5820" w:type="dxa"/>
            <w:vAlign w:val="bottom"/>
          </w:tcPr>
          <w:p>
            <w:pPr>
              <w:ind w:left="20"/>
              <w:spacing w:after="0"/>
              <w:rPr>
                <w:sz w:val="20"/>
                <w:szCs w:val="20"/>
                <w:color w:val="auto"/>
              </w:rPr>
            </w:pPr>
            <w:r>
              <w:rPr>
                <w:rFonts w:ascii="Arial" w:cs="Arial" w:eastAsia="Arial" w:hAnsi="Arial"/>
                <w:sz w:val="14"/>
                <w:szCs w:val="14"/>
                <w:color w:val="231F20"/>
              </w:rPr>
              <w:t>Other comprehensive gain (loss):</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2"/>
        </w:trPr>
        <w:tc>
          <w:tcPr>
            <w:tcW w:w="58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unrealized gain (loss) on marketable securities</w:t>
            </w:r>
          </w:p>
        </w:tc>
        <w:tc>
          <w:tcPr>
            <w:tcW w:w="3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835</w:t>
            </w:r>
          </w:p>
        </w:tc>
        <w:tc>
          <w:tcPr>
            <w:tcW w:w="4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w:t>
            </w:r>
          </w:p>
        </w:tc>
      </w:tr>
      <w:tr>
        <w:trPr>
          <w:trHeight w:val="155"/>
        </w:trPr>
        <w:tc>
          <w:tcPr>
            <w:tcW w:w="5820" w:type="dxa"/>
            <w:vAlign w:val="bottom"/>
            <w:tcBorders>
              <w:bottom w:val="single" w:sz="8" w:color="auto"/>
            </w:tcBorders>
          </w:tcPr>
          <w:p>
            <w:pPr>
              <w:ind w:left="20"/>
              <w:spacing w:after="0" w:line="155" w:lineRule="exact"/>
              <w:rPr>
                <w:sz w:val="20"/>
                <w:szCs w:val="20"/>
                <w:color w:val="auto"/>
              </w:rPr>
            </w:pPr>
            <w:r>
              <w:rPr>
                <w:rFonts w:ascii="Arial" w:cs="Arial" w:eastAsia="Arial" w:hAnsi="Arial"/>
                <w:sz w:val="14"/>
                <w:szCs w:val="14"/>
                <w:color w:val="231F20"/>
              </w:rPr>
              <w:t>Total comprehensive loss</w:t>
            </w:r>
          </w:p>
        </w:tc>
        <w:tc>
          <w:tcPr>
            <w:tcW w:w="3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rPr>
              <w:t>(27,451)</w:t>
            </w:r>
          </w:p>
        </w:tc>
        <w:tc>
          <w:tcPr>
            <w:tcW w:w="48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(24,507)</w:t>
            </w: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 (Unaudited)</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 except for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143510</wp:posOffset>
            </wp:positionV>
            <wp:extent cx="56489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0" w:right="220"/>
        <w:spacing w:after="0" w:line="253" w:lineRule="auto"/>
        <w:rPr>
          <w:sz w:val="20"/>
          <w:szCs w:val="20"/>
          <w:color w:val="auto"/>
        </w:rPr>
      </w:pPr>
      <w:r>
        <w:rPr>
          <w:rFonts w:ascii="Arial" w:cs="Arial" w:eastAsia="Arial" w:hAnsi="Arial"/>
          <w:sz w:val="10"/>
          <w:szCs w:val="10"/>
          <w:color w:val="231F20"/>
        </w:rPr>
        <w:t xml:space="preserve">Balances at December 31, 2022 </w:t>
      </w:r>
      <w:r>
        <w:rPr>
          <w:rFonts w:ascii="Arial" w:cs="Arial" w:eastAsia="Arial" w:hAnsi="Arial"/>
          <w:sz w:val="10"/>
          <w:szCs w:val="10"/>
          <w:color w:val="000000"/>
        </w:rPr>
        <w:t xml:space="preserve">Vesting of early exercised stock options Vesting of restricted stock awards Exercise of stock options Stock-based compensation expense </w:t>
      </w:r>
      <w:r>
        <w:rPr>
          <w:rFonts w:ascii="Arial" w:cs="Arial" w:eastAsia="Arial" w:hAnsi="Arial"/>
          <w:sz w:val="10"/>
          <w:szCs w:val="10"/>
          <w:color w:val="231F20"/>
        </w:rPr>
        <w:t>Employee stock purchase plan expense</w:t>
      </w:r>
    </w:p>
    <w:p>
      <w:pPr>
        <w:spacing w:after="0" w:line="2" w:lineRule="exact"/>
        <w:rPr>
          <w:sz w:val="20"/>
          <w:szCs w:val="20"/>
          <w:color w:val="auto"/>
        </w:rPr>
      </w:pPr>
    </w:p>
    <w:p>
      <w:pPr>
        <w:ind w:left="60"/>
        <w:spacing w:after="0" w:line="238" w:lineRule="auto"/>
        <w:rPr>
          <w:sz w:val="20"/>
          <w:szCs w:val="20"/>
          <w:color w:val="auto"/>
        </w:rPr>
      </w:pPr>
      <w:r>
        <w:rPr>
          <w:rFonts w:ascii="Arial" w:cs="Arial" w:eastAsia="Arial" w:hAnsi="Arial"/>
          <w:sz w:val="11"/>
          <w:szCs w:val="11"/>
          <w:color w:val="231F20"/>
        </w:rPr>
        <w:t>Net unrealized gain on marketable securities Net loss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March 31, 2023</w:t>
      </w:r>
    </w:p>
    <w:p>
      <w:pPr>
        <w:spacing w:after="0" w:line="20" w:lineRule="exact"/>
        <w:rPr>
          <w:sz w:val="20"/>
          <w:szCs w:val="20"/>
          <w:color w:val="auto"/>
        </w:rPr>
      </w:pPr>
      <w:r>
        <w:rPr>
          <w:sz w:val="20"/>
          <w:szCs w:val="20"/>
          <w:color w:val="auto"/>
        </w:rPr>
        <w:br w:type="column"/>
      </w: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5"/>
        </w:trPr>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246"/>
              <w:spacing w:after="0"/>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13"/>
                <w:szCs w:val="13"/>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Total</w:t>
            </w:r>
          </w:p>
        </w:tc>
      </w:tr>
      <w:tr>
        <w:trPr>
          <w:trHeight w:val="130"/>
        </w:trPr>
        <w:tc>
          <w:tcPr>
            <w:tcW w:w="1720" w:type="dxa"/>
            <w:vAlign w:val="bottom"/>
            <w:tcBorders>
              <w:bottom w:val="single" w:sz="8" w:color="auto"/>
            </w:tcBorders>
            <w:gridSpan w:val="2"/>
          </w:tcPr>
          <w:p>
            <w:pPr>
              <w:jc w:val="right"/>
              <w:ind w:right="30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11"/>
                <w:szCs w:val="11"/>
                <w:color w:val="auto"/>
              </w:rPr>
            </w:pPr>
          </w:p>
        </w:tc>
        <w:tc>
          <w:tcPr>
            <w:tcW w:w="96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200" w:type="dxa"/>
            <w:vAlign w:val="bottom"/>
          </w:tcPr>
          <w:p>
            <w:pPr>
              <w:spacing w:after="0"/>
              <w:rPr>
                <w:sz w:val="11"/>
                <w:szCs w:val="11"/>
                <w:color w:val="auto"/>
              </w:rPr>
            </w:pP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w w:val="95"/>
              </w:rPr>
              <w:t>Accumulated</w:t>
            </w:r>
          </w:p>
        </w:tc>
        <w:tc>
          <w:tcPr>
            <w:tcW w:w="200" w:type="dxa"/>
            <w:vAlign w:val="bottom"/>
          </w:tcPr>
          <w:p>
            <w:pPr>
              <w:spacing w:after="0"/>
              <w:rPr>
                <w:sz w:val="11"/>
                <w:szCs w:val="11"/>
                <w:color w:val="auto"/>
              </w:rPr>
            </w:pPr>
          </w:p>
        </w:tc>
        <w:tc>
          <w:tcPr>
            <w:tcW w:w="8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2"/>
        </w:trPr>
        <w:tc>
          <w:tcPr>
            <w:tcW w:w="90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b w:val="1"/>
                <w:bCs w:val="1"/>
                <w:color w:val="231F20"/>
              </w:rPr>
              <w:t>Shares</w:t>
            </w:r>
          </w:p>
        </w:tc>
        <w:tc>
          <w:tcPr>
            <w:tcW w:w="8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6"/>
              <w:spacing w:after="0" w:line="122" w:lineRule="exact"/>
              <w:rPr>
                <w:sz w:val="20"/>
                <w:szCs w:val="20"/>
                <w:color w:val="auto"/>
              </w:rPr>
            </w:pPr>
            <w:r>
              <w:rPr>
                <w:rFonts w:ascii="Arial" w:cs="Arial" w:eastAsia="Arial" w:hAnsi="Arial"/>
                <w:sz w:val="11"/>
                <w:szCs w:val="11"/>
                <w:b w:val="1"/>
                <w:bCs w:val="1"/>
                <w:color w:val="231F20"/>
              </w:rPr>
              <w:t>Capital</w:t>
            </w: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106"/>
              <w:spacing w:after="0" w:line="113" w:lineRule="exact"/>
              <w:rPr>
                <w:sz w:val="20"/>
                <w:szCs w:val="20"/>
                <w:color w:val="auto"/>
              </w:rPr>
            </w:pPr>
            <w:r>
              <w:rPr>
                <w:rFonts w:ascii="Arial" w:cs="Arial" w:eastAsia="Arial" w:hAnsi="Arial"/>
                <w:sz w:val="11"/>
                <w:szCs w:val="11"/>
                <w:b w:val="1"/>
                <w:bCs w:val="1"/>
                <w:color w:val="231F20"/>
                <w:w w:val="99"/>
              </w:rPr>
              <w:t>(Loss) Gain</w:t>
            </w: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6"/>
              <w:spacing w:after="0" w:line="122" w:lineRule="exact"/>
              <w:rPr>
                <w:sz w:val="20"/>
                <w:szCs w:val="20"/>
                <w:color w:val="auto"/>
              </w:rPr>
            </w:pPr>
            <w:r>
              <w:rPr>
                <w:rFonts w:ascii="Arial" w:cs="Arial" w:eastAsia="Arial" w:hAnsi="Arial"/>
                <w:sz w:val="11"/>
                <w:szCs w:val="11"/>
                <w:b w:val="1"/>
                <w:bCs w:val="1"/>
                <w:color w:val="231F20"/>
              </w:rPr>
              <w:t>Deficit</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2"/>
        </w:trPr>
        <w:tc>
          <w:tcPr>
            <w:tcW w:w="900" w:type="dxa"/>
            <w:vAlign w:val="bottom"/>
          </w:tcPr>
          <w:p>
            <w:pPr>
              <w:jc w:val="right"/>
              <w:ind w:right="106"/>
              <w:spacing w:after="0" w:line="112" w:lineRule="exact"/>
              <w:rPr>
                <w:sz w:val="20"/>
                <w:szCs w:val="20"/>
                <w:color w:val="auto"/>
              </w:rPr>
            </w:pPr>
            <w:r>
              <w:rPr>
                <w:rFonts w:ascii="Arial" w:cs="Arial" w:eastAsia="Arial" w:hAnsi="Arial"/>
                <w:sz w:val="11"/>
                <w:szCs w:val="11"/>
                <w:color w:val="231F20"/>
              </w:rPr>
              <w:t>40,287,097</w:t>
            </w:r>
          </w:p>
        </w:tc>
        <w:tc>
          <w:tcPr>
            <w:tcW w:w="820" w:type="dxa"/>
            <w:vAlign w:val="bottom"/>
          </w:tcPr>
          <w:p>
            <w:pPr>
              <w:jc w:val="right"/>
              <w:ind w:right="546"/>
              <w:spacing w:after="0" w:line="112" w:lineRule="exact"/>
              <w:rPr>
                <w:sz w:val="20"/>
                <w:szCs w:val="20"/>
                <w:color w:val="auto"/>
              </w:rPr>
            </w:pPr>
            <w:r>
              <w:rPr>
                <w:rFonts w:ascii="Arial" w:cs="Arial" w:eastAsia="Arial" w:hAnsi="Arial"/>
                <w:sz w:val="11"/>
                <w:szCs w:val="11"/>
                <w:color w:val="231F20"/>
              </w:rPr>
              <w:t>$</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36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408,333</w:t>
            </w:r>
          </w:p>
        </w:tc>
        <w:tc>
          <w:tcPr>
            <w:tcW w:w="22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6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(1,813)</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20" w:type="dxa"/>
            <w:vAlign w:val="bottom"/>
          </w:tcPr>
          <w:p>
            <w:pPr>
              <w:jc w:val="right"/>
              <w:ind w:right="66"/>
              <w:spacing w:after="0" w:line="112" w:lineRule="exact"/>
              <w:rPr>
                <w:sz w:val="20"/>
                <w:szCs w:val="20"/>
                <w:color w:val="auto"/>
              </w:rPr>
            </w:pPr>
            <w:r>
              <w:rPr>
                <w:rFonts w:ascii="Arial" w:cs="Arial" w:eastAsia="Arial" w:hAnsi="Arial"/>
                <w:sz w:val="11"/>
                <w:szCs w:val="11"/>
                <w:color w:val="231F20"/>
              </w:rPr>
              <w:t>(208,977)</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12" w:lineRule="exact"/>
              <w:rPr>
                <w:sz w:val="20"/>
                <w:szCs w:val="20"/>
                <w:color w:val="auto"/>
              </w:rPr>
            </w:pPr>
            <w:r>
              <w:rPr>
                <w:rFonts w:ascii="Arial" w:cs="Arial" w:eastAsia="Arial" w:hAnsi="Arial"/>
                <w:sz w:val="11"/>
                <w:szCs w:val="11"/>
                <w:color w:val="231F20"/>
              </w:rPr>
              <w:t>197,546</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6,990</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30</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30</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49,318</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94,915</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220</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220</w:t>
            </w:r>
          </w:p>
        </w:tc>
      </w:tr>
      <w:tr>
        <w:trPr>
          <w:trHeight w:val="121"/>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4,515</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4,515</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115</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115</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835</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835</w:t>
            </w:r>
          </w:p>
        </w:tc>
      </w:tr>
      <w:tr>
        <w:trPr>
          <w:trHeight w:val="125"/>
        </w:trPr>
        <w:tc>
          <w:tcPr>
            <w:tcW w:w="900" w:type="dxa"/>
            <w:vAlign w:val="bottom"/>
            <w:tcBorders>
              <w:bottom w:val="single" w:sz="8" w:color="auto"/>
            </w:tcBorders>
          </w:tcPr>
          <w:p>
            <w:pPr>
              <w:jc w:val="right"/>
              <w:ind w:right="106"/>
              <w:spacing w:after="0" w:line="125" w:lineRule="exact"/>
              <w:rPr>
                <w:sz w:val="20"/>
                <w:szCs w:val="20"/>
                <w:color w:val="auto"/>
              </w:rPr>
            </w:pPr>
            <w:r>
              <w:rPr>
                <w:rFonts w:ascii="Arial" w:cs="Arial" w:eastAsia="Arial" w:hAnsi="Arial"/>
                <w:sz w:val="11"/>
                <w:szCs w:val="11"/>
                <w:color w:val="231F20"/>
              </w:rPr>
              <w:t>—</w:t>
            </w: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231F20"/>
              </w:rPr>
              <w:t>—</w:t>
            </w: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6"/>
              <w:spacing w:after="0" w:line="125" w:lineRule="exact"/>
              <w:rPr>
                <w:sz w:val="20"/>
                <w:szCs w:val="20"/>
                <w:color w:val="auto"/>
              </w:rPr>
            </w:pPr>
            <w:r>
              <w:rPr>
                <w:rFonts w:ascii="Arial" w:cs="Arial" w:eastAsia="Arial" w:hAnsi="Arial"/>
                <w:sz w:val="11"/>
                <w:szCs w:val="11"/>
                <w:color w:val="231F20"/>
              </w:rPr>
              <w:t>(28,286)</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(28,286)</w:t>
            </w:r>
          </w:p>
        </w:tc>
      </w:tr>
      <w:tr>
        <w:trPr>
          <w:trHeight w:val="115"/>
        </w:trPr>
        <w:tc>
          <w:tcPr>
            <w:tcW w:w="90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color w:val="231F20"/>
              </w:rPr>
              <w:t>40,438,320</w:t>
            </w:r>
          </w:p>
        </w:tc>
        <w:tc>
          <w:tcPr>
            <w:tcW w:w="820" w:type="dxa"/>
            <w:vAlign w:val="bottom"/>
            <w:tcBorders>
              <w:bottom w:val="single" w:sz="8" w:color="auto"/>
            </w:tcBorders>
          </w:tcPr>
          <w:p>
            <w:pPr>
              <w:jc w:val="right"/>
              <w:ind w:right="546"/>
              <w:spacing w:after="0" w:line="11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3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413,213</w:t>
            </w:r>
          </w:p>
        </w:tc>
        <w:tc>
          <w:tcPr>
            <w:tcW w:w="2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(978)</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2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color w:val="231F20"/>
              </w:rPr>
              <w:t>(237,263)</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174,975</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-736600</wp:posOffset>
            </wp:positionV>
            <wp:extent cx="5648960" cy="857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-574040</wp:posOffset>
            </wp:positionV>
            <wp:extent cx="5648960" cy="774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-419735</wp:posOffset>
            </wp:positionV>
            <wp:extent cx="5648960" cy="77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-265430</wp:posOffset>
            </wp:positionV>
            <wp:extent cx="5648960" cy="774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-111125</wp:posOffset>
            </wp:positionV>
            <wp:extent cx="5648960" cy="939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8960" cy="9398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154305</wp:posOffset>
            </wp:positionV>
            <wp:extent cx="56489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4896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260"/>
            <w:col w:w="657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220"/>
        <w:spacing w:after="0" w:line="253" w:lineRule="auto"/>
        <w:rPr>
          <w:sz w:val="20"/>
          <w:szCs w:val="20"/>
          <w:color w:val="auto"/>
        </w:rPr>
      </w:pPr>
      <w:r>
        <w:rPr>
          <w:rFonts w:ascii="Arial" w:cs="Arial" w:eastAsia="Arial" w:hAnsi="Arial"/>
          <w:sz w:val="10"/>
          <w:szCs w:val="10"/>
          <w:color w:val="231F20"/>
        </w:rPr>
        <w:t xml:space="preserve">Balances at December 31, 2021 </w:t>
      </w:r>
      <w:r>
        <w:rPr>
          <w:rFonts w:ascii="Arial" w:cs="Arial" w:eastAsia="Arial" w:hAnsi="Arial"/>
          <w:sz w:val="10"/>
          <w:szCs w:val="10"/>
          <w:color w:val="000000"/>
        </w:rPr>
        <w:t xml:space="preserve">Vesting of early exercised stock options Vesting of restricted stock awards Exercise of stock options Stock-based compensation expense </w:t>
      </w:r>
      <w:r>
        <w:rPr>
          <w:rFonts w:ascii="Arial" w:cs="Arial" w:eastAsia="Arial" w:hAnsi="Arial"/>
          <w:sz w:val="10"/>
          <w:szCs w:val="10"/>
          <w:color w:val="231F20"/>
        </w:rPr>
        <w:t>Employee stock purchase plan expense</w:t>
      </w:r>
    </w:p>
    <w:p>
      <w:pPr>
        <w:spacing w:after="0" w:line="2" w:lineRule="exact"/>
        <w:rPr>
          <w:sz w:val="20"/>
          <w:szCs w:val="20"/>
          <w:color w:val="auto"/>
        </w:rPr>
      </w:pPr>
    </w:p>
    <w:p>
      <w:pPr>
        <w:ind w:left="60"/>
        <w:spacing w:after="0" w:line="238" w:lineRule="auto"/>
        <w:rPr>
          <w:sz w:val="20"/>
          <w:szCs w:val="20"/>
          <w:color w:val="auto"/>
        </w:rPr>
      </w:pPr>
      <w:r>
        <w:rPr>
          <w:rFonts w:ascii="Arial" w:cs="Arial" w:eastAsia="Arial" w:hAnsi="Arial"/>
          <w:sz w:val="11"/>
          <w:szCs w:val="11"/>
          <w:color w:val="231F20"/>
        </w:rPr>
        <w:t>Net unrealized loss on marketable securities Net loss</w:t>
      </w:r>
    </w:p>
    <w:p>
      <w:pPr>
        <w:spacing w:after="0" w:line="19" w:lineRule="exact"/>
        <w:rPr>
          <w:sz w:val="20"/>
          <w:szCs w:val="20"/>
          <w:color w:val="auto"/>
        </w:rPr>
      </w:pPr>
    </w:p>
    <w:p>
      <w:pPr>
        <w:ind w:left="60"/>
        <w:spacing w:after="0"/>
        <w:rPr>
          <w:sz w:val="20"/>
          <w:szCs w:val="20"/>
          <w:color w:val="auto"/>
        </w:rPr>
      </w:pPr>
      <w:r>
        <w:rPr>
          <w:rFonts w:ascii="Arial" w:cs="Arial" w:eastAsia="Arial" w:hAnsi="Arial"/>
          <w:sz w:val="11"/>
          <w:szCs w:val="11"/>
          <w:color w:val="231F20"/>
        </w:rPr>
        <w:t>Balances at March 31, 2022</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8"/>
              </w:rPr>
              <w:t>Accumulated</w:t>
            </w: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55"/>
        </w:trPr>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jc w:val="right"/>
              <w:ind w:right="246"/>
              <w:spacing w:after="0"/>
              <w:rPr>
                <w:sz w:val="20"/>
                <w:szCs w:val="20"/>
                <w:color w:val="auto"/>
              </w:rPr>
            </w:pPr>
            <w:r>
              <w:rPr>
                <w:rFonts w:ascii="Arial" w:cs="Arial" w:eastAsia="Arial" w:hAnsi="Arial"/>
                <w:sz w:val="11"/>
                <w:szCs w:val="11"/>
                <w:b w:val="1"/>
                <w:bCs w:val="1"/>
                <w:color w:val="auto"/>
              </w:rPr>
              <w:t>Additional</w:t>
            </w:r>
          </w:p>
        </w:tc>
        <w:tc>
          <w:tcPr>
            <w:tcW w:w="220" w:type="dxa"/>
            <w:vAlign w:val="bottom"/>
          </w:tcPr>
          <w:p>
            <w:pPr>
              <w:spacing w:after="0"/>
              <w:rPr>
                <w:sz w:val="13"/>
                <w:szCs w:val="13"/>
                <w:color w:val="auto"/>
              </w:rPr>
            </w:pPr>
          </w:p>
        </w:tc>
        <w:tc>
          <w:tcPr>
            <w:tcW w:w="960" w:type="dxa"/>
            <w:vAlign w:val="bottom"/>
          </w:tcPr>
          <w:p>
            <w:pPr>
              <w:jc w:val="center"/>
              <w:ind w:right="106"/>
              <w:spacing w:after="0"/>
              <w:rPr>
                <w:sz w:val="20"/>
                <w:szCs w:val="20"/>
                <w:color w:val="auto"/>
              </w:rPr>
            </w:pPr>
            <w:r>
              <w:rPr>
                <w:rFonts w:ascii="Arial" w:cs="Arial" w:eastAsia="Arial" w:hAnsi="Arial"/>
                <w:sz w:val="11"/>
                <w:szCs w:val="11"/>
                <w:b w:val="1"/>
                <w:bCs w:val="1"/>
                <w:color w:val="auto"/>
                <w:w w:val="95"/>
              </w:rPr>
              <w:t>Other</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center"/>
              <w:ind w:right="66"/>
              <w:spacing w:after="0"/>
              <w:rPr>
                <w:sz w:val="20"/>
                <w:szCs w:val="20"/>
                <w:color w:val="auto"/>
              </w:rPr>
            </w:pPr>
            <w:r>
              <w:rPr>
                <w:rFonts w:ascii="Arial" w:cs="Arial" w:eastAsia="Arial" w:hAnsi="Arial"/>
                <w:sz w:val="11"/>
                <w:szCs w:val="11"/>
                <w:b w:val="1"/>
                <w:bCs w:val="1"/>
                <w:color w:val="auto"/>
                <w:w w:val="98"/>
              </w:rPr>
              <w:t>Total</w:t>
            </w:r>
          </w:p>
        </w:tc>
      </w:tr>
      <w:tr>
        <w:trPr>
          <w:trHeight w:val="130"/>
        </w:trPr>
        <w:tc>
          <w:tcPr>
            <w:tcW w:w="1720" w:type="dxa"/>
            <w:vAlign w:val="bottom"/>
            <w:tcBorders>
              <w:bottom w:val="single" w:sz="8" w:color="auto"/>
            </w:tcBorders>
            <w:gridSpan w:val="2"/>
          </w:tcPr>
          <w:p>
            <w:pPr>
              <w:jc w:val="right"/>
              <w:ind w:right="306"/>
              <w:spacing w:after="0" w:line="122" w:lineRule="exact"/>
              <w:rPr>
                <w:sz w:val="20"/>
                <w:szCs w:val="20"/>
                <w:color w:val="auto"/>
              </w:rPr>
            </w:pPr>
            <w:r>
              <w:rPr>
                <w:rFonts w:ascii="Arial" w:cs="Arial" w:eastAsia="Arial" w:hAnsi="Arial"/>
                <w:sz w:val="11"/>
                <w:szCs w:val="11"/>
                <w:b w:val="1"/>
                <w:bCs w:val="1"/>
                <w:color w:val="auto"/>
              </w:rPr>
              <w:t>Common Stock</w:t>
            </w:r>
          </w:p>
        </w:tc>
        <w:tc>
          <w:tcPr>
            <w:tcW w:w="2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jc w:val="right"/>
              <w:ind w:right="326"/>
              <w:spacing w:after="0" w:line="122" w:lineRule="exact"/>
              <w:rPr>
                <w:sz w:val="20"/>
                <w:szCs w:val="20"/>
                <w:color w:val="auto"/>
              </w:rPr>
            </w:pPr>
            <w:r>
              <w:rPr>
                <w:rFonts w:ascii="Arial" w:cs="Arial" w:eastAsia="Arial" w:hAnsi="Arial"/>
                <w:sz w:val="11"/>
                <w:szCs w:val="11"/>
                <w:b w:val="1"/>
                <w:bCs w:val="1"/>
                <w:color w:val="auto"/>
              </w:rPr>
              <w:t>Paid-in</w:t>
            </w:r>
          </w:p>
        </w:tc>
        <w:tc>
          <w:tcPr>
            <w:tcW w:w="220" w:type="dxa"/>
            <w:vAlign w:val="bottom"/>
          </w:tcPr>
          <w:p>
            <w:pPr>
              <w:spacing w:after="0"/>
              <w:rPr>
                <w:sz w:val="11"/>
                <w:szCs w:val="11"/>
                <w:color w:val="auto"/>
              </w:rPr>
            </w:pPr>
          </w:p>
        </w:tc>
        <w:tc>
          <w:tcPr>
            <w:tcW w:w="960" w:type="dxa"/>
            <w:vAlign w:val="bottom"/>
          </w:tcPr>
          <w:p>
            <w:pPr>
              <w:jc w:val="center"/>
              <w:ind w:right="86"/>
              <w:spacing w:after="0" w:line="122" w:lineRule="exact"/>
              <w:rPr>
                <w:sz w:val="20"/>
                <w:szCs w:val="20"/>
                <w:color w:val="auto"/>
              </w:rPr>
            </w:pPr>
            <w:r>
              <w:rPr>
                <w:rFonts w:ascii="Arial" w:cs="Arial" w:eastAsia="Arial" w:hAnsi="Arial"/>
                <w:sz w:val="11"/>
                <w:szCs w:val="11"/>
                <w:b w:val="1"/>
                <w:bCs w:val="1"/>
                <w:color w:val="auto"/>
                <w:w w:val="99"/>
              </w:rPr>
              <w:t>Comprehensive</w:t>
            </w:r>
          </w:p>
        </w:tc>
        <w:tc>
          <w:tcPr>
            <w:tcW w:w="200" w:type="dxa"/>
            <w:vAlign w:val="bottom"/>
          </w:tcPr>
          <w:p>
            <w:pPr>
              <w:spacing w:after="0"/>
              <w:rPr>
                <w:sz w:val="11"/>
                <w:szCs w:val="11"/>
                <w:color w:val="auto"/>
              </w:rPr>
            </w:pP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b w:val="1"/>
                <w:bCs w:val="1"/>
                <w:color w:val="auto"/>
                <w:w w:val="95"/>
              </w:rPr>
              <w:t>Accumulated</w:t>
            </w:r>
          </w:p>
        </w:tc>
        <w:tc>
          <w:tcPr>
            <w:tcW w:w="200" w:type="dxa"/>
            <w:vAlign w:val="bottom"/>
          </w:tcPr>
          <w:p>
            <w:pPr>
              <w:spacing w:after="0"/>
              <w:rPr>
                <w:sz w:val="11"/>
                <w:szCs w:val="11"/>
                <w:color w:val="auto"/>
              </w:rPr>
            </w:pPr>
          </w:p>
        </w:tc>
        <w:tc>
          <w:tcPr>
            <w:tcW w:w="860" w:type="dxa"/>
            <w:vAlign w:val="bottom"/>
          </w:tcPr>
          <w:p>
            <w:pPr>
              <w:jc w:val="center"/>
              <w:ind w:right="66"/>
              <w:spacing w:after="0" w:line="122" w:lineRule="exact"/>
              <w:rPr>
                <w:sz w:val="20"/>
                <w:szCs w:val="20"/>
                <w:color w:val="auto"/>
              </w:rPr>
            </w:pPr>
            <w:r>
              <w:rPr>
                <w:rFonts w:ascii="Arial" w:cs="Arial" w:eastAsia="Arial" w:hAnsi="Arial"/>
                <w:sz w:val="11"/>
                <w:szCs w:val="11"/>
                <w:b w:val="1"/>
                <w:bCs w:val="1"/>
                <w:color w:val="auto"/>
                <w:w w:val="96"/>
              </w:rPr>
              <w:t>Stockholders'</w:t>
            </w:r>
          </w:p>
        </w:tc>
      </w:tr>
      <w:tr>
        <w:trPr>
          <w:trHeight w:val="121"/>
        </w:trPr>
        <w:tc>
          <w:tcPr>
            <w:tcW w:w="900" w:type="dxa"/>
            <w:vAlign w:val="bottom"/>
            <w:tcBorders>
              <w:bottom w:val="single" w:sz="8" w:color="auto"/>
            </w:tcBorders>
          </w:tcPr>
          <w:p>
            <w:pPr>
              <w:jc w:val="right"/>
              <w:ind w:right="266"/>
              <w:spacing w:after="0" w:line="122" w:lineRule="exact"/>
              <w:rPr>
                <w:sz w:val="20"/>
                <w:szCs w:val="20"/>
                <w:color w:val="auto"/>
              </w:rPr>
            </w:pPr>
            <w:r>
              <w:rPr>
                <w:rFonts w:ascii="Arial" w:cs="Arial" w:eastAsia="Arial" w:hAnsi="Arial"/>
                <w:sz w:val="11"/>
                <w:szCs w:val="11"/>
                <w:b w:val="1"/>
                <w:bCs w:val="1"/>
                <w:color w:val="231F20"/>
              </w:rPr>
              <w:t>Shares</w:t>
            </w:r>
          </w:p>
        </w:tc>
        <w:tc>
          <w:tcPr>
            <w:tcW w:w="820" w:type="dxa"/>
            <w:vAlign w:val="bottom"/>
            <w:tcBorders>
              <w:bottom w:val="single" w:sz="8" w:color="auto"/>
            </w:tcBorders>
          </w:tcPr>
          <w:p>
            <w:pPr>
              <w:jc w:val="right"/>
              <w:ind w:right="6"/>
              <w:spacing w:after="0" w:line="122" w:lineRule="exact"/>
              <w:rPr>
                <w:sz w:val="20"/>
                <w:szCs w:val="20"/>
                <w:color w:val="auto"/>
              </w:rPr>
            </w:pPr>
            <w:r>
              <w:rPr>
                <w:rFonts w:ascii="Arial" w:cs="Arial" w:eastAsia="Arial" w:hAnsi="Arial"/>
                <w:sz w:val="11"/>
                <w:szCs w:val="11"/>
                <w:b w:val="1"/>
                <w:bCs w:val="1"/>
                <w:color w:val="231F20"/>
              </w:rPr>
              <w:t>Amount</w:t>
            </w:r>
          </w:p>
        </w:tc>
        <w:tc>
          <w:tcPr>
            <w:tcW w:w="2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326"/>
              <w:spacing w:after="0" w:line="122" w:lineRule="exact"/>
              <w:rPr>
                <w:sz w:val="20"/>
                <w:szCs w:val="20"/>
                <w:color w:val="auto"/>
              </w:rPr>
            </w:pPr>
            <w:r>
              <w:rPr>
                <w:rFonts w:ascii="Arial" w:cs="Arial" w:eastAsia="Arial" w:hAnsi="Arial"/>
                <w:sz w:val="11"/>
                <w:szCs w:val="11"/>
                <w:b w:val="1"/>
                <w:bCs w:val="1"/>
                <w:color w:val="231F20"/>
              </w:rPr>
              <w:t>Capital</w:t>
            </w: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center"/>
              <w:ind w:right="86"/>
              <w:spacing w:after="0" w:line="113" w:lineRule="exact"/>
              <w:rPr>
                <w:sz w:val="20"/>
                <w:szCs w:val="20"/>
                <w:color w:val="auto"/>
              </w:rPr>
            </w:pPr>
            <w:r>
              <w:rPr>
                <w:rFonts w:ascii="Arial" w:cs="Arial" w:eastAsia="Arial" w:hAnsi="Arial"/>
                <w:sz w:val="11"/>
                <w:szCs w:val="11"/>
                <w:b w:val="1"/>
                <w:bCs w:val="1"/>
                <w:color w:val="231F20"/>
              </w:rPr>
              <w:t>Loss</w:t>
            </w: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66"/>
              <w:spacing w:after="0" w:line="122" w:lineRule="exact"/>
              <w:rPr>
                <w:sz w:val="20"/>
                <w:szCs w:val="20"/>
                <w:color w:val="auto"/>
              </w:rPr>
            </w:pPr>
            <w:r>
              <w:rPr>
                <w:rFonts w:ascii="Arial" w:cs="Arial" w:eastAsia="Arial" w:hAnsi="Arial"/>
                <w:sz w:val="11"/>
                <w:szCs w:val="11"/>
                <w:b w:val="1"/>
                <w:bCs w:val="1"/>
                <w:color w:val="231F20"/>
              </w:rPr>
              <w:t>Deficit</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center"/>
              <w:ind w:right="66"/>
              <w:spacing w:after="0" w:line="122" w:lineRule="exact"/>
              <w:rPr>
                <w:sz w:val="20"/>
                <w:szCs w:val="20"/>
                <w:color w:val="auto"/>
              </w:rPr>
            </w:pPr>
            <w:r>
              <w:rPr>
                <w:rFonts w:ascii="Arial" w:cs="Arial" w:eastAsia="Arial" w:hAnsi="Arial"/>
                <w:sz w:val="11"/>
                <w:szCs w:val="11"/>
                <w:b w:val="1"/>
                <w:bCs w:val="1"/>
                <w:color w:val="231F20"/>
              </w:rPr>
              <w:t>Equity</w:t>
            </w:r>
          </w:p>
        </w:tc>
      </w:tr>
      <w:tr>
        <w:trPr>
          <w:trHeight w:val="112"/>
        </w:trPr>
        <w:tc>
          <w:tcPr>
            <w:tcW w:w="900" w:type="dxa"/>
            <w:vAlign w:val="bottom"/>
          </w:tcPr>
          <w:p>
            <w:pPr>
              <w:jc w:val="right"/>
              <w:ind w:right="106"/>
              <w:spacing w:after="0" w:line="112" w:lineRule="exact"/>
              <w:rPr>
                <w:sz w:val="20"/>
                <w:szCs w:val="20"/>
                <w:color w:val="auto"/>
              </w:rPr>
            </w:pPr>
            <w:r>
              <w:rPr>
                <w:rFonts w:ascii="Arial" w:cs="Arial" w:eastAsia="Arial" w:hAnsi="Arial"/>
                <w:sz w:val="11"/>
                <w:szCs w:val="11"/>
                <w:color w:val="231F20"/>
              </w:rPr>
              <w:t>39,797,263</w:t>
            </w:r>
          </w:p>
        </w:tc>
        <w:tc>
          <w:tcPr>
            <w:tcW w:w="820" w:type="dxa"/>
            <w:vAlign w:val="bottom"/>
          </w:tcPr>
          <w:p>
            <w:pPr>
              <w:jc w:val="right"/>
              <w:ind w:right="546"/>
              <w:spacing w:after="0" w:line="112" w:lineRule="exact"/>
              <w:rPr>
                <w:sz w:val="20"/>
                <w:szCs w:val="20"/>
                <w:color w:val="auto"/>
              </w:rPr>
            </w:pPr>
            <w:r>
              <w:rPr>
                <w:rFonts w:ascii="Arial" w:cs="Arial" w:eastAsia="Arial" w:hAnsi="Arial"/>
                <w:sz w:val="11"/>
                <w:szCs w:val="11"/>
                <w:color w:val="231F20"/>
              </w:rPr>
              <w:t>$</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3</w:t>
            </w:r>
          </w:p>
        </w:tc>
        <w:tc>
          <w:tcPr>
            <w:tcW w:w="36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8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388,904</w:t>
            </w:r>
          </w:p>
        </w:tc>
        <w:tc>
          <w:tcPr>
            <w:tcW w:w="22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60" w:type="dxa"/>
            <w:vAlign w:val="bottom"/>
          </w:tcPr>
          <w:p>
            <w:pPr>
              <w:jc w:val="right"/>
              <w:ind w:right="86"/>
              <w:spacing w:after="0" w:line="112" w:lineRule="exact"/>
              <w:rPr>
                <w:sz w:val="20"/>
                <w:szCs w:val="20"/>
                <w:color w:val="auto"/>
              </w:rPr>
            </w:pPr>
            <w:r>
              <w:rPr>
                <w:rFonts w:ascii="Arial" w:cs="Arial" w:eastAsia="Arial" w:hAnsi="Arial"/>
                <w:sz w:val="11"/>
                <w:szCs w:val="11"/>
                <w:color w:val="231F20"/>
              </w:rPr>
              <w:t>(149)</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920" w:type="dxa"/>
            <w:vAlign w:val="bottom"/>
          </w:tcPr>
          <w:p>
            <w:pPr>
              <w:jc w:val="right"/>
              <w:ind w:right="66"/>
              <w:spacing w:after="0" w:line="112" w:lineRule="exact"/>
              <w:rPr>
                <w:sz w:val="20"/>
                <w:szCs w:val="20"/>
                <w:color w:val="auto"/>
              </w:rPr>
            </w:pPr>
            <w:r>
              <w:rPr>
                <w:rFonts w:ascii="Arial" w:cs="Arial" w:eastAsia="Arial" w:hAnsi="Arial"/>
                <w:sz w:val="11"/>
                <w:szCs w:val="11"/>
                <w:color w:val="231F20"/>
              </w:rPr>
              <w:t>(104,190)</w:t>
            </w:r>
          </w:p>
        </w:tc>
        <w:tc>
          <w:tcPr>
            <w:tcW w:w="200" w:type="dxa"/>
            <w:vAlign w:val="bottom"/>
          </w:tcPr>
          <w:p>
            <w:pPr>
              <w:jc w:val="right"/>
              <w:spacing w:after="0" w:line="112" w:lineRule="exact"/>
              <w:rPr>
                <w:sz w:val="20"/>
                <w:szCs w:val="20"/>
                <w:color w:val="auto"/>
              </w:rPr>
            </w:pPr>
            <w:r>
              <w:rPr>
                <w:rFonts w:ascii="Arial" w:cs="Arial" w:eastAsia="Arial" w:hAnsi="Arial"/>
                <w:sz w:val="11"/>
                <w:szCs w:val="11"/>
                <w:color w:val="231F20"/>
              </w:rPr>
              <w:t>$</w:t>
            </w:r>
          </w:p>
        </w:tc>
        <w:tc>
          <w:tcPr>
            <w:tcW w:w="860" w:type="dxa"/>
            <w:vAlign w:val="bottom"/>
          </w:tcPr>
          <w:p>
            <w:pPr>
              <w:jc w:val="right"/>
              <w:spacing w:after="0" w:line="112" w:lineRule="exact"/>
              <w:rPr>
                <w:sz w:val="20"/>
                <w:szCs w:val="20"/>
                <w:color w:val="auto"/>
              </w:rPr>
            </w:pPr>
            <w:r>
              <w:rPr>
                <w:rFonts w:ascii="Arial" w:cs="Arial" w:eastAsia="Arial" w:hAnsi="Arial"/>
                <w:sz w:val="11"/>
                <w:szCs w:val="11"/>
                <w:color w:val="231F20"/>
              </w:rPr>
              <w:t>284,568</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6,989</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31</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31</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49,318</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r>
      <w:tr>
        <w:trPr>
          <w:trHeight w:val="121"/>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15,755</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33</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33</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4,874</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4,874</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91</w:t>
            </w:r>
          </w:p>
        </w:tc>
        <w:tc>
          <w:tcPr>
            <w:tcW w:w="220" w:type="dxa"/>
            <w:vAlign w:val="bottom"/>
          </w:tcPr>
          <w:p>
            <w:pPr>
              <w:spacing w:after="0"/>
              <w:rPr>
                <w:sz w:val="10"/>
                <w:szCs w:val="10"/>
                <w:color w:val="auto"/>
              </w:rPr>
            </w:pPr>
          </w:p>
        </w:tc>
        <w:tc>
          <w:tcPr>
            <w:tcW w:w="960" w:type="dxa"/>
            <w:vAlign w:val="bottom"/>
          </w:tcPr>
          <w:p>
            <w:pPr>
              <w:jc w:val="right"/>
              <w:ind w:right="12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91</w:t>
            </w:r>
          </w:p>
        </w:tc>
      </w:tr>
      <w:tr>
        <w:trPr>
          <w:trHeight w:val="122"/>
        </w:trPr>
        <w:tc>
          <w:tcPr>
            <w:tcW w:w="90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820" w:type="dxa"/>
            <w:vAlign w:val="bottom"/>
          </w:tcPr>
          <w:p>
            <w:pPr>
              <w:spacing w:after="0"/>
              <w:rPr>
                <w:sz w:val="10"/>
                <w:szCs w:val="10"/>
                <w:color w:val="auto"/>
              </w:rPr>
            </w:pPr>
          </w:p>
        </w:tc>
        <w:tc>
          <w:tcPr>
            <w:tcW w:w="200" w:type="dxa"/>
            <w:vAlign w:val="bottom"/>
          </w:tcPr>
          <w:p>
            <w:pPr>
              <w:jc w:val="right"/>
              <w:spacing w:after="0" w:line="122" w:lineRule="exact"/>
              <w:rPr>
                <w:sz w:val="20"/>
                <w:szCs w:val="20"/>
                <w:color w:val="auto"/>
              </w:rPr>
            </w:pPr>
            <w:r>
              <w:rPr>
                <w:rFonts w:ascii="Arial" w:cs="Arial" w:eastAsia="Arial" w:hAnsi="Arial"/>
                <w:sz w:val="11"/>
                <w:szCs w:val="11"/>
                <w:color w:val="231F20"/>
              </w:rPr>
              <w:t>—</w:t>
            </w:r>
          </w:p>
        </w:tc>
        <w:tc>
          <w:tcPr>
            <w:tcW w:w="360" w:type="dxa"/>
            <w:vAlign w:val="bottom"/>
          </w:tcPr>
          <w:p>
            <w:pPr>
              <w:spacing w:after="0"/>
              <w:rPr>
                <w:sz w:val="10"/>
                <w:szCs w:val="10"/>
                <w:color w:val="auto"/>
              </w:rPr>
            </w:pPr>
          </w:p>
        </w:tc>
        <w:tc>
          <w:tcPr>
            <w:tcW w:w="88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220" w:type="dxa"/>
            <w:vAlign w:val="bottom"/>
          </w:tcPr>
          <w:p>
            <w:pPr>
              <w:spacing w:after="0"/>
              <w:rPr>
                <w:sz w:val="10"/>
                <w:szCs w:val="10"/>
                <w:color w:val="auto"/>
              </w:rPr>
            </w:pPr>
          </w:p>
        </w:tc>
        <w:tc>
          <w:tcPr>
            <w:tcW w:w="960" w:type="dxa"/>
            <w:vAlign w:val="bottom"/>
          </w:tcPr>
          <w:p>
            <w:pPr>
              <w:jc w:val="right"/>
              <w:ind w:right="86"/>
              <w:spacing w:after="0" w:line="122" w:lineRule="exact"/>
              <w:rPr>
                <w:sz w:val="20"/>
                <w:szCs w:val="20"/>
                <w:color w:val="auto"/>
              </w:rPr>
            </w:pPr>
            <w:r>
              <w:rPr>
                <w:rFonts w:ascii="Arial" w:cs="Arial" w:eastAsia="Arial" w:hAnsi="Arial"/>
                <w:sz w:val="11"/>
                <w:szCs w:val="11"/>
                <w:color w:val="231F20"/>
              </w:rPr>
              <w:t>(1,477)</w:t>
            </w:r>
          </w:p>
        </w:tc>
        <w:tc>
          <w:tcPr>
            <w:tcW w:w="200" w:type="dxa"/>
            <w:vAlign w:val="bottom"/>
          </w:tcPr>
          <w:p>
            <w:pPr>
              <w:spacing w:after="0"/>
              <w:rPr>
                <w:sz w:val="10"/>
                <w:szCs w:val="10"/>
                <w:color w:val="auto"/>
              </w:rPr>
            </w:pPr>
          </w:p>
        </w:tc>
        <w:tc>
          <w:tcPr>
            <w:tcW w:w="920" w:type="dxa"/>
            <w:vAlign w:val="bottom"/>
          </w:tcPr>
          <w:p>
            <w:pPr>
              <w:jc w:val="right"/>
              <w:ind w:right="106"/>
              <w:spacing w:after="0" w:line="122" w:lineRule="exact"/>
              <w:rPr>
                <w:sz w:val="20"/>
                <w:szCs w:val="20"/>
                <w:color w:val="auto"/>
              </w:rPr>
            </w:pPr>
            <w:r>
              <w:rPr>
                <w:rFonts w:ascii="Arial" w:cs="Arial" w:eastAsia="Arial" w:hAnsi="Arial"/>
                <w:sz w:val="11"/>
                <w:szCs w:val="11"/>
                <w:color w:val="231F20"/>
              </w:rPr>
              <w:t>—</w:t>
            </w:r>
          </w:p>
        </w:tc>
        <w:tc>
          <w:tcPr>
            <w:tcW w:w="2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231F20"/>
              </w:rPr>
              <w:t>(1,477)</w:t>
            </w:r>
          </w:p>
        </w:tc>
      </w:tr>
      <w:tr>
        <w:trPr>
          <w:trHeight w:val="125"/>
        </w:trPr>
        <w:tc>
          <w:tcPr>
            <w:tcW w:w="900" w:type="dxa"/>
            <w:vAlign w:val="bottom"/>
            <w:tcBorders>
              <w:bottom w:val="single" w:sz="8" w:color="auto"/>
            </w:tcBorders>
          </w:tcPr>
          <w:p>
            <w:pPr>
              <w:jc w:val="right"/>
              <w:ind w:right="106"/>
              <w:spacing w:after="0" w:line="125" w:lineRule="exact"/>
              <w:rPr>
                <w:sz w:val="20"/>
                <w:szCs w:val="20"/>
                <w:color w:val="auto"/>
              </w:rPr>
            </w:pPr>
            <w:r>
              <w:rPr>
                <w:rFonts w:ascii="Arial" w:cs="Arial" w:eastAsia="Arial" w:hAnsi="Arial"/>
                <w:sz w:val="11"/>
                <w:szCs w:val="11"/>
                <w:color w:val="231F20"/>
              </w:rPr>
              <w:t>—</w:t>
            </w:r>
          </w:p>
        </w:tc>
        <w:tc>
          <w:tcPr>
            <w:tcW w:w="8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w:t>
            </w:r>
          </w:p>
        </w:tc>
        <w:tc>
          <w:tcPr>
            <w:tcW w:w="3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ind w:right="86"/>
              <w:spacing w:after="0" w:line="125" w:lineRule="exact"/>
              <w:rPr>
                <w:sz w:val="20"/>
                <w:szCs w:val="20"/>
                <w:color w:val="auto"/>
              </w:rPr>
            </w:pPr>
            <w:r>
              <w:rPr>
                <w:rFonts w:ascii="Arial" w:cs="Arial" w:eastAsia="Arial" w:hAnsi="Arial"/>
                <w:sz w:val="11"/>
                <w:szCs w:val="11"/>
                <w:color w:val="auto"/>
              </w:rPr>
              <w:t>—</w:t>
            </w:r>
          </w:p>
        </w:tc>
        <w:tc>
          <w:tcPr>
            <w:tcW w:w="22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jc w:val="right"/>
              <w:ind w:right="126"/>
              <w:spacing w:after="0" w:line="12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66"/>
              <w:spacing w:after="0" w:line="125" w:lineRule="exact"/>
              <w:rPr>
                <w:sz w:val="20"/>
                <w:szCs w:val="20"/>
                <w:color w:val="auto"/>
              </w:rPr>
            </w:pPr>
            <w:r>
              <w:rPr>
                <w:rFonts w:ascii="Arial" w:cs="Arial" w:eastAsia="Arial" w:hAnsi="Arial"/>
                <w:sz w:val="11"/>
                <w:szCs w:val="11"/>
                <w:color w:val="231F20"/>
              </w:rPr>
              <w:t>(23,030)</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spacing w:after="0" w:line="125" w:lineRule="exact"/>
              <w:rPr>
                <w:sz w:val="20"/>
                <w:szCs w:val="20"/>
                <w:color w:val="auto"/>
              </w:rPr>
            </w:pPr>
            <w:r>
              <w:rPr>
                <w:rFonts w:ascii="Arial" w:cs="Arial" w:eastAsia="Arial" w:hAnsi="Arial"/>
                <w:sz w:val="11"/>
                <w:szCs w:val="11"/>
                <w:color w:val="231F20"/>
              </w:rPr>
              <w:t>(23,030)</w:t>
            </w:r>
          </w:p>
        </w:tc>
      </w:tr>
      <w:tr>
        <w:trPr>
          <w:trHeight w:val="115"/>
        </w:trPr>
        <w:tc>
          <w:tcPr>
            <w:tcW w:w="900" w:type="dxa"/>
            <w:vAlign w:val="bottom"/>
            <w:tcBorders>
              <w:bottom w:val="single" w:sz="8" w:color="auto"/>
            </w:tcBorders>
          </w:tcPr>
          <w:p>
            <w:pPr>
              <w:jc w:val="right"/>
              <w:ind w:right="106"/>
              <w:spacing w:after="0" w:line="115" w:lineRule="exact"/>
              <w:rPr>
                <w:sz w:val="20"/>
                <w:szCs w:val="20"/>
                <w:color w:val="auto"/>
              </w:rPr>
            </w:pPr>
            <w:r>
              <w:rPr>
                <w:rFonts w:ascii="Arial" w:cs="Arial" w:eastAsia="Arial" w:hAnsi="Arial"/>
                <w:sz w:val="11"/>
                <w:szCs w:val="11"/>
                <w:color w:val="231F20"/>
              </w:rPr>
              <w:t>39,869,325</w:t>
            </w:r>
          </w:p>
        </w:tc>
        <w:tc>
          <w:tcPr>
            <w:tcW w:w="820" w:type="dxa"/>
            <w:vAlign w:val="bottom"/>
            <w:tcBorders>
              <w:bottom w:val="single" w:sz="8" w:color="auto"/>
            </w:tcBorders>
          </w:tcPr>
          <w:p>
            <w:pPr>
              <w:jc w:val="right"/>
              <w:ind w:right="546"/>
              <w:spacing w:after="0" w:line="115" w:lineRule="exact"/>
              <w:rPr>
                <w:sz w:val="20"/>
                <w:szCs w:val="20"/>
                <w:color w:val="auto"/>
              </w:rPr>
            </w:pPr>
            <w:r>
              <w:rPr>
                <w:rFonts w:ascii="Arial" w:cs="Arial" w:eastAsia="Arial" w:hAnsi="Arial"/>
                <w:sz w:val="11"/>
                <w:szCs w:val="11"/>
                <w:color w:val="231F20"/>
              </w:rPr>
              <w:t>$</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3</w:t>
            </w:r>
          </w:p>
        </w:tc>
        <w:tc>
          <w:tcPr>
            <w:tcW w:w="3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8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393,933</w:t>
            </w:r>
          </w:p>
        </w:tc>
        <w:tc>
          <w:tcPr>
            <w:tcW w:w="22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60" w:type="dxa"/>
            <w:vAlign w:val="bottom"/>
            <w:tcBorders>
              <w:bottom w:val="single" w:sz="8" w:color="auto"/>
            </w:tcBorders>
          </w:tcPr>
          <w:p>
            <w:pPr>
              <w:jc w:val="right"/>
              <w:ind w:right="86"/>
              <w:spacing w:after="0" w:line="115" w:lineRule="exact"/>
              <w:rPr>
                <w:sz w:val="20"/>
                <w:szCs w:val="20"/>
                <w:color w:val="auto"/>
              </w:rPr>
            </w:pPr>
            <w:r>
              <w:rPr>
                <w:rFonts w:ascii="Arial" w:cs="Arial" w:eastAsia="Arial" w:hAnsi="Arial"/>
                <w:sz w:val="11"/>
                <w:szCs w:val="11"/>
                <w:color w:val="231F20"/>
              </w:rPr>
              <w:t>(1,626)</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920" w:type="dxa"/>
            <w:vAlign w:val="bottom"/>
            <w:tcBorders>
              <w:bottom w:val="single" w:sz="8" w:color="auto"/>
            </w:tcBorders>
          </w:tcPr>
          <w:p>
            <w:pPr>
              <w:jc w:val="right"/>
              <w:ind w:right="66"/>
              <w:spacing w:after="0" w:line="115" w:lineRule="exact"/>
              <w:rPr>
                <w:sz w:val="20"/>
                <w:szCs w:val="20"/>
                <w:color w:val="auto"/>
              </w:rPr>
            </w:pPr>
            <w:r>
              <w:rPr>
                <w:rFonts w:ascii="Arial" w:cs="Arial" w:eastAsia="Arial" w:hAnsi="Arial"/>
                <w:sz w:val="11"/>
                <w:szCs w:val="11"/>
                <w:color w:val="231F20"/>
              </w:rPr>
              <w:t>(127,220)</w:t>
            </w:r>
          </w:p>
        </w:tc>
        <w:tc>
          <w:tcPr>
            <w:tcW w:w="20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w:t>
            </w:r>
          </w:p>
        </w:tc>
        <w:tc>
          <w:tcPr>
            <w:tcW w:w="860" w:type="dxa"/>
            <w:vAlign w:val="bottom"/>
            <w:tcBorders>
              <w:bottom w:val="single" w:sz="8" w:color="auto"/>
            </w:tcBorders>
          </w:tcPr>
          <w:p>
            <w:pPr>
              <w:jc w:val="right"/>
              <w:spacing w:after="0" w:line="115" w:lineRule="exact"/>
              <w:rPr>
                <w:sz w:val="20"/>
                <w:szCs w:val="20"/>
                <w:color w:val="auto"/>
              </w:rPr>
            </w:pPr>
            <w:r>
              <w:rPr>
                <w:rFonts w:ascii="Arial" w:cs="Arial" w:eastAsia="Arial" w:hAnsi="Arial"/>
                <w:sz w:val="11"/>
                <w:szCs w:val="11"/>
                <w:color w:val="231F20"/>
              </w:rPr>
              <w:t>265,090</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-736600</wp:posOffset>
            </wp:positionV>
            <wp:extent cx="5648960" cy="857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48960" cy="8572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-574040</wp:posOffset>
            </wp:positionV>
            <wp:extent cx="5648960" cy="774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-419100</wp:posOffset>
            </wp:positionV>
            <wp:extent cx="5648960" cy="768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48960" cy="76835"/>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-265430</wp:posOffset>
            </wp:positionV>
            <wp:extent cx="5648960" cy="774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8960" cy="77470"/>
                    </a:xfrm>
                    <a:prstGeom prst="rect">
                      <a:avLst/>
                    </a:prstGeom>
                    <a:noFill/>
                  </pic:spPr>
                </pic:pic>
              </a:graphicData>
            </a:graphic>
          </wp:anchor>
        </w:drawing>
        <w:drawing>
          <wp:anchor simplePos="0" relativeHeight="251657728" behindDoc="1" locked="0" layoutInCell="0" allowOverlap="1">
            <wp:simplePos x="0" y="0"/>
            <wp:positionH relativeFrom="column">
              <wp:posOffset>-1509395</wp:posOffset>
            </wp:positionH>
            <wp:positionV relativeFrom="paragraph">
              <wp:posOffset>-110490</wp:posOffset>
            </wp:positionV>
            <wp:extent cx="5648960" cy="939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8960" cy="93980"/>
                    </a:xfrm>
                    <a:prstGeom prst="rect">
                      <a:avLst/>
                    </a:prstGeom>
                    <a:noFill/>
                  </pic:spPr>
                </pic:pic>
              </a:graphicData>
            </a:graphic>
          </wp:anchor>
        </w:drawing>
      </w:r>
    </w:p>
    <w:p>
      <w:pPr>
        <w:spacing w:after="0" w:line="184" w:lineRule="exact"/>
        <w:rPr>
          <w:sz w:val="20"/>
          <w:szCs w:val="20"/>
          <w:color w:val="auto"/>
        </w:rPr>
      </w:pPr>
    </w:p>
    <w:p>
      <w:pPr>
        <w:sectPr>
          <w:pgSz w:w="11900" w:h="16838" w:orient="portrait"/>
          <w:cols w:equalWidth="0" w:num="2">
            <w:col w:w="2180" w:space="260"/>
            <w:col w:w="6579"/>
          </w:cols>
          <w:pgMar w:left="1440" w:top="517"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color w:val="auto"/>
        </w:rPr>
        <w:t>(Amounts in thousands)</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68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920" w:type="dxa"/>
            <w:vAlign w:val="bottom"/>
            <w:tcBorders>
              <w:top w:val="single" w:sz="8" w:color="auto"/>
            </w:tcBorders>
            <w:gridSpan w:val="3"/>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07"/>
        </w:trPr>
        <w:tc>
          <w:tcPr>
            <w:tcW w:w="6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ind w:right="619"/>
              <w:spacing w:after="0"/>
              <w:rPr>
                <w:sz w:val="20"/>
                <w:szCs w:val="20"/>
                <w:color w:val="auto"/>
              </w:rPr>
            </w:pPr>
            <w:r>
              <w:rPr>
                <w:rFonts w:ascii="Arial" w:cs="Arial" w:eastAsia="Arial" w:hAnsi="Arial"/>
                <w:sz w:val="16"/>
                <w:szCs w:val="16"/>
                <w:b w:val="1"/>
                <w:bCs w:val="1"/>
                <w:color w:val="auto"/>
              </w:rPr>
              <w:t>March 31,</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9"/>
              <w:spacing w:after="0" w:line="183" w:lineRule="exact"/>
              <w:rPr>
                <w:sz w:val="20"/>
                <w:szCs w:val="20"/>
                <w:color w:val="auto"/>
              </w:rPr>
            </w:pPr>
            <w:r>
              <w:rPr>
                <w:rFonts w:ascii="Arial" w:cs="Arial" w:eastAsia="Arial" w:hAnsi="Arial"/>
                <w:sz w:val="16"/>
                <w:szCs w:val="16"/>
                <w:b w:val="1"/>
                <w:bCs w:val="1"/>
                <w:color w:val="auto"/>
              </w:rPr>
              <w:t>2023</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19"/>
              <w:spacing w:after="0" w:line="183" w:lineRule="exact"/>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100"/>
              <w:spacing w:after="0"/>
              <w:rPr>
                <w:sz w:val="20"/>
                <w:szCs w:val="20"/>
                <w:color w:val="auto"/>
              </w:rPr>
            </w:pPr>
            <w:r>
              <w:rPr>
                <w:rFonts w:ascii="Arial" w:cs="Arial" w:eastAsia="Arial" w:hAnsi="Arial"/>
                <w:sz w:val="16"/>
                <w:szCs w:val="16"/>
                <w:color w:val="auto"/>
              </w:rPr>
              <w:t>Net loss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139"/>
              <w:spacing w:after="0"/>
              <w:rPr>
                <w:sz w:val="20"/>
                <w:szCs w:val="20"/>
                <w:color w:val="auto"/>
              </w:rPr>
            </w:pPr>
            <w:r>
              <w:rPr>
                <w:rFonts w:ascii="Arial" w:cs="Arial" w:eastAsia="Arial" w:hAnsi="Arial"/>
                <w:sz w:val="16"/>
                <w:szCs w:val="16"/>
                <w:color w:val="auto"/>
              </w:rPr>
              <w:t>(28,286)</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(23,030)</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100</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lease expense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327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Premium amortization and discount accretion on marketable securities, net</w:t>
            </w:r>
          </w:p>
        </w:tc>
        <w:tc>
          <w:tcPr>
            <w:tcW w:w="160" w:type="dxa"/>
            <w:vAlign w:val="bottom"/>
          </w:tcPr>
          <w:p>
            <w:pPr>
              <w:spacing w:after="0"/>
              <w:rPr>
                <w:sz w:val="16"/>
                <w:szCs w:val="16"/>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(869)</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Stock-based compensation expense, including employee stock purchase plan expense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4,630</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4,965</w:t>
            </w:r>
          </w:p>
        </w:tc>
        <w:tc>
          <w:tcPr>
            <w:tcW w:w="0" w:type="dxa"/>
            <w:vAlign w:val="bottom"/>
          </w:tcPr>
          <w:p>
            <w:pPr>
              <w:spacing w:after="0"/>
              <w:rPr>
                <w:sz w:val="1"/>
                <w:szCs w:val="1"/>
                <w:color w:val="auto"/>
              </w:rPr>
            </w:pPr>
          </w:p>
        </w:tc>
      </w:tr>
      <w:tr>
        <w:trPr>
          <w:trHeight w:val="189"/>
        </w:trPr>
        <w:tc>
          <w:tcPr>
            <w:tcW w:w="682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1,035</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89"/>
        </w:trPr>
        <w:tc>
          <w:tcPr>
            <w:tcW w:w="6820" w:type="dxa"/>
            <w:vAlign w:val="bottom"/>
          </w:tcPr>
          <w:p>
            <w:pPr>
              <w:ind w:left="3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307</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189"/>
        </w:trPr>
        <w:tc>
          <w:tcPr>
            <w:tcW w:w="6820" w:type="dxa"/>
            <w:vAlign w:val="bottom"/>
          </w:tcPr>
          <w:p>
            <w:pPr>
              <w:ind w:left="32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2,691</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Operating lease liabilities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(326)</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used in operating activities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rPr>
              <w:t>(20,391)</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(17,903)</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tcPr>
          <w:p>
            <w:pPr>
              <w:spacing w:after="0"/>
              <w:rPr>
                <w:sz w:val="20"/>
                <w:szCs w:val="20"/>
                <w:color w:val="auto"/>
              </w:rPr>
            </w:pPr>
            <w:r>
              <w:rPr>
                <w:rFonts w:ascii="Arial" w:cs="Arial" w:eastAsia="Arial" w:hAnsi="Arial"/>
                <w:sz w:val="16"/>
                <w:szCs w:val="16"/>
                <w:color w:val="auto"/>
              </w:rPr>
              <w:t>Purchase of equipment</w:t>
            </w:r>
          </w:p>
        </w:tc>
        <w:tc>
          <w:tcPr>
            <w:tcW w:w="160" w:type="dxa"/>
            <w:vAlign w:val="bottom"/>
          </w:tcPr>
          <w:p>
            <w:pPr>
              <w:spacing w:after="0"/>
              <w:rPr>
                <w:sz w:val="16"/>
                <w:szCs w:val="16"/>
                <w:color w:val="auto"/>
              </w:rPr>
            </w:pP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Maturities of marketable securities</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61,760</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148,750</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Purchases of marketable securities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(24,373)</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(123,153)</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ind w:left="100"/>
              <w:spacing w:after="0" w:line="183" w:lineRule="exact"/>
              <w:rPr>
                <w:sz w:val="20"/>
                <w:szCs w:val="20"/>
                <w:color w:val="auto"/>
              </w:rPr>
            </w:pPr>
            <w:r>
              <w:rPr>
                <w:rFonts w:ascii="Arial" w:cs="Arial" w:eastAsia="Arial" w:hAnsi="Arial"/>
                <w:sz w:val="16"/>
                <w:szCs w:val="16"/>
                <w:color w:val="auto"/>
              </w:rPr>
              <w:t>Net cash provided by investing activities</w:t>
            </w: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37,387</w:t>
            </w:r>
          </w:p>
        </w:tc>
        <w:tc>
          <w:tcPr>
            <w:tcW w:w="2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25,567</w:t>
            </w:r>
          </w:p>
        </w:tc>
        <w:tc>
          <w:tcPr>
            <w:tcW w:w="0" w:type="dxa"/>
            <w:vAlign w:val="bottom"/>
          </w:tcPr>
          <w:p>
            <w:pPr>
              <w:spacing w:after="0"/>
              <w:rPr>
                <w:sz w:val="1"/>
                <w:szCs w:val="1"/>
                <w:color w:val="auto"/>
              </w:rPr>
            </w:pPr>
          </w:p>
        </w:tc>
      </w:tr>
      <w:tr>
        <w:trPr>
          <w:trHeight w:val="183"/>
        </w:trPr>
        <w:tc>
          <w:tcPr>
            <w:tcW w:w="6820" w:type="dxa"/>
            <w:vAlign w:val="bottom"/>
          </w:tcPr>
          <w:p>
            <w:pPr>
              <w:spacing w:after="0" w:line="183" w:lineRule="exact"/>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auto"/>
              </w:rPr>
              <w:t>Proceeds from exercise of stock options</w:t>
            </w: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2"/>
        </w:trPr>
        <w:tc>
          <w:tcPr>
            <w:tcW w:w="6820" w:type="dxa"/>
            <w:vAlign w:val="bottom"/>
            <w:tcBorders>
              <w:bottom w:val="single" w:sz="8" w:color="CCEEFF"/>
            </w:tcBorders>
          </w:tcPr>
          <w:p>
            <w:pPr>
              <w:ind w:left="220"/>
              <w:spacing w:after="0" w:line="183" w:lineRule="exact"/>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rPr>
              <w:t>220</w:t>
            </w: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83"/>
        </w:trPr>
        <w:tc>
          <w:tcPr>
            <w:tcW w:w="682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increase in cash and cash equivalents</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17,216</w:t>
            </w: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7,697</w:t>
            </w:r>
          </w:p>
        </w:tc>
        <w:tc>
          <w:tcPr>
            <w:tcW w:w="0" w:type="dxa"/>
            <w:vAlign w:val="bottom"/>
          </w:tcPr>
          <w:p>
            <w:pPr>
              <w:spacing w:after="0"/>
              <w:rPr>
                <w:sz w:val="1"/>
                <w:szCs w:val="1"/>
                <w:color w:val="auto"/>
              </w:rPr>
            </w:pPr>
          </w:p>
        </w:tc>
      </w:tr>
      <w:tr>
        <w:trPr>
          <w:trHeight w:val="189"/>
        </w:trPr>
        <w:tc>
          <w:tcPr>
            <w:tcW w:w="68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23,702</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13,812</w:t>
            </w:r>
          </w:p>
        </w:tc>
        <w:tc>
          <w:tcPr>
            <w:tcW w:w="0" w:type="dxa"/>
            <w:vAlign w:val="bottom"/>
          </w:tcPr>
          <w:p>
            <w:pPr>
              <w:spacing w:after="0"/>
              <w:rPr>
                <w:sz w:val="1"/>
                <w:szCs w:val="1"/>
                <w:color w:val="auto"/>
              </w:rPr>
            </w:pPr>
          </w:p>
        </w:tc>
      </w:tr>
      <w:tr>
        <w:trPr>
          <w:trHeight w:val="183"/>
        </w:trPr>
        <w:tc>
          <w:tcPr>
            <w:tcW w:w="682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40,918</w:t>
            </w:r>
          </w:p>
        </w:tc>
        <w:tc>
          <w:tcPr>
            <w:tcW w:w="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21,509</w:t>
            </w: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6"/>
                <w:szCs w:val="16"/>
                <w:b w:val="1"/>
                <w:bCs w:val="1"/>
                <w:color w:val="231F20"/>
              </w:rPr>
              <w:t>Supplemental disclosure of 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820" w:type="dxa"/>
            <w:vAlign w:val="bottom"/>
            <w:shd w:val="clear" w:color="auto" w:fill="CCEEFF"/>
          </w:tcPr>
          <w:p>
            <w:pPr>
              <w:spacing w:after="0"/>
              <w:rPr>
                <w:sz w:val="20"/>
                <w:szCs w:val="20"/>
                <w:color w:val="auto"/>
              </w:rPr>
            </w:pPr>
            <w:r>
              <w:rPr>
                <w:rFonts w:ascii="Arial" w:cs="Arial" w:eastAsia="Arial" w:hAnsi="Arial"/>
                <w:sz w:val="16"/>
                <w:szCs w:val="16"/>
                <w:color w:val="231F20"/>
              </w:rPr>
              <w:t>Reclassification of prepaid expenses and other current liabilities into other assets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Olema Pharmaceuticals,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190"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7"/>
          <w:szCs w:val="17"/>
          <w:color w:val="auto"/>
        </w:rPr>
        <w:t>Nature of the Business and Basis of Presentation</w:t>
      </w:r>
    </w:p>
    <w:p>
      <w:pPr>
        <w:spacing w:after="0" w:line="21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Olema Pharmaceuticals, Inc. (“Olema” or the “Company”) is a clinical-stage biopharmaceutical company focused on the discovery, development and commercialization of next-generation targeted therapies for women’s cancers. The Company is initially focused on developing therapies for the treatment of breast cancer. The Company’s wholly-owned, lead product candidate, OP-1250, is a novel oral therapy with combined activity as both a complete estrogen receptor (“ER”) antagonist (“CERAN”) and a selective ER degrader (“SERD”). It is currently being evaluated as a single agent in an ongoing Phase 1/2 clinical study, and in Phase 1b/2 clinical studies in combination with palbociclib, ribociclib, and alpelisib, in patients with recurrent, locally advanced or metastatic estrogen receptor-positive (“ER+”), human epidermal growth factor receptor 2 negative (“HER2-”) breast cancer.</w:t>
      </w:r>
    </w:p>
    <w:p>
      <w:pPr>
        <w:spacing w:after="0" w:line="207"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has operations in Cambridge, Massachusetts. Olema Oncology Australia Pty Ltd was incorporated on January 6, 2021 and is a wholly-owned subsidiary of the Company (collectively with Olema Pharmaceuticals, Inc. referred to as “Olema” or the “Company” herein). It operates in one business segment and therefore has only one 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such as the COVID-19 pandemic, ongoing conflict between Ukraine and Russia and related sanctions, recent and potential future bank failures and financial instability, the ability to secure additional capital to fund operations and commercial success of its product candidates. OP-1250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had $186.0 million of cash, cash equivalents and marketable securities at March 31, 2023, which management believes is sufficient to fund its operating expenses and capital expenditure requirements into 2025.</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Impact of Geopolitical and Macroeconomic Events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Global economic and business activities continue to face widespread geopolitical and macroeconomic uncertainties, including labor shortages, inflation and monetary supply shifts, bank failures and related financial market risks and instability, recession risks, as well as potential disruptions from the Russia-Ukraine conflict, which has resulted in volatility in the U.S. and global financial markets and which has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continues to monitor the impact of these geopolitical and macroeconomic factors on its results of operations, financial condition and cash flows.</w:t>
      </w:r>
    </w:p>
    <w:p>
      <w:pPr>
        <w:spacing w:after="0" w:line="197" w:lineRule="exact"/>
        <w:rPr>
          <w:sz w:val="20"/>
          <w:szCs w:val="20"/>
          <w:color w:val="auto"/>
        </w:rPr>
      </w:pPr>
    </w:p>
    <w:p>
      <w:pPr>
        <w:ind w:left="380" w:hanging="330"/>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Basis of Presentation and Consolidation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interim condensed consolidated balance sheet as of March 31, 2023, and the statements of operations and comprehensive loss, stockholders’ equity and cash flows for the three months ended March 31, 2023 and 2022 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three-month periods are also unaudited. The results of operations for the three months ended March 31, 2023 are not necessarily indicative of the results to be expected for the year ending December 31, 2023 or for any other future annual or interim period. The condensed consolidated balance sheet as of December 31, 2022 included herein was derived from the audited financial statements as of that date. These interim condensed consolidated financial statements should be read in conjunction with the Company’s audited consolidated financial statements included in the Company’s Form 10-K as filed with the SEC on March 9, 2023 (the “Annual Report”).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Use of Estimates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 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Cash and cash equivalents are defined as short-term, highly liquid investments with original maturities of 90 days or less at the date of purchase. Cash deposits are all in reputable financial institutions in the United States as of March 31, 2023 and December 31, 2022. Cash and cash equivalents consisted of cash on deposit with U.S. banks, including the Company’s bank account for its Australia subsidiary, denominated in U.S. dollars and Australian dollars and investments in interest bearing money market funds.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Marketable Securities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 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Leases</w:t>
      </w:r>
    </w:p>
    <w:p>
      <w:pPr>
        <w:spacing w:after="0" w:line="21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The Company adopted Accounting Standard Update (“ASU”) 2016-12, </w:t>
      </w:r>
      <w:r>
        <w:rPr>
          <w:rFonts w:ascii="Arial" w:cs="Arial" w:eastAsia="Arial" w:hAnsi="Arial"/>
          <w:sz w:val="18"/>
          <w:szCs w:val="18"/>
          <w:i w:val="1"/>
          <w:iCs w:val="1"/>
          <w:color w:val="auto"/>
        </w:rPr>
        <w:t>Leases</w:t>
      </w:r>
      <w:r>
        <w:rPr>
          <w:rFonts w:ascii="Arial" w:cs="Arial" w:eastAsia="Arial" w:hAnsi="Arial"/>
          <w:sz w:val="18"/>
          <w:szCs w:val="18"/>
          <w:color w:val="auto"/>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spacing w:after="0" w:line="203" w:lineRule="exact"/>
        <w:rPr>
          <w:sz w:val="20"/>
          <w:szCs w:val="20"/>
          <w:color w:val="auto"/>
        </w:rPr>
      </w:pPr>
    </w:p>
    <w:p>
      <w:pPr>
        <w:jc w:val="both"/>
        <w:ind w:left="60" w:right="59"/>
        <w:spacing w:after="0" w:line="234" w:lineRule="auto"/>
        <w:rPr>
          <w:sz w:val="20"/>
          <w:szCs w:val="20"/>
          <w:color w:val="auto"/>
        </w:rPr>
      </w:pPr>
      <w:r>
        <w:rPr>
          <w:rFonts w:ascii="Arial" w:cs="Arial" w:eastAsia="Arial" w:hAnsi="Arial"/>
          <w:sz w:val="18"/>
          <w:szCs w:val="18"/>
          <w:color w:val="auto"/>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w:t>
      </w:r>
    </w:p>
    <w:p>
      <w:pPr>
        <w:spacing w:after="0" w:line="3" w:lineRule="exact"/>
        <w:rPr>
          <w:sz w:val="20"/>
          <w:szCs w:val="20"/>
          <w:color w:val="auto"/>
        </w:rPr>
      </w:pPr>
    </w:p>
    <w:p>
      <w:pPr>
        <w:jc w:val="both"/>
        <w:ind w:left="60" w:right="59" w:hanging="10"/>
        <w:spacing w:after="0" w:line="237" w:lineRule="auto"/>
        <w:tabs>
          <w:tab w:leader="none" w:pos="363" w:val="left"/>
        </w:tabs>
        <w:numPr>
          <w:ilvl w:val="0"/>
          <w:numId w:val="5"/>
        </w:numPr>
        <w:rPr>
          <w:rFonts w:ascii="Arial" w:cs="Arial" w:eastAsia="Arial" w:hAnsi="Arial"/>
          <w:sz w:val="18"/>
          <w:szCs w:val="18"/>
          <w:color w:val="auto"/>
        </w:rPr>
      </w:pPr>
      <w:r>
        <w:rPr>
          <w:rFonts w:ascii="Arial" w:cs="Arial" w:eastAsia="Arial" w:hAnsi="Arial"/>
          <w:sz w:val="18"/>
          <w:szCs w:val="18"/>
          <w:color w:val="auto"/>
        </w:rPr>
        <w:t>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spacing w:after="0" w:line="202"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Company elected to not apply the recognition requirements of Topic 842 to short-term leases with terms of 12 months or less. Additional information and disclosures required by Topic 842 are contained in Note 11 “Lease” in the Annual Report.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and statistical compilation and analysis. Non-refundable 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Reimbursements of certain costs associated with research activities performed under the agreement with Novartis Institutes for BioMedical Research, Inc. (“Novartis”) are recorded as a reduction of research and development expenses 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Contract Costs and Accruals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 Accounting Pronouncements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were no new accounting pronouncements that were relevant to the Company as of and for the three months ended March 31, 2023.</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Fair Value Measurement</w:t>
      </w:r>
    </w:p>
    <w:p>
      <w:pPr>
        <w:spacing w:after="0" w:line="194"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The Company assesses the fair value of financial instruments based on the provisions of ASC 820, </w:t>
      </w:r>
      <w:r>
        <w:rPr>
          <w:rFonts w:ascii="Arial" w:cs="Arial" w:eastAsia="Arial" w:hAnsi="Arial"/>
          <w:sz w:val="18"/>
          <w:szCs w:val="18"/>
          <w:i w:val="1"/>
          <w:iCs w:val="1"/>
          <w:color w:val="auto"/>
        </w:rPr>
        <w:t>Fair Value</w:t>
      </w:r>
      <w:r>
        <w:rPr>
          <w:rFonts w:ascii="Arial" w:cs="Arial" w:eastAsia="Arial" w:hAnsi="Arial"/>
          <w:sz w:val="18"/>
          <w:szCs w:val="18"/>
          <w:color w:val="auto"/>
        </w:rPr>
        <w:t xml:space="preserve"> </w:t>
      </w:r>
      <w:r>
        <w:rPr>
          <w:rFonts w:ascii="Arial" w:cs="Arial" w:eastAsia="Arial" w:hAnsi="Arial"/>
          <w:sz w:val="18"/>
          <w:szCs w:val="18"/>
          <w:i w:val="1"/>
          <w:iCs w:val="1"/>
          <w:color w:val="auto"/>
        </w:rPr>
        <w:t>Measurements</w:t>
      </w:r>
      <w:r>
        <w:rPr>
          <w:rFonts w:ascii="Arial" w:cs="Arial" w:eastAsia="Arial" w:hAnsi="Arial"/>
          <w:sz w:val="18"/>
          <w:szCs w:val="18"/>
          <w:color w:val="auto"/>
        </w:rPr>
        <w:t>. ASC 820 defines fair value as the exchange price that would be received for an asset or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spacing w:after="0" w:line="189" w:lineRule="exact"/>
        <w:rPr>
          <w:sz w:val="20"/>
          <w:szCs w:val="20"/>
          <w:color w:val="auto"/>
        </w:rPr>
      </w:pPr>
    </w:p>
    <w:p>
      <w:pPr>
        <w:ind w:left="380" w:right="79" w:hanging="330"/>
        <w:spacing w:after="0" w:line="277"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1 — Inputs are unadjusted quoted prices in active markets for identical assets or liabilities accessible to the reporting entity at the measurement date.</w:t>
      </w:r>
    </w:p>
    <w:p>
      <w:pPr>
        <w:spacing w:after="0" w:line="129" w:lineRule="exact"/>
        <w:rPr>
          <w:rFonts w:ascii="Arial" w:cs="Arial" w:eastAsia="Arial" w:hAnsi="Arial"/>
          <w:sz w:val="18"/>
          <w:szCs w:val="18"/>
          <w:color w:val="231F20"/>
        </w:rPr>
      </w:pPr>
    </w:p>
    <w:p>
      <w:pPr>
        <w:jc w:val="both"/>
        <w:ind w:left="380" w:right="79" w:hanging="330"/>
        <w:spacing w:after="0" w:line="249" w:lineRule="auto"/>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53" w:lineRule="exact"/>
        <w:rPr>
          <w:rFonts w:ascii="Arial" w:cs="Arial" w:eastAsia="Arial" w:hAnsi="Arial"/>
          <w:sz w:val="18"/>
          <w:szCs w:val="18"/>
          <w:color w:val="231F20"/>
        </w:rPr>
      </w:pPr>
    </w:p>
    <w:p>
      <w:pPr>
        <w:jc w:val="both"/>
        <w:ind w:left="380" w:right="79" w:hanging="330"/>
        <w:spacing w:after="0"/>
        <w:tabs>
          <w:tab w:leader="none" w:pos="38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111760</wp:posOffset>
            </wp:positionV>
            <wp:extent cx="56489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355"/>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r>
      <w:tr>
        <w:trPr>
          <w:trHeight w:val="183"/>
        </w:trPr>
        <w:tc>
          <w:tcPr>
            <w:tcW w:w="49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Level 3</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Cash</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6,688</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6,688</w:t>
            </w:r>
          </w:p>
        </w:tc>
      </w:tr>
      <w:tr>
        <w:trPr>
          <w:trHeight w:val="203"/>
        </w:trPr>
        <w:tc>
          <w:tcPr>
            <w:tcW w:w="4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31,284</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31,284</w:t>
            </w:r>
          </w:p>
        </w:tc>
      </w:tr>
      <w:tr>
        <w:trPr>
          <w:trHeight w:val="203"/>
        </w:trPr>
        <w:tc>
          <w:tcPr>
            <w:tcW w:w="4920" w:type="dxa"/>
            <w:vAlign w:val="bottom"/>
          </w:tcPr>
          <w:p>
            <w:pPr>
              <w:ind w:left="100"/>
              <w:spacing w:after="0" w:line="202" w:lineRule="exact"/>
              <w:rPr>
                <w:sz w:val="20"/>
                <w:szCs w:val="20"/>
                <w:color w:val="auto"/>
              </w:rPr>
            </w:pPr>
            <w:r>
              <w:rPr>
                <w:rFonts w:ascii="Arial" w:cs="Arial" w:eastAsia="Arial" w:hAnsi="Arial"/>
                <w:sz w:val="18"/>
                <w:szCs w:val="18"/>
                <w:color w:val="auto"/>
              </w:rPr>
              <w:t>Commercial paper</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780" w:type="dxa"/>
            <w:vAlign w:val="bottom"/>
          </w:tcPr>
          <w:p>
            <w:pPr>
              <w:jc w:val="right"/>
              <w:ind w:right="16"/>
              <w:spacing w:after="0" w:line="202" w:lineRule="exact"/>
              <w:rPr>
                <w:sz w:val="20"/>
                <w:szCs w:val="20"/>
                <w:color w:val="auto"/>
              </w:rPr>
            </w:pPr>
            <w:r>
              <w:rPr>
                <w:rFonts w:ascii="Arial" w:cs="Arial" w:eastAsia="Arial" w:hAnsi="Arial"/>
                <w:sz w:val="18"/>
                <w:szCs w:val="18"/>
                <w:color w:val="auto"/>
              </w:rPr>
              <w:t>76,463</w:t>
            </w:r>
          </w:p>
        </w:tc>
        <w:tc>
          <w:tcPr>
            <w:tcW w:w="240" w:type="dxa"/>
            <w:vAlign w:val="bottom"/>
          </w:tcPr>
          <w:p>
            <w:pPr>
              <w:spacing w:after="0"/>
              <w:rPr>
                <w:sz w:val="17"/>
                <w:szCs w:val="17"/>
                <w:color w:val="auto"/>
              </w:rPr>
            </w:pPr>
          </w:p>
        </w:tc>
        <w:tc>
          <w:tcPr>
            <w:tcW w:w="80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76,463</w:t>
            </w:r>
          </w:p>
        </w:tc>
      </w:tr>
      <w:tr>
        <w:trPr>
          <w:trHeight w:val="203"/>
        </w:trPr>
        <w:tc>
          <w:tcPr>
            <w:tcW w:w="4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U.S. government treasury bills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14"/>
              <w:spacing w:after="0" w:line="202" w:lineRule="exact"/>
              <w:rPr>
                <w:sz w:val="20"/>
                <w:szCs w:val="20"/>
                <w:color w:val="auto"/>
              </w:rPr>
            </w:pPr>
            <w:r>
              <w:rPr>
                <w:rFonts w:ascii="Arial" w:cs="Arial" w:eastAsia="Arial" w:hAnsi="Arial"/>
                <w:sz w:val="18"/>
                <w:szCs w:val="18"/>
                <w:color w:val="auto"/>
              </w:rPr>
              <w:t>57,697</w:t>
            </w: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57,697</w:t>
            </w:r>
          </w:p>
        </w:tc>
      </w:tr>
      <w:tr>
        <w:trPr>
          <w:trHeight w:val="203"/>
        </w:trPr>
        <w:tc>
          <w:tcPr>
            <w:tcW w:w="49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Government-sponsored enterprise securities</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6"/>
              <w:spacing w:after="0" w:line="202" w:lineRule="exact"/>
              <w:rPr>
                <w:sz w:val="20"/>
                <w:szCs w:val="20"/>
                <w:color w:val="auto"/>
              </w:rPr>
            </w:pPr>
            <w:r>
              <w:rPr>
                <w:rFonts w:ascii="Arial" w:cs="Arial" w:eastAsia="Arial" w:hAnsi="Arial"/>
                <w:sz w:val="18"/>
                <w:szCs w:val="18"/>
                <w:color w:val="auto"/>
              </w:rPr>
              <w:t>13,876</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13,876</w:t>
            </w:r>
          </w:p>
        </w:tc>
      </w:tr>
      <w:tr>
        <w:trPr>
          <w:trHeight w:val="196"/>
        </w:trPr>
        <w:tc>
          <w:tcPr>
            <w:tcW w:w="49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ind w:right="14"/>
              <w:spacing w:after="0" w:line="196" w:lineRule="exact"/>
              <w:rPr>
                <w:sz w:val="20"/>
                <w:szCs w:val="20"/>
                <w:color w:val="auto"/>
              </w:rPr>
            </w:pPr>
            <w:r>
              <w:rPr>
                <w:rFonts w:ascii="Arial" w:cs="Arial" w:eastAsia="Arial" w:hAnsi="Arial"/>
                <w:sz w:val="18"/>
                <w:szCs w:val="18"/>
                <w:color w:val="auto"/>
              </w:rPr>
              <w:t>95,669</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rPr>
              <w:t>90,339</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35"/>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186,008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97"/>
        </w:trPr>
        <w:tc>
          <w:tcPr>
            <w:tcW w:w="49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415"/>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r>
      <w:tr>
        <w:trPr>
          <w:trHeight w:val="198"/>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center"/>
              <w:ind w:right="156"/>
              <w:spacing w:after="0"/>
              <w:rPr>
                <w:sz w:val="20"/>
                <w:szCs w:val="20"/>
                <w:color w:val="auto"/>
              </w:rPr>
            </w:pPr>
            <w:r>
              <w:rPr>
                <w:rFonts w:ascii="Arial" w:cs="Arial" w:eastAsia="Arial" w:hAnsi="Arial"/>
                <w:sz w:val="14"/>
                <w:szCs w:val="14"/>
                <w:b w:val="1"/>
                <w:bCs w:val="1"/>
                <w:color w:val="auto"/>
              </w:rPr>
              <w:t>Gross</w:t>
            </w:r>
          </w:p>
        </w:tc>
        <w:tc>
          <w:tcPr>
            <w:tcW w:w="240" w:type="dxa"/>
            <w:vAlign w:val="bottom"/>
          </w:tcPr>
          <w:p>
            <w:pPr>
              <w:spacing w:after="0"/>
              <w:rPr>
                <w:sz w:val="17"/>
                <w:szCs w:val="17"/>
                <w:color w:val="auto"/>
              </w:rPr>
            </w:pPr>
          </w:p>
        </w:tc>
        <w:tc>
          <w:tcPr>
            <w:tcW w:w="800" w:type="dxa"/>
            <w:vAlign w:val="bottom"/>
          </w:tcPr>
          <w:p>
            <w:pPr>
              <w:jc w:val="center"/>
              <w:ind w:right="155"/>
              <w:spacing w:after="0"/>
              <w:rPr>
                <w:sz w:val="20"/>
                <w:szCs w:val="20"/>
                <w:color w:val="auto"/>
              </w:rPr>
            </w:pPr>
            <w:r>
              <w:rPr>
                <w:rFonts w:ascii="Arial" w:cs="Arial" w:eastAsia="Arial" w:hAnsi="Arial"/>
                <w:sz w:val="14"/>
                <w:szCs w:val="14"/>
                <w:b w:val="1"/>
                <w:bCs w:val="1"/>
                <w:color w:val="auto"/>
                <w:w w:val="98"/>
              </w:rPr>
              <w:t>Gross</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gridSpan w:val="2"/>
          </w:tcPr>
          <w:p>
            <w:pPr>
              <w:jc w:val="center"/>
              <w:ind w:right="14"/>
              <w:spacing w:after="0"/>
              <w:rPr>
                <w:sz w:val="20"/>
                <w:szCs w:val="20"/>
                <w:color w:val="auto"/>
              </w:rPr>
            </w:pPr>
            <w:r>
              <w:rPr>
                <w:rFonts w:ascii="Arial" w:cs="Arial" w:eastAsia="Arial" w:hAnsi="Arial"/>
                <w:sz w:val="14"/>
                <w:szCs w:val="14"/>
                <w:b w:val="1"/>
                <w:bCs w:val="1"/>
                <w:color w:val="auto"/>
              </w:rPr>
              <w:t>Amortized</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Unrealized</w:t>
            </w: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Estimated</w:t>
            </w:r>
          </w:p>
        </w:tc>
      </w:tr>
      <w:tr>
        <w:trPr>
          <w:trHeight w:val="188"/>
        </w:trPr>
        <w:tc>
          <w:tcPr>
            <w:tcW w:w="4920" w:type="dxa"/>
            <w:vAlign w:val="bottom"/>
          </w:tcPr>
          <w:p>
            <w:pPr>
              <w:spacing w:after="0"/>
              <w:rPr>
                <w:sz w:val="20"/>
                <w:szCs w:val="20"/>
                <w:color w:val="auto"/>
              </w:rPr>
            </w:pPr>
            <w:r>
              <w:rPr>
                <w:rFonts w:ascii="Arial" w:cs="Arial" w:eastAsia="Arial" w:hAnsi="Arial"/>
                <w:sz w:val="14"/>
                <w:szCs w:val="14"/>
                <w:color w:val="auto"/>
              </w:rPr>
              <w:t>(in thousands)</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rPr>
              <w:t>Cost</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rPr>
              <w:t>Gains</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9"/>
              </w:rPr>
              <w:t>Losses</w:t>
            </w: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4920" w:type="dxa"/>
            <w:vAlign w:val="bottom"/>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3"/>
        </w:trPr>
        <w:tc>
          <w:tcPr>
            <w:tcW w:w="49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Cash and cash equivalents</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40,970</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56"/>
              <w:spacing w:after="0" w:line="202" w:lineRule="exact"/>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5"/>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40,971</w:t>
            </w:r>
          </w:p>
        </w:tc>
      </w:tr>
      <w:tr>
        <w:trPr>
          <w:trHeight w:val="203"/>
        </w:trPr>
        <w:tc>
          <w:tcPr>
            <w:tcW w:w="492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auto"/>
              </w:rPr>
              <w:t>Short-term marketable securities (&lt;12 months to maturity)</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146,016</w:t>
            </w: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56"/>
              <w:spacing w:after="0" w:line="202" w:lineRule="exact"/>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(983)</w:t>
            </w: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145,037</w:t>
            </w:r>
          </w:p>
        </w:tc>
      </w:tr>
      <w:tr>
        <w:trPr>
          <w:trHeight w:val="196"/>
        </w:trPr>
        <w:tc>
          <w:tcPr>
            <w:tcW w:w="49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rPr>
              <w:t>Total</w:t>
            </w:r>
          </w:p>
        </w:tc>
        <w:tc>
          <w:tcPr>
            <w:tcW w:w="940" w:type="dxa"/>
            <w:vAlign w:val="bottom"/>
            <w:tcBorders>
              <w:bottom w:val="single" w:sz="8" w:color="auto"/>
            </w:tcBorders>
            <w:gridSpan w:val="3"/>
            <w:shd w:val="clear" w:color="auto" w:fill="CCEEFF"/>
          </w:tcPr>
          <w:p>
            <w:pPr>
              <w:jc w:val="right"/>
              <w:ind w:right="34"/>
              <w:spacing w:after="0" w:line="196" w:lineRule="exact"/>
              <w:rPr>
                <w:sz w:val="20"/>
                <w:szCs w:val="20"/>
                <w:color w:val="auto"/>
              </w:rPr>
            </w:pPr>
            <w:r>
              <w:rPr>
                <w:rFonts w:ascii="Arial" w:cs="Arial" w:eastAsia="Arial" w:hAnsi="Arial"/>
                <w:sz w:val="18"/>
                <w:szCs w:val="18"/>
                <w:color w:val="auto"/>
                <w:w w:val="99"/>
              </w:rPr>
              <w:t>$ 186,986</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56"/>
              <w:spacing w:after="0" w:line="196" w:lineRule="exact"/>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(983)</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186,008</w:t>
            </w:r>
          </w:p>
        </w:tc>
      </w:tr>
      <w:tr>
        <w:trPr>
          <w:trHeight w:val="20"/>
        </w:trPr>
        <w:tc>
          <w:tcPr>
            <w:tcW w:w="4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 As of March 31, 2023, the Company does not have any marketable securities with maturities beyond one year.</w:t>
      </w:r>
    </w:p>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There were 23 marketable securities that have been in a consecutive loss position for more than 12 months as of March 31, 2023. They had $0.8 million unrealized loss with a fair value of $63.7 million as of March 31, 2023. The Company does not believe that the total unrealized losses of $1.0 million as of March 31, 2023 are credit-related but are rather a reflection of current market yields and/or current marketplace bid/ask spreads. During the three months ended March 31, 2023 and 2022, respectively, the Company did not recognize any other-than-temporary impairment loss. As of March 31, 2023, there was no allowance for losses on available-for-sale debt securities attributable to credit risk.</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March 31, 2023, all of the Company’s cash and cash equivalents consisted of cash on deposit with U.S.</w:t>
      </w:r>
    </w:p>
    <w:p>
      <w:pPr>
        <w:ind w:left="60"/>
        <w:spacing w:after="0"/>
        <w:rPr>
          <w:sz w:val="20"/>
          <w:szCs w:val="20"/>
          <w:color w:val="auto"/>
        </w:rPr>
      </w:pPr>
      <w:r>
        <w:rPr>
          <w:rFonts w:ascii="Arial" w:cs="Arial" w:eastAsia="Arial" w:hAnsi="Arial"/>
          <w:sz w:val="18"/>
          <w:szCs w:val="18"/>
          <w:color w:val="auto"/>
        </w:rPr>
        <w:t>banks denominated in U.S. dollars and Australian dollars.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4. Property and Equipment, net</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net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8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9"/>
              </w:rPr>
              <w:t>March 31,</w:t>
            </w:r>
          </w:p>
        </w:tc>
        <w:tc>
          <w:tcPr>
            <w:tcW w:w="1080" w:type="dxa"/>
            <w:vAlign w:val="bottom"/>
            <w:tcBorders>
              <w:top w:val="single" w:sz="8" w:color="auto"/>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67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231F20"/>
              </w:rPr>
              <w:t>2023</w:t>
            </w:r>
          </w:p>
        </w:tc>
        <w:tc>
          <w:tcPr>
            <w:tcW w:w="3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231F20"/>
              </w:rPr>
              <w:t>2022</w:t>
            </w:r>
          </w:p>
        </w:tc>
      </w:tr>
      <w:tr>
        <w:trPr>
          <w:trHeight w:val="196"/>
        </w:trPr>
        <w:tc>
          <w:tcPr>
            <w:tcW w:w="6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Lab equipment</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2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2,002</w:t>
            </w:r>
          </w:p>
        </w:tc>
        <w:tc>
          <w:tcPr>
            <w:tcW w:w="3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2,002</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Computer equipment</w:t>
            </w: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75"/>
              <w:spacing w:after="0" w:line="202" w:lineRule="exact"/>
              <w:rPr>
                <w:sz w:val="20"/>
                <w:szCs w:val="20"/>
                <w:color w:val="auto"/>
              </w:rPr>
            </w:pPr>
            <w:r>
              <w:rPr>
                <w:rFonts w:ascii="Arial" w:cs="Arial" w:eastAsia="Arial" w:hAnsi="Arial"/>
                <w:sz w:val="18"/>
                <w:szCs w:val="18"/>
                <w:color w:val="231F20"/>
              </w:rPr>
              <w:t>59</w:t>
            </w:r>
          </w:p>
        </w:tc>
        <w:tc>
          <w:tcPr>
            <w:tcW w:w="3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59</w:t>
            </w:r>
          </w:p>
        </w:tc>
      </w:tr>
      <w:tr>
        <w:trPr>
          <w:trHeight w:val="196"/>
        </w:trPr>
        <w:tc>
          <w:tcPr>
            <w:tcW w:w="678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rPr>
              <w:t>Property and equipment, gross</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2,061</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2,061</w:t>
            </w:r>
          </w:p>
        </w:tc>
      </w:tr>
      <w:tr>
        <w:trPr>
          <w:trHeight w:val="203"/>
        </w:trPr>
        <w:tc>
          <w:tcPr>
            <w:tcW w:w="678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Less: Accumulated depreciation</w:t>
            </w:r>
          </w:p>
        </w:tc>
        <w:tc>
          <w:tcPr>
            <w:tcW w:w="120" w:type="dxa"/>
            <w:vAlign w:val="bottom"/>
            <w:tcBorders>
              <w:bottom w:val="single" w:sz="8" w:color="231F20"/>
            </w:tcBorders>
          </w:tcPr>
          <w:p>
            <w:pPr>
              <w:spacing w:after="0"/>
              <w:rPr>
                <w:sz w:val="17"/>
                <w:szCs w:val="17"/>
                <w:color w:val="auto"/>
              </w:rPr>
            </w:pPr>
          </w:p>
        </w:tc>
        <w:tc>
          <w:tcPr>
            <w:tcW w:w="920" w:type="dxa"/>
            <w:vAlign w:val="bottom"/>
            <w:tcBorders>
              <w:bottom w:val="single" w:sz="8" w:color="231F20"/>
            </w:tcBorders>
          </w:tcPr>
          <w:p>
            <w:pPr>
              <w:jc w:val="right"/>
              <w:ind w:right="35"/>
              <w:spacing w:after="0" w:line="202" w:lineRule="exact"/>
              <w:rPr>
                <w:sz w:val="20"/>
                <w:szCs w:val="20"/>
                <w:color w:val="auto"/>
              </w:rPr>
            </w:pPr>
            <w:r>
              <w:rPr>
                <w:rFonts w:ascii="Arial" w:cs="Arial" w:eastAsia="Arial" w:hAnsi="Arial"/>
                <w:sz w:val="18"/>
                <w:szCs w:val="18"/>
                <w:color w:val="231F20"/>
              </w:rPr>
              <w:t>(681)</w:t>
            </w:r>
          </w:p>
        </w:tc>
        <w:tc>
          <w:tcPr>
            <w:tcW w:w="320" w:type="dxa"/>
            <w:vAlign w:val="bottom"/>
            <w:tcBorders>
              <w:bottom w:val="single" w:sz="8" w:color="231F20"/>
            </w:tcBorders>
          </w:tcPr>
          <w:p>
            <w:pPr>
              <w:spacing w:after="0"/>
              <w:rPr>
                <w:sz w:val="17"/>
                <w:szCs w:val="17"/>
                <w:color w:val="auto"/>
              </w:rPr>
            </w:pPr>
          </w:p>
        </w:tc>
        <w:tc>
          <w:tcPr>
            <w:tcW w:w="76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(581)</w:t>
            </w:r>
          </w:p>
        </w:tc>
      </w:tr>
      <w:tr>
        <w:trPr>
          <w:trHeight w:val="196"/>
        </w:trPr>
        <w:tc>
          <w:tcPr>
            <w:tcW w:w="678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99"/>
              </w:rPr>
              <w:t>$</w:t>
            </w:r>
          </w:p>
        </w:tc>
        <w:tc>
          <w:tcPr>
            <w:tcW w:w="920" w:type="dxa"/>
            <w:vAlign w:val="bottom"/>
            <w:tcBorders>
              <w:bottom w:val="single" w:sz="8" w:color="auto"/>
            </w:tcBorders>
            <w:shd w:val="clear" w:color="auto" w:fill="CCEEFF"/>
          </w:tcPr>
          <w:p>
            <w:pPr>
              <w:jc w:val="right"/>
              <w:ind w:right="75"/>
              <w:spacing w:after="0" w:line="196" w:lineRule="exact"/>
              <w:rPr>
                <w:sz w:val="20"/>
                <w:szCs w:val="20"/>
                <w:color w:val="auto"/>
              </w:rPr>
            </w:pPr>
            <w:r>
              <w:rPr>
                <w:rFonts w:ascii="Arial" w:cs="Arial" w:eastAsia="Arial" w:hAnsi="Arial"/>
                <w:sz w:val="18"/>
                <w:szCs w:val="18"/>
                <w:color w:val="231F20"/>
              </w:rPr>
              <w:t>1,380</w:t>
            </w:r>
          </w:p>
        </w:tc>
        <w:tc>
          <w:tcPr>
            <w:tcW w:w="3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1,480</w:t>
            </w: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7"/>
          <w:szCs w:val="17"/>
          <w:color w:val="auto"/>
        </w:rPr>
        <w:t>Prepaid Expenses and Other Current Assets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67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92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March 31,</w:t>
            </w:r>
          </w:p>
        </w:tc>
        <w:tc>
          <w:tcPr>
            <w:tcW w:w="1200" w:type="dxa"/>
            <w:vAlign w:val="bottom"/>
            <w:tcBorders>
              <w:top w:val="single" w:sz="8" w:color="auto"/>
              <w:bottom w:val="single" w:sz="8" w:color="auto"/>
            </w:tcBorders>
            <w:gridSpan w:val="4"/>
          </w:tcPr>
          <w:p>
            <w:pPr>
              <w:jc w:val="center"/>
              <w:ind w:left="56"/>
              <w:spacing w:after="0"/>
              <w:rPr>
                <w:sz w:val="20"/>
                <w:szCs w:val="20"/>
                <w:color w:val="auto"/>
              </w:rPr>
            </w:pPr>
            <w:r>
              <w:rPr>
                <w:rFonts w:ascii="Arial" w:cs="Arial" w:eastAsia="Arial" w:hAnsi="Arial"/>
                <w:sz w:val="14"/>
                <w:szCs w:val="14"/>
                <w:b w:val="1"/>
                <w:bCs w:val="1"/>
                <w:color w:val="auto"/>
              </w:rPr>
              <w:t>December 31,</w:t>
            </w:r>
          </w:p>
        </w:tc>
      </w:tr>
      <w:tr>
        <w:trPr>
          <w:trHeight w:val="156"/>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231F20"/>
              </w:rPr>
              <w:t>2023</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231F20"/>
              </w:rPr>
              <w:t>2022</w:t>
            </w:r>
          </w:p>
        </w:tc>
        <w:tc>
          <w:tcPr>
            <w:tcW w:w="20" w:type="dxa"/>
            <w:vAlign w:val="bottom"/>
            <w:tcBorders>
              <w:bottom w:val="single" w:sz="8" w:color="auto"/>
            </w:tcBorders>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231F20"/>
              </w:rPr>
              <w:t>Prepaid insurance</w:t>
            </w:r>
          </w:p>
        </w:tc>
        <w:tc>
          <w:tcPr>
            <w:tcW w:w="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1,254</w:t>
            </w:r>
          </w:p>
        </w:tc>
        <w:tc>
          <w:tcPr>
            <w:tcW w:w="4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1,738</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tcPr>
          <w:p>
            <w:pPr>
              <w:spacing w:after="0" w:line="202" w:lineRule="exact"/>
              <w:rPr>
                <w:sz w:val="20"/>
                <w:szCs w:val="20"/>
                <w:color w:val="auto"/>
              </w:rPr>
            </w:pPr>
            <w:r>
              <w:rPr>
                <w:rFonts w:ascii="Arial" w:cs="Arial" w:eastAsia="Arial" w:hAnsi="Arial"/>
                <w:sz w:val="18"/>
                <w:szCs w:val="18"/>
                <w:color w:val="231F20"/>
              </w:rPr>
              <w:t>Reimbursable research and development costs from a collaboration partner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231F20"/>
              </w:rPr>
              <w:t>976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1,387</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67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231F20"/>
              </w:rPr>
              <w:t>Prepaid clinical development costs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439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506</w:t>
            </w:r>
          </w:p>
        </w:tc>
        <w:tc>
          <w:tcPr>
            <w:tcW w:w="20" w:type="dxa"/>
            <w:vAlign w:val="bottom"/>
            <w:shd w:val="clear" w:color="auto" w:fill="CCEEFF"/>
          </w:tcPr>
          <w:p>
            <w:pPr>
              <w:spacing w:after="0"/>
              <w:rPr>
                <w:sz w:val="17"/>
                <w:szCs w:val="17"/>
                <w:color w:val="auto"/>
              </w:rPr>
            </w:pPr>
          </w:p>
        </w:tc>
      </w:tr>
      <w:tr>
        <w:trPr>
          <w:trHeight w:val="216"/>
        </w:trPr>
        <w:tc>
          <w:tcPr>
            <w:tcW w:w="6800" w:type="dxa"/>
            <w:vAlign w:val="bottom"/>
            <w:gridSpan w:val="3"/>
          </w:tcPr>
          <w:p>
            <w:pPr>
              <w:ind w:left="20"/>
              <w:spacing w:after="0"/>
              <w:rPr>
                <w:sz w:val="20"/>
                <w:szCs w:val="20"/>
                <w:color w:val="auto"/>
              </w:rPr>
            </w:pPr>
            <w:r>
              <w:rPr>
                <w:rFonts w:ascii="Arial" w:cs="Arial" w:eastAsia="Arial" w:hAnsi="Arial"/>
                <w:sz w:val="18"/>
                <w:szCs w:val="18"/>
                <w:color w:val="231F20"/>
              </w:rPr>
              <w:t>Prepaid subscriptions and licenses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231F20"/>
              </w:rPr>
              <w:t>400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231F20"/>
              </w:rPr>
              <w:t>399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231F20"/>
              </w:rPr>
              <w:t>Interest receivable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302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319</w:t>
            </w:r>
          </w:p>
        </w:tc>
        <w:tc>
          <w:tcPr>
            <w:tcW w:w="20" w:type="dxa"/>
            <w:vAlign w:val="bottom"/>
            <w:shd w:val="clear" w:color="auto" w:fill="CCEEFF"/>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678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231F20"/>
              </w:rPr>
              <w:t>Other</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72</w:t>
            </w:r>
          </w:p>
        </w:tc>
        <w:tc>
          <w:tcPr>
            <w:tcW w:w="3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129</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678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3,443</w:t>
            </w:r>
          </w:p>
        </w:tc>
        <w:tc>
          <w:tcPr>
            <w:tcW w:w="420" w:type="dxa"/>
            <w:vAlign w:val="bottom"/>
            <w:tcBorders>
              <w:bottom w:val="single" w:sz="8" w:color="auto"/>
            </w:tcBorders>
            <w:gridSpan w:val="2"/>
            <w:shd w:val="clear" w:color="auto" w:fill="CCEEFF"/>
          </w:tcPr>
          <w:p>
            <w:pPr>
              <w:ind w:left="220"/>
              <w:spacing w:after="0" w:line="196" w:lineRule="exact"/>
              <w:rPr>
                <w:sz w:val="20"/>
                <w:szCs w:val="20"/>
                <w:color w:val="auto"/>
              </w:rPr>
            </w:pPr>
            <w:r>
              <w:rPr>
                <w:rFonts w:ascii="Arial" w:cs="Arial" w:eastAsia="Arial" w:hAnsi="Arial"/>
                <w:sz w:val="18"/>
                <w:szCs w:val="18"/>
                <w:color w:val="231F20"/>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4,478</w:t>
            </w:r>
          </w:p>
        </w:tc>
        <w:tc>
          <w:tcPr>
            <w:tcW w:w="20" w:type="dxa"/>
            <w:vAlign w:val="bottom"/>
            <w:tcBorders>
              <w:bottom w:val="single" w:sz="8" w:color="auto"/>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0"/>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6.  Other Current Liabilities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6800" w:type="dxa"/>
            <w:vAlign w:val="bottom"/>
            <w:gridSpan w:val="3"/>
          </w:tcPr>
          <w:p>
            <w:pPr>
              <w:ind w:left="20"/>
              <w:spacing w:after="0"/>
              <w:rPr>
                <w:sz w:val="20"/>
                <w:szCs w:val="20"/>
                <w:color w:val="auto"/>
              </w:rPr>
            </w:pPr>
            <w:r>
              <w:rPr>
                <w:rFonts w:ascii="Arial" w:cs="Arial" w:eastAsia="Arial" w:hAnsi="Arial"/>
                <w:sz w:val="18"/>
                <w:szCs w:val="18"/>
                <w:color w:val="auto"/>
              </w:rPr>
              <w:t>Other current liabilities consisted of the following (in thousands):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gridSpan w:val="3"/>
          </w:tcPr>
          <w:p>
            <w:pPr>
              <w:spacing w:after="0"/>
              <w:rPr>
                <w:sz w:val="18"/>
                <w:szCs w:val="18"/>
                <w:color w:val="auto"/>
              </w:rPr>
            </w:pPr>
          </w:p>
        </w:tc>
        <w:tc>
          <w:tcPr>
            <w:tcW w:w="1200" w:type="dxa"/>
            <w:vAlign w:val="bottom"/>
            <w:gridSpan w:val="4"/>
          </w:tcPr>
          <w:p>
            <w:pPr>
              <w:spacing w:after="0"/>
              <w:rPr>
                <w:sz w:val="18"/>
                <w:szCs w:val="18"/>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6760" w:type="dxa"/>
            <w:vAlign w:val="bottom"/>
            <w:tcBorders>
              <w:top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rPr>
              <w:t>March 31,</w:t>
            </w:r>
          </w:p>
        </w:tc>
        <w:tc>
          <w:tcPr>
            <w:tcW w:w="1180" w:type="dxa"/>
            <w:vAlign w:val="bottom"/>
            <w:tcBorders>
              <w:top w:val="single" w:sz="8" w:color="auto"/>
              <w:bottom w:val="single" w:sz="8" w:color="auto"/>
            </w:tcBorders>
            <w:gridSpan w:val="3"/>
          </w:tcPr>
          <w:p>
            <w:pPr>
              <w:jc w:val="center"/>
              <w:ind w:left="76"/>
              <w:spacing w:after="0" w:line="155" w:lineRule="exact"/>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3"/>
                <w:szCs w:val="13"/>
                <w:color w:val="auto"/>
              </w:rPr>
            </w:pPr>
          </w:p>
        </w:tc>
      </w:tr>
      <w:tr>
        <w:trPr>
          <w:trHeight w:val="155"/>
        </w:trPr>
        <w:tc>
          <w:tcPr>
            <w:tcW w:w="20" w:type="dxa"/>
            <w:vAlign w:val="bottom"/>
            <w:tcBorders>
              <w:bottom w:val="single" w:sz="8" w:color="CCEEFF"/>
            </w:tcBorders>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231F20"/>
              </w:rPr>
              <w:t>2023</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152"/>
              <w:spacing w:after="0" w:line="155" w:lineRule="exact"/>
              <w:rPr>
                <w:sz w:val="20"/>
                <w:szCs w:val="20"/>
                <w:color w:val="auto"/>
              </w:rPr>
            </w:pPr>
            <w:r>
              <w:rPr>
                <w:rFonts w:ascii="Arial" w:cs="Arial" w:eastAsia="Arial" w:hAnsi="Arial"/>
                <w:sz w:val="14"/>
                <w:szCs w:val="14"/>
                <w:b w:val="1"/>
                <w:bCs w:val="1"/>
                <w:color w:val="231F20"/>
              </w:rPr>
              <w:t>2022</w:t>
            </w:r>
          </w:p>
        </w:tc>
        <w:tc>
          <w:tcPr>
            <w:tcW w:w="20" w:type="dxa"/>
            <w:vAlign w:val="bottom"/>
          </w:tcPr>
          <w:p>
            <w:pPr>
              <w:spacing w:after="0"/>
              <w:rPr>
                <w:sz w:val="13"/>
                <w:szCs w:val="13"/>
                <w:color w:val="auto"/>
              </w:rPr>
            </w:pPr>
          </w:p>
        </w:tc>
      </w:tr>
      <w:tr>
        <w:trPr>
          <w:trHeight w:val="196"/>
        </w:trPr>
        <w:tc>
          <w:tcPr>
            <w:tcW w:w="67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231F20"/>
              </w:rPr>
              <w:t>Accrued research and development related costs</w:t>
            </w:r>
          </w:p>
        </w:tc>
        <w:tc>
          <w:tcPr>
            <w:tcW w:w="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231F20"/>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12,080</w:t>
            </w:r>
          </w:p>
        </w:tc>
        <w:tc>
          <w:tcPr>
            <w:tcW w:w="42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231F20"/>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9,105</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payroll related costs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231F20"/>
              </w:rPr>
              <w:t>2,741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296</w:t>
            </w:r>
          </w:p>
        </w:tc>
        <w:tc>
          <w:tcPr>
            <w:tcW w:w="2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professional fees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1,758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1,091</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Accrued employee bonuses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231F20"/>
              </w:rPr>
              <w:t>1,082</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4,518</w:t>
            </w:r>
          </w:p>
        </w:tc>
        <w:tc>
          <w:tcPr>
            <w:tcW w:w="20" w:type="dxa"/>
            <w:vAlign w:val="bottom"/>
          </w:tcPr>
          <w:p>
            <w:pPr>
              <w:spacing w:after="0"/>
              <w:rPr>
                <w:sz w:val="17"/>
                <w:szCs w:val="17"/>
                <w:color w:val="auto"/>
              </w:rPr>
            </w:pPr>
          </w:p>
        </w:tc>
      </w:tr>
      <w:tr>
        <w:trPr>
          <w:trHeight w:val="203"/>
        </w:trPr>
        <w:tc>
          <w:tcPr>
            <w:tcW w:w="6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color w:val="231F20"/>
              </w:rPr>
              <w:t>Accrued taxes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109</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68</w:t>
            </w:r>
          </w:p>
        </w:tc>
        <w:tc>
          <w:tcPr>
            <w:tcW w:w="20" w:type="dxa"/>
            <w:vAlign w:val="bottom"/>
          </w:tcPr>
          <w:p>
            <w:pPr>
              <w:spacing w:after="0"/>
              <w:rPr>
                <w:sz w:val="17"/>
                <w:szCs w:val="17"/>
                <w:color w:val="auto"/>
              </w:rPr>
            </w:pPr>
          </w:p>
        </w:tc>
      </w:tr>
      <w:tr>
        <w:trPr>
          <w:trHeight w:val="203"/>
        </w:trPr>
        <w:tc>
          <w:tcPr>
            <w:tcW w:w="6800" w:type="dxa"/>
            <w:vAlign w:val="bottom"/>
            <w:gridSpan w:val="3"/>
          </w:tcPr>
          <w:p>
            <w:pPr>
              <w:ind w:left="20"/>
              <w:spacing w:after="0" w:line="202" w:lineRule="exact"/>
              <w:rPr>
                <w:sz w:val="20"/>
                <w:szCs w:val="20"/>
                <w:color w:val="auto"/>
              </w:rPr>
            </w:pPr>
            <w:r>
              <w:rPr>
                <w:rFonts w:ascii="Arial" w:cs="Arial" w:eastAsia="Arial" w:hAnsi="Arial"/>
                <w:sz w:val="18"/>
                <w:szCs w:val="18"/>
                <w:color w:val="231F20"/>
              </w:rPr>
              <w:t>Early exercise of unvested stock options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231F20"/>
              </w:rPr>
              <w:t>51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231F20"/>
              </w:rPr>
              <w:t>82</w:t>
            </w:r>
          </w:p>
        </w:tc>
        <w:tc>
          <w:tcPr>
            <w:tcW w:w="20" w:type="dxa"/>
            <w:vAlign w:val="bottom"/>
          </w:tcPr>
          <w:p>
            <w:pPr>
              <w:spacing w:after="0"/>
              <w:rPr>
                <w:sz w:val="17"/>
                <w:szCs w:val="17"/>
                <w:color w:val="auto"/>
              </w:rPr>
            </w:pPr>
          </w:p>
        </w:tc>
      </w:tr>
      <w:tr>
        <w:trPr>
          <w:trHeight w:val="196"/>
        </w:trPr>
        <w:tc>
          <w:tcPr>
            <w:tcW w:w="6780" w:type="dxa"/>
            <w:vAlign w:val="bottom"/>
            <w:tcBorders>
              <w:top w:val="single" w:sz="8" w:color="CCEEFF"/>
              <w:bottom w:val="single" w:sz="8" w:color="auto"/>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w:t>
            </w:r>
          </w:p>
        </w:tc>
        <w:tc>
          <w:tcPr>
            <w:tcW w:w="20" w:type="dxa"/>
            <w:vAlign w:val="bottom"/>
            <w:tcBorders>
              <w:top w:val="single" w:sz="8" w:color="231F20"/>
              <w:bottom w:val="single" w:sz="8" w:color="auto"/>
            </w:tcBorders>
            <w:shd w:val="clear" w:color="auto" w:fill="CCEEFF"/>
          </w:tcPr>
          <w:p>
            <w:pPr>
              <w:spacing w:after="0"/>
              <w:rPr>
                <w:sz w:val="17"/>
                <w:szCs w:val="17"/>
                <w:color w:val="auto"/>
              </w:rPr>
            </w:pPr>
          </w:p>
        </w:tc>
        <w:tc>
          <w:tcPr>
            <w:tcW w:w="100" w:type="dxa"/>
            <w:vAlign w:val="bottom"/>
            <w:tcBorders>
              <w:top w:val="single" w:sz="8" w:color="231F20"/>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17,821</w:t>
            </w:r>
          </w:p>
        </w:tc>
        <w:tc>
          <w:tcPr>
            <w:tcW w:w="320" w:type="dxa"/>
            <w:vAlign w:val="bottom"/>
            <w:tcBorders>
              <w:top w:val="single" w:sz="8" w:color="231F20"/>
              <w:bottom w:val="single" w:sz="8" w:color="auto"/>
            </w:tcBorders>
            <w:shd w:val="clear" w:color="auto" w:fill="CCEEFF"/>
          </w:tcPr>
          <w:p>
            <w:pPr>
              <w:ind w:left="220"/>
              <w:spacing w:after="0" w:line="196" w:lineRule="exact"/>
              <w:rPr>
                <w:sz w:val="20"/>
                <w:szCs w:val="20"/>
                <w:color w:val="auto"/>
              </w:rPr>
            </w:pPr>
            <w:r>
              <w:rPr>
                <w:rFonts w:ascii="Arial" w:cs="Arial" w:eastAsia="Arial" w:hAnsi="Arial"/>
                <w:sz w:val="18"/>
                <w:szCs w:val="18"/>
                <w:color w:val="231F20"/>
                <w:w w:val="79"/>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15,160</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6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460" w:hanging="410"/>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Stock-Based Compensation</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2014, the Company’s Board of Directors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2020, the Company’s Board of Directors and stockholders approved and adopted the 2020 Equity Incentive Plan (the “2020 Plan”). The 2020 Plan permits the grant of options, restricted stock awards, stock appreciation rights, restricted stock unit awards, performance awards, and other awards. The maximum number of shares of common stock that may be issued under the 2020 Plan will not exceed 6,494,510 shares of the Company’s common stock, which is the sum of (i) 2,152,080 new shares, plus (ii) an additional number of shares not to exceed 4,342,430 shares, consisting of any shares of the Company’s common stock subject to outstanding stock options or other stock awards granted under the Company’s 2014 Plan that, on or after the 2020 Plan becomes effective, terminate or expire prior to exercise or settlement; are not issued because the award is settled in cash; are forfeited because of the failure to vest; or are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Company’s Board of Directors no later than December 31 of the immediately preceding year.</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2022, the Company’s Board of Directors approved and adopted the 2022 Inducement Plan (the “2022 Inducement Plan”). Under the 2022 Inducement Plan, initially 2,000,000 shares of common stock were reserved for issuance. The 2022 Inducement Plan permits the grant of options, restricted stock awards, stock appreciation rights, restricted stock unit awards, performance awards, and other awards.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 after the date of grant.</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Valuation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assumptions that the Company used to determine the estimated grant-date fair value of stock options granted to employees and directors under the 2020 Plan and the 2022 Inducement Plan were as follows, presented as a weighted average:</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6"/>
        </w:trPr>
        <w:tc>
          <w:tcPr>
            <w:tcW w:w="6480" w:type="dxa"/>
            <w:vAlign w:val="bottom"/>
            <w:tcBorders>
              <w:top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231F20"/>
              </w:rPr>
              <w:t>March 31,</w:t>
            </w:r>
          </w:p>
        </w:tc>
        <w:tc>
          <w:tcPr>
            <w:tcW w:w="98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231F20"/>
              </w:rPr>
              <w:t>March 31,</w:t>
            </w:r>
          </w:p>
        </w:tc>
      </w:tr>
      <w:tr>
        <w:trPr>
          <w:trHeight w:val="156"/>
        </w:trPr>
        <w:tc>
          <w:tcPr>
            <w:tcW w:w="6480" w:type="dxa"/>
            <w:vAlign w:val="bottom"/>
            <w:tcBorders>
              <w:bottom w:val="single" w:sz="8" w:color="CCEEFF"/>
            </w:tcBorders>
          </w:tcPr>
          <w:p>
            <w:pPr>
              <w:spacing w:after="0"/>
              <w:rPr>
                <w:sz w:val="13"/>
                <w:szCs w:val="13"/>
                <w:color w:val="auto"/>
              </w:rPr>
            </w:pPr>
          </w:p>
        </w:tc>
        <w:tc>
          <w:tcPr>
            <w:tcW w:w="1440" w:type="dxa"/>
            <w:vAlign w:val="bottom"/>
            <w:tcBorders>
              <w:bottom w:val="single" w:sz="8" w:color="auto"/>
            </w:tcBorders>
          </w:tcPr>
          <w:p>
            <w:pPr>
              <w:jc w:val="right"/>
              <w:ind w:right="536"/>
              <w:spacing w:after="0" w:line="155" w:lineRule="exact"/>
              <w:rPr>
                <w:sz w:val="20"/>
                <w:szCs w:val="20"/>
                <w:color w:val="auto"/>
              </w:rPr>
            </w:pPr>
            <w:r>
              <w:rPr>
                <w:rFonts w:ascii="Arial" w:cs="Arial" w:eastAsia="Arial" w:hAnsi="Arial"/>
                <w:sz w:val="14"/>
                <w:szCs w:val="14"/>
                <w:b w:val="1"/>
                <w:bCs w:val="1"/>
                <w:color w:val="231F20"/>
              </w:rPr>
              <w:t>2023</w:t>
            </w:r>
          </w:p>
        </w:tc>
        <w:tc>
          <w:tcPr>
            <w:tcW w:w="980" w:type="dxa"/>
            <w:vAlign w:val="bottom"/>
            <w:tcBorders>
              <w:bottom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231F20"/>
              </w:rPr>
              <w:t>2022</w:t>
            </w:r>
          </w:p>
        </w:tc>
      </w:tr>
      <w:tr>
        <w:trPr>
          <w:trHeight w:val="196"/>
        </w:trPr>
        <w:tc>
          <w:tcPr>
            <w:tcW w:w="64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Risk-free interest rate</w:t>
            </w:r>
          </w:p>
        </w:tc>
        <w:tc>
          <w:tcPr>
            <w:tcW w:w="1440" w:type="dxa"/>
            <w:vAlign w:val="bottom"/>
            <w:shd w:val="clear" w:color="auto" w:fill="CCEEFF"/>
          </w:tcPr>
          <w:p>
            <w:pPr>
              <w:jc w:val="right"/>
              <w:ind w:right="96"/>
              <w:spacing w:after="0" w:line="196" w:lineRule="exact"/>
              <w:rPr>
                <w:sz w:val="20"/>
                <w:szCs w:val="20"/>
                <w:color w:val="auto"/>
              </w:rPr>
            </w:pPr>
            <w:r>
              <w:rPr>
                <w:rFonts w:ascii="Arial" w:cs="Arial" w:eastAsia="Arial" w:hAnsi="Arial"/>
                <w:sz w:val="18"/>
                <w:szCs w:val="18"/>
                <w:color w:val="231F20"/>
              </w:rPr>
              <w:t>3.48%</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1.69%</w:t>
            </w:r>
          </w:p>
        </w:tc>
      </w:tr>
      <w:tr>
        <w:trPr>
          <w:trHeight w:val="203"/>
        </w:trPr>
        <w:tc>
          <w:tcPr>
            <w:tcW w:w="6480" w:type="dxa"/>
            <w:vAlign w:val="bottom"/>
          </w:tcPr>
          <w:p>
            <w:pPr>
              <w:ind w:left="20"/>
              <w:spacing w:after="0" w:line="202" w:lineRule="exact"/>
              <w:rPr>
                <w:sz w:val="20"/>
                <w:szCs w:val="20"/>
                <w:color w:val="auto"/>
              </w:rPr>
            </w:pPr>
            <w:r>
              <w:rPr>
                <w:rFonts w:ascii="Arial" w:cs="Arial" w:eastAsia="Arial" w:hAnsi="Arial"/>
                <w:sz w:val="18"/>
                <w:szCs w:val="18"/>
                <w:color w:val="231F20"/>
              </w:rPr>
              <w:t>Expected term (in years)</w:t>
            </w:r>
          </w:p>
        </w:tc>
        <w:tc>
          <w:tcPr>
            <w:tcW w:w="1440" w:type="dxa"/>
            <w:vAlign w:val="bottom"/>
          </w:tcPr>
          <w:p>
            <w:pPr>
              <w:jc w:val="right"/>
              <w:ind w:right="96"/>
              <w:spacing w:after="0" w:line="202" w:lineRule="exact"/>
              <w:rPr>
                <w:sz w:val="20"/>
                <w:szCs w:val="20"/>
                <w:color w:val="auto"/>
              </w:rPr>
            </w:pPr>
            <w:r>
              <w:rPr>
                <w:rFonts w:ascii="Arial" w:cs="Arial" w:eastAsia="Arial" w:hAnsi="Arial"/>
                <w:sz w:val="18"/>
                <w:szCs w:val="18"/>
                <w:color w:val="231F20"/>
              </w:rPr>
              <w:t>6.08</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231F20"/>
              </w:rPr>
              <w:t>6.06</w:t>
            </w:r>
          </w:p>
        </w:tc>
      </w:tr>
      <w:tr>
        <w:trPr>
          <w:trHeight w:val="203"/>
        </w:trPr>
        <w:tc>
          <w:tcPr>
            <w:tcW w:w="64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Expected volatility</w:t>
            </w:r>
          </w:p>
        </w:tc>
        <w:tc>
          <w:tcPr>
            <w:tcW w:w="144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231F20"/>
              </w:rPr>
              <w:t>87.22%</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79.17%</w:t>
            </w:r>
          </w:p>
        </w:tc>
      </w:tr>
      <w:tr>
        <w:trPr>
          <w:trHeight w:val="203"/>
        </w:trPr>
        <w:tc>
          <w:tcPr>
            <w:tcW w:w="648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231F20"/>
              </w:rPr>
              <w:t>Expected dividend yield</w:t>
            </w:r>
          </w:p>
        </w:tc>
        <w:tc>
          <w:tcPr>
            <w:tcW w:w="1440" w:type="dxa"/>
            <w:vAlign w:val="bottom"/>
            <w:tcBorders>
              <w:bottom w:val="single" w:sz="8" w:color="auto"/>
            </w:tcBorders>
          </w:tcPr>
          <w:p>
            <w:pPr>
              <w:jc w:val="right"/>
              <w:ind w:right="96"/>
              <w:spacing w:after="0" w:line="202" w:lineRule="exact"/>
              <w:rPr>
                <w:sz w:val="20"/>
                <w:szCs w:val="20"/>
                <w:color w:val="auto"/>
              </w:rPr>
            </w:pPr>
            <w:r>
              <w:rPr>
                <w:rFonts w:ascii="Arial" w:cs="Arial" w:eastAsia="Arial" w:hAnsi="Arial"/>
                <w:sz w:val="18"/>
                <w:szCs w:val="18"/>
                <w:color w:val="231F20"/>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
        </w:trPr>
        <w:tc>
          <w:tcPr>
            <w:tcW w:w="64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 Activity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stock option activity under the 2014 Plan, the 2020 Plan and the 2022</w:t>
      </w:r>
    </w:p>
    <w:p>
      <w:pPr>
        <w:ind w:left="60"/>
        <w:spacing w:after="0"/>
        <w:rPr>
          <w:sz w:val="20"/>
          <w:szCs w:val="20"/>
          <w:color w:val="auto"/>
        </w:rPr>
      </w:pPr>
      <w:r>
        <w:rPr>
          <w:rFonts w:ascii="Arial" w:cs="Arial" w:eastAsia="Arial" w:hAnsi="Arial"/>
          <w:sz w:val="18"/>
          <w:szCs w:val="18"/>
          <w:color w:val="auto"/>
        </w:rPr>
        <w:t>Inducement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143510</wp:posOffset>
            </wp:positionV>
            <wp:extent cx="564896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47"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Weighted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Average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740" w:type="dxa"/>
            <w:vAlign w:val="bottom"/>
          </w:tcPr>
          <w:p>
            <w:pPr>
              <w:spacing w:after="0"/>
              <w:rPr>
                <w:sz w:val="17"/>
                <w:szCs w:val="17"/>
                <w:color w:val="auto"/>
              </w:rPr>
            </w:pPr>
          </w:p>
        </w:tc>
        <w:tc>
          <w:tcPr>
            <w:tcW w:w="1040" w:type="dxa"/>
            <w:vAlign w:val="bottom"/>
          </w:tcPr>
          <w:p>
            <w:pPr>
              <w:jc w:val="right"/>
              <w:ind w:right="134"/>
              <w:spacing w:after="0"/>
              <w:rPr>
                <w:sz w:val="20"/>
                <w:szCs w:val="20"/>
                <w:color w:val="auto"/>
              </w:rPr>
            </w:pPr>
            <w:r>
              <w:rPr>
                <w:rFonts w:ascii="Arial" w:cs="Arial" w:eastAsia="Arial" w:hAnsi="Arial"/>
                <w:sz w:val="14"/>
                <w:szCs w:val="14"/>
                <w:b w:val="1"/>
                <w:bCs w:val="1"/>
                <w:color w:val="auto"/>
              </w:rPr>
              <w:t>Number of</w:t>
            </w:r>
          </w:p>
        </w:tc>
        <w:tc>
          <w:tcPr>
            <w:tcW w:w="86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Exercise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80" w:type="dxa"/>
            <w:vAlign w:val="bottom"/>
          </w:tcPr>
          <w:p>
            <w:pPr>
              <w:spacing w:after="0"/>
              <w:rPr>
                <w:sz w:val="17"/>
                <w:szCs w:val="17"/>
                <w:color w:val="auto"/>
              </w:rPr>
            </w:pPr>
          </w:p>
        </w:tc>
        <w:tc>
          <w:tcPr>
            <w:tcW w:w="980" w:type="dxa"/>
            <w:vAlign w:val="bottom"/>
          </w:tcPr>
          <w:p>
            <w:pPr>
              <w:jc w:val="right"/>
              <w:ind w:right="132"/>
              <w:spacing w:after="0"/>
              <w:rPr>
                <w:sz w:val="20"/>
                <w:szCs w:val="20"/>
                <w:color w:val="auto"/>
              </w:rPr>
            </w:pPr>
            <w:r>
              <w:rPr>
                <w:rFonts w:ascii="Arial" w:cs="Arial" w:eastAsia="Arial" w:hAnsi="Arial"/>
                <w:sz w:val="14"/>
                <w:szCs w:val="14"/>
                <w:b w:val="1"/>
                <w:bCs w:val="1"/>
                <w:color w:val="auto"/>
              </w:rPr>
              <w:t>Aggregate</w:t>
            </w:r>
          </w:p>
        </w:tc>
      </w:tr>
      <w:tr>
        <w:trPr>
          <w:trHeight w:val="188"/>
        </w:trPr>
        <w:tc>
          <w:tcPr>
            <w:tcW w:w="4740" w:type="dxa"/>
            <w:vAlign w:val="bottom"/>
          </w:tcPr>
          <w:p>
            <w:pPr>
              <w:spacing w:after="0"/>
              <w:rPr>
                <w:sz w:val="16"/>
                <w:szCs w:val="16"/>
                <w:color w:val="auto"/>
              </w:rPr>
            </w:pPr>
          </w:p>
        </w:tc>
        <w:tc>
          <w:tcPr>
            <w:tcW w:w="10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Price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Term</w:t>
            </w: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Intrinsic Value</w:t>
            </w:r>
          </w:p>
        </w:tc>
      </w:tr>
      <w:tr>
        <w:trPr>
          <w:trHeight w:val="196"/>
        </w:trPr>
        <w:tc>
          <w:tcPr>
            <w:tcW w:w="4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jc w:val="center"/>
              <w:spacing w:after="0" w:line="196" w:lineRule="exact"/>
              <w:rPr>
                <w:sz w:val="20"/>
                <w:szCs w:val="20"/>
                <w:color w:val="auto"/>
              </w:rPr>
            </w:pPr>
            <w:r>
              <w:rPr>
                <w:rFonts w:ascii="Arial" w:cs="Arial" w:eastAsia="Arial" w:hAnsi="Arial"/>
                <w:sz w:val="18"/>
                <w:szCs w:val="18"/>
                <w:color w:val="auto"/>
              </w:rPr>
              <w:t>(in years)</w:t>
            </w:r>
          </w:p>
        </w:tc>
        <w:tc>
          <w:tcPr>
            <w:tcW w:w="1260" w:type="dxa"/>
            <w:vAlign w:val="bottom"/>
            <w:gridSpan w:val="2"/>
          </w:tcPr>
          <w:p>
            <w:pPr>
              <w:ind w:left="120"/>
              <w:spacing w:after="0" w:line="196" w:lineRule="exact"/>
              <w:rPr>
                <w:sz w:val="20"/>
                <w:szCs w:val="20"/>
                <w:color w:val="auto"/>
              </w:rPr>
            </w:pPr>
            <w:r>
              <w:rPr>
                <w:rFonts w:ascii="Arial" w:cs="Arial" w:eastAsia="Arial" w:hAnsi="Arial"/>
                <w:sz w:val="18"/>
                <w:szCs w:val="18"/>
                <w:color w:val="auto"/>
                <w:w w:val="98"/>
              </w:rPr>
              <w:t>(in thousands)</w:t>
            </w: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Outstanding as of December 31, 2022</w:t>
            </w:r>
          </w:p>
        </w:tc>
        <w:tc>
          <w:tcPr>
            <w:tcW w:w="10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8,384,858</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8.59</w:t>
            </w:r>
          </w:p>
        </w:tc>
        <w:tc>
          <w:tcPr>
            <w:tcW w:w="10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8.30</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262</w:t>
            </w:r>
          </w:p>
        </w:tc>
      </w:tr>
      <w:tr>
        <w:trPr>
          <w:trHeight w:val="203"/>
        </w:trPr>
        <w:tc>
          <w:tcPr>
            <w:tcW w:w="4740" w:type="dxa"/>
            <w:vAlign w:val="bottom"/>
          </w:tcPr>
          <w:p>
            <w:pPr>
              <w:ind w:left="120"/>
              <w:spacing w:after="0" w:line="202" w:lineRule="exact"/>
              <w:rPr>
                <w:sz w:val="20"/>
                <w:szCs w:val="20"/>
                <w:color w:val="auto"/>
              </w:rPr>
            </w:pPr>
            <w:r>
              <w:rPr>
                <w:rFonts w:ascii="Arial" w:cs="Arial" w:eastAsia="Arial" w:hAnsi="Arial"/>
                <w:sz w:val="18"/>
                <w:szCs w:val="18"/>
                <w:color w:val="auto"/>
              </w:rPr>
              <w:t>Granted</w:t>
            </w:r>
          </w:p>
        </w:tc>
        <w:tc>
          <w:tcPr>
            <w:tcW w:w="1040" w:type="dxa"/>
            <w:vAlign w:val="bottom"/>
          </w:tcPr>
          <w:p>
            <w:pPr>
              <w:jc w:val="right"/>
              <w:ind w:right="74"/>
              <w:spacing w:after="0" w:line="202" w:lineRule="exact"/>
              <w:rPr>
                <w:sz w:val="20"/>
                <w:szCs w:val="20"/>
                <w:color w:val="auto"/>
              </w:rPr>
            </w:pPr>
            <w:r>
              <w:rPr>
                <w:rFonts w:ascii="Arial" w:cs="Arial" w:eastAsia="Arial" w:hAnsi="Arial"/>
                <w:sz w:val="18"/>
                <w:szCs w:val="18"/>
                <w:color w:val="auto"/>
              </w:rPr>
              <w:t>1,989,728</w:t>
            </w:r>
          </w:p>
        </w:tc>
        <w:tc>
          <w:tcPr>
            <w:tcW w:w="220" w:type="dxa"/>
            <w:vAlign w:val="bottom"/>
          </w:tcPr>
          <w:p>
            <w:pPr>
              <w:spacing w:after="0"/>
              <w:rPr>
                <w:sz w:val="17"/>
                <w:szCs w:val="17"/>
                <w:color w:val="auto"/>
              </w:rPr>
            </w:pPr>
          </w:p>
        </w:tc>
        <w:tc>
          <w:tcPr>
            <w:tcW w:w="640" w:type="dxa"/>
            <w:vAlign w:val="bottom"/>
          </w:tcPr>
          <w:p>
            <w:pPr>
              <w:jc w:val="right"/>
              <w:ind w:right="72"/>
              <w:spacing w:after="0" w:line="202" w:lineRule="exact"/>
              <w:rPr>
                <w:sz w:val="20"/>
                <w:szCs w:val="20"/>
                <w:color w:val="auto"/>
              </w:rPr>
            </w:pPr>
            <w:r>
              <w:rPr>
                <w:rFonts w:ascii="Arial" w:cs="Arial" w:eastAsia="Arial" w:hAnsi="Arial"/>
                <w:sz w:val="18"/>
                <w:szCs w:val="18"/>
                <w:color w:val="auto"/>
              </w:rPr>
              <w:t>4.79</w:t>
            </w:r>
          </w:p>
        </w:tc>
        <w:tc>
          <w:tcPr>
            <w:tcW w:w="1000" w:type="dxa"/>
            <w:vAlign w:val="bottom"/>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Exercised(1)</w:t>
            </w:r>
          </w:p>
        </w:tc>
        <w:tc>
          <w:tcPr>
            <w:tcW w:w="1040" w:type="dxa"/>
            <w:vAlign w:val="bottom"/>
            <w:shd w:val="clear" w:color="auto" w:fill="CCEEFF"/>
          </w:tcPr>
          <w:p>
            <w:pPr>
              <w:jc w:val="right"/>
              <w:ind w:right="34"/>
              <w:spacing w:after="0" w:line="202" w:lineRule="exact"/>
              <w:rPr>
                <w:sz w:val="20"/>
                <w:szCs w:val="20"/>
                <w:color w:val="auto"/>
              </w:rPr>
            </w:pPr>
            <w:r>
              <w:rPr>
                <w:rFonts w:ascii="Arial" w:cs="Arial" w:eastAsia="Arial" w:hAnsi="Arial"/>
                <w:sz w:val="18"/>
                <w:szCs w:val="18"/>
                <w:color w:val="auto"/>
              </w:rPr>
              <w:t>(101,905)</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2.47</w:t>
            </w:r>
          </w:p>
        </w:tc>
        <w:tc>
          <w:tcPr>
            <w:tcW w:w="10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474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Forfeited</w:t>
            </w:r>
          </w:p>
        </w:tc>
        <w:tc>
          <w:tcPr>
            <w:tcW w:w="1040" w:type="dxa"/>
            <w:vAlign w:val="bottom"/>
            <w:tcBorders>
              <w:bottom w:val="single" w:sz="8" w:color="auto"/>
            </w:tcBorders>
          </w:tcPr>
          <w:p>
            <w:pPr>
              <w:jc w:val="right"/>
              <w:ind w:right="34"/>
              <w:spacing w:after="0" w:line="202" w:lineRule="exact"/>
              <w:rPr>
                <w:sz w:val="20"/>
                <w:szCs w:val="20"/>
                <w:color w:val="auto"/>
              </w:rPr>
            </w:pPr>
            <w:r>
              <w:rPr>
                <w:rFonts w:ascii="Arial" w:cs="Arial" w:eastAsia="Arial" w:hAnsi="Arial"/>
                <w:sz w:val="18"/>
                <w:szCs w:val="18"/>
                <w:color w:val="auto"/>
              </w:rPr>
              <w:t>(436,837)</w:t>
            </w:r>
          </w:p>
        </w:tc>
        <w:tc>
          <w:tcPr>
            <w:tcW w:w="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3.71</w:t>
            </w:r>
          </w:p>
        </w:tc>
        <w:tc>
          <w:tcPr>
            <w:tcW w:w="100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4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Outstanding as of March 31, 2023(2)</w:t>
            </w:r>
          </w:p>
        </w:tc>
        <w:tc>
          <w:tcPr>
            <w:tcW w:w="1040" w:type="dxa"/>
            <w:vAlign w:val="bottom"/>
            <w:tcBorders>
              <w:bottom w:val="single" w:sz="8" w:color="auto"/>
            </w:tcBorders>
            <w:shd w:val="clear" w:color="auto" w:fill="CCEEFF"/>
          </w:tcPr>
          <w:p>
            <w:pPr>
              <w:jc w:val="right"/>
              <w:ind w:right="74"/>
              <w:spacing w:after="0" w:line="196" w:lineRule="exact"/>
              <w:rPr>
                <w:sz w:val="20"/>
                <w:szCs w:val="20"/>
                <w:color w:val="auto"/>
              </w:rPr>
            </w:pPr>
            <w:r>
              <w:rPr>
                <w:rFonts w:ascii="Arial" w:cs="Arial" w:eastAsia="Arial" w:hAnsi="Arial"/>
                <w:sz w:val="18"/>
                <w:szCs w:val="18"/>
                <w:color w:val="auto"/>
              </w:rPr>
              <w:t>9,835,844</w:t>
            </w:r>
          </w:p>
        </w:tc>
        <w:tc>
          <w:tcPr>
            <w:tcW w:w="220" w:type="dxa"/>
            <w:vAlign w:val="bottom"/>
            <w:tcBorders>
              <w:bottom w:val="single" w:sz="8" w:color="auto"/>
            </w:tcBorders>
            <w:shd w:val="clear" w:color="auto" w:fill="CCEEFF"/>
          </w:tcPr>
          <w:p>
            <w:pPr>
              <w:ind w:left="100"/>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72"/>
              <w:spacing w:after="0" w:line="196" w:lineRule="exact"/>
              <w:rPr>
                <w:sz w:val="20"/>
                <w:szCs w:val="20"/>
                <w:color w:val="auto"/>
              </w:rPr>
            </w:pPr>
            <w:r>
              <w:rPr>
                <w:rFonts w:ascii="Arial" w:cs="Arial" w:eastAsia="Arial" w:hAnsi="Arial"/>
                <w:sz w:val="18"/>
                <w:szCs w:val="18"/>
                <w:color w:val="auto"/>
              </w:rPr>
              <w:t>8.10</w:t>
            </w:r>
          </w:p>
        </w:tc>
        <w:tc>
          <w:tcPr>
            <w:tcW w:w="1000" w:type="dxa"/>
            <w:vAlign w:val="bottom"/>
            <w:tcBorders>
              <w:bottom w:val="single" w:sz="8" w:color="auto"/>
            </w:tcBorders>
            <w:shd w:val="clear" w:color="auto" w:fill="CCEEFF"/>
          </w:tcPr>
          <w:p>
            <w:pPr>
              <w:jc w:val="right"/>
              <w:ind w:right="77"/>
              <w:spacing w:after="0" w:line="196" w:lineRule="exact"/>
              <w:rPr>
                <w:sz w:val="20"/>
                <w:szCs w:val="20"/>
                <w:color w:val="auto"/>
              </w:rPr>
            </w:pPr>
            <w:r>
              <w:rPr>
                <w:rFonts w:ascii="Arial" w:cs="Arial" w:eastAsia="Arial" w:hAnsi="Arial"/>
                <w:sz w:val="18"/>
                <w:szCs w:val="18"/>
                <w:color w:val="auto"/>
              </w:rPr>
              <w:t>8.27</w:t>
            </w:r>
          </w:p>
        </w:tc>
        <w:tc>
          <w:tcPr>
            <w:tcW w:w="280" w:type="dxa"/>
            <w:vAlign w:val="bottom"/>
            <w:tcBorders>
              <w:bottom w:val="single" w:sz="8" w:color="auto"/>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2,029</w:t>
            </w:r>
          </w:p>
        </w:tc>
      </w:tr>
      <w:tr>
        <w:trPr>
          <w:trHeight w:val="20"/>
        </w:trPr>
        <w:tc>
          <w:tcPr>
            <w:tcW w:w="4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83"/>
        </w:trPr>
        <w:tc>
          <w:tcPr>
            <w:tcW w:w="47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03"/>
        </w:trPr>
        <w:tc>
          <w:tcPr>
            <w:tcW w:w="4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vested and exercisable as of March 31, 2023</w:t>
            </w:r>
          </w:p>
        </w:tc>
        <w:tc>
          <w:tcPr>
            <w:tcW w:w="1040" w:type="dxa"/>
            <w:vAlign w:val="bottom"/>
            <w:shd w:val="clear" w:color="auto" w:fill="CCEEFF"/>
          </w:tcPr>
          <w:p>
            <w:pPr>
              <w:jc w:val="right"/>
              <w:ind w:right="74"/>
              <w:spacing w:after="0" w:line="202" w:lineRule="exact"/>
              <w:rPr>
                <w:sz w:val="20"/>
                <w:szCs w:val="20"/>
                <w:color w:val="auto"/>
              </w:rPr>
            </w:pPr>
            <w:r>
              <w:rPr>
                <w:rFonts w:ascii="Arial" w:cs="Arial" w:eastAsia="Arial" w:hAnsi="Arial"/>
                <w:sz w:val="18"/>
                <w:szCs w:val="18"/>
                <w:color w:val="auto"/>
              </w:rPr>
              <w:t>4,105,812</w:t>
            </w:r>
          </w:p>
        </w:tc>
        <w:tc>
          <w:tcPr>
            <w:tcW w:w="2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ind w:right="72"/>
              <w:spacing w:after="0" w:line="202" w:lineRule="exact"/>
              <w:rPr>
                <w:sz w:val="20"/>
                <w:szCs w:val="20"/>
                <w:color w:val="auto"/>
              </w:rPr>
            </w:pPr>
            <w:r>
              <w:rPr>
                <w:rFonts w:ascii="Arial" w:cs="Arial" w:eastAsia="Arial" w:hAnsi="Arial"/>
                <w:sz w:val="18"/>
                <w:szCs w:val="18"/>
                <w:color w:val="auto"/>
              </w:rPr>
              <w:t>9.70</w:t>
            </w:r>
          </w:p>
        </w:tc>
        <w:tc>
          <w:tcPr>
            <w:tcW w:w="1000" w:type="dxa"/>
            <w:vAlign w:val="bottom"/>
            <w:shd w:val="clear" w:color="auto" w:fill="CCEEFF"/>
          </w:tcPr>
          <w:p>
            <w:pPr>
              <w:jc w:val="right"/>
              <w:ind w:right="77"/>
              <w:spacing w:after="0" w:line="202" w:lineRule="exact"/>
              <w:rPr>
                <w:sz w:val="20"/>
                <w:szCs w:val="20"/>
                <w:color w:val="auto"/>
              </w:rPr>
            </w:pPr>
            <w:r>
              <w:rPr>
                <w:rFonts w:ascii="Arial" w:cs="Arial" w:eastAsia="Arial" w:hAnsi="Arial"/>
                <w:sz w:val="18"/>
                <w:szCs w:val="18"/>
                <w:color w:val="auto"/>
              </w:rPr>
              <w:t>7.46</w:t>
            </w:r>
          </w:p>
        </w:tc>
        <w:tc>
          <w:tcPr>
            <w:tcW w:w="2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1,117</w:t>
            </w:r>
          </w:p>
        </w:tc>
      </w:tr>
      <w:tr>
        <w:trPr>
          <w:trHeight w:val="203"/>
        </w:trPr>
        <w:tc>
          <w:tcPr>
            <w:tcW w:w="4740" w:type="dxa"/>
            <w:vAlign w:val="bottom"/>
            <w:tcBorders>
              <w:bottom w:val="single" w:sz="8" w:color="auto"/>
            </w:tcBorders>
          </w:tcPr>
          <w:p>
            <w:pPr>
              <w:ind w:left="20"/>
              <w:spacing w:after="0" w:line="202" w:lineRule="exact"/>
              <w:rPr>
                <w:sz w:val="20"/>
                <w:szCs w:val="20"/>
                <w:color w:val="auto"/>
              </w:rPr>
            </w:pPr>
            <w:r>
              <w:rPr>
                <w:rFonts w:ascii="Arial" w:cs="Arial" w:eastAsia="Arial" w:hAnsi="Arial"/>
                <w:sz w:val="18"/>
                <w:szCs w:val="18"/>
                <w:color w:val="auto"/>
              </w:rPr>
              <w:t>Options expected to vest as of March 31, 2023</w:t>
            </w:r>
          </w:p>
        </w:tc>
        <w:tc>
          <w:tcPr>
            <w:tcW w:w="1040" w:type="dxa"/>
            <w:vAlign w:val="bottom"/>
            <w:tcBorders>
              <w:bottom w:val="single" w:sz="8" w:color="auto"/>
            </w:tcBorders>
          </w:tcPr>
          <w:p>
            <w:pPr>
              <w:jc w:val="right"/>
              <w:ind w:right="74"/>
              <w:spacing w:after="0" w:line="202" w:lineRule="exact"/>
              <w:rPr>
                <w:sz w:val="20"/>
                <w:szCs w:val="20"/>
                <w:color w:val="auto"/>
              </w:rPr>
            </w:pPr>
            <w:r>
              <w:rPr>
                <w:rFonts w:ascii="Arial" w:cs="Arial" w:eastAsia="Arial" w:hAnsi="Arial"/>
                <w:sz w:val="18"/>
                <w:szCs w:val="18"/>
                <w:color w:val="auto"/>
              </w:rPr>
              <w:t>5,730,032</w:t>
            </w:r>
          </w:p>
        </w:tc>
        <w:tc>
          <w:tcPr>
            <w:tcW w:w="220" w:type="dxa"/>
            <w:vAlign w:val="bottom"/>
            <w:tcBorders>
              <w:bottom w:val="single" w:sz="8" w:color="auto"/>
            </w:tcBorders>
          </w:tcPr>
          <w:p>
            <w:pPr>
              <w:ind w:left="100"/>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ind w:right="72"/>
              <w:spacing w:after="0" w:line="202" w:lineRule="exact"/>
              <w:rPr>
                <w:sz w:val="20"/>
                <w:szCs w:val="20"/>
                <w:color w:val="auto"/>
              </w:rPr>
            </w:pPr>
            <w:r>
              <w:rPr>
                <w:rFonts w:ascii="Arial" w:cs="Arial" w:eastAsia="Arial" w:hAnsi="Arial"/>
                <w:sz w:val="18"/>
                <w:szCs w:val="18"/>
                <w:color w:val="auto"/>
              </w:rPr>
              <w:t>6.96</w:t>
            </w:r>
          </w:p>
        </w:tc>
        <w:tc>
          <w:tcPr>
            <w:tcW w:w="1000" w:type="dxa"/>
            <w:vAlign w:val="bottom"/>
            <w:tcBorders>
              <w:bottom w:val="single" w:sz="8" w:color="auto"/>
            </w:tcBorders>
          </w:tcPr>
          <w:p>
            <w:pPr>
              <w:jc w:val="right"/>
              <w:ind w:right="77"/>
              <w:spacing w:after="0" w:line="202" w:lineRule="exact"/>
              <w:rPr>
                <w:sz w:val="20"/>
                <w:szCs w:val="20"/>
                <w:color w:val="auto"/>
              </w:rPr>
            </w:pPr>
            <w:r>
              <w:rPr>
                <w:rFonts w:ascii="Arial" w:cs="Arial" w:eastAsia="Arial" w:hAnsi="Arial"/>
                <w:sz w:val="18"/>
                <w:szCs w:val="18"/>
                <w:color w:val="auto"/>
              </w:rPr>
              <w:t>8.86</w:t>
            </w:r>
          </w:p>
        </w:tc>
        <w:tc>
          <w:tcPr>
            <w:tcW w:w="280" w:type="dxa"/>
            <w:vAlign w:val="bottom"/>
            <w:tcBorders>
              <w:bottom w:val="single" w:sz="8" w:color="auto"/>
            </w:tcBorders>
          </w:tcPr>
          <w:p>
            <w:pPr>
              <w:ind w:left="140"/>
              <w:spacing w:after="0" w:line="202" w:lineRule="exact"/>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912</w:t>
            </w:r>
          </w:p>
        </w:tc>
      </w:tr>
      <w:tr>
        <w:trPr>
          <w:trHeight w:val="20"/>
        </w:trPr>
        <w:tc>
          <w:tcPr>
            <w:tcW w:w="47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80" w:hanging="330"/>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Exercised amount includes vesting of early exercised options.</w:t>
      </w:r>
    </w:p>
    <w:p>
      <w:pPr>
        <w:spacing w:after="0" w:line="217" w:lineRule="exact"/>
        <w:rPr>
          <w:rFonts w:ascii="Arial" w:cs="Arial" w:eastAsia="Arial" w:hAnsi="Arial"/>
          <w:sz w:val="14"/>
          <w:szCs w:val="14"/>
          <w:color w:val="231F20"/>
        </w:rPr>
      </w:pPr>
    </w:p>
    <w:p>
      <w:pPr>
        <w:ind w:left="380" w:hanging="330"/>
        <w:spacing w:after="0"/>
        <w:tabs>
          <w:tab w:leader="none" w:pos="380" w:val="left"/>
        </w:tabs>
        <w:numPr>
          <w:ilvl w:val="0"/>
          <w:numId w:val="9"/>
        </w:numPr>
        <w:rPr>
          <w:rFonts w:ascii="Arial" w:cs="Arial" w:eastAsia="Arial" w:hAnsi="Arial"/>
          <w:sz w:val="14"/>
          <w:szCs w:val="14"/>
          <w:color w:val="231F20"/>
        </w:rPr>
      </w:pPr>
      <w:r>
        <w:rPr>
          <w:rFonts w:ascii="Arial" w:cs="Arial" w:eastAsia="Arial" w:hAnsi="Arial"/>
          <w:sz w:val="14"/>
          <w:szCs w:val="14"/>
          <w:color w:val="231F20"/>
        </w:rPr>
        <w:t>Balance as of March 31, 2023 includes 11,650 unvested early exercised stock options.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Early Exercise of Stock Options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terms of the 2014 Plan permit certain option holders to exercise options before their options are vested, subject to certain limitations. The early exercised options are subject to the same vesting provisions in the original stock option awards. Shares issued as a result of early exercise that have not vested are subject to repurchase by the Company upon termination of the purchaser’s employment, at the price paid by the purchaser. Such shares are not deemed to be outstanding for accounting purposes until they vest and are therefore excluded from shares outstanding and from basic and diluted net loss per share until the repurchase right lapses and the shares are no longer subject to the repurchase feature. A liability is recognized related to the cash proceeds of the unvested options and is reclassified into common stock and additional paid-in capital as the shares vest and the repurchase right lapses. Accordingly, the Company has recorded the unvested portion of the exercise proceeds of $0.1 million in other current liabilities as of March 31, 2023.</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restricted stock activity under the 2014 Plan during the three months ended</w:t>
      </w:r>
    </w:p>
    <w:p>
      <w:pPr>
        <w:ind w:left="60"/>
        <w:spacing w:after="0"/>
        <w:rPr>
          <w:sz w:val="20"/>
          <w:szCs w:val="20"/>
          <w:color w:val="auto"/>
        </w:rPr>
      </w:pPr>
      <w:r>
        <w:rPr>
          <w:rFonts w:ascii="Arial" w:cs="Arial" w:eastAsia="Arial" w:hAnsi="Arial"/>
          <w:sz w:val="18"/>
          <w:szCs w:val="18"/>
          <w:color w:val="auto"/>
        </w:rPr>
        <w:t>March 31, 2023:</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940" w:type="dxa"/>
            <w:vAlign w:val="bottom"/>
            <w:tcBorders>
              <w:top w:val="single" w:sz="8" w:color="auto"/>
              <w:bottom w:val="single" w:sz="8" w:color="CCEEFF"/>
            </w:tcBorders>
          </w:tcPr>
          <w:p>
            <w:pPr>
              <w:spacing w:after="0"/>
              <w:rPr>
                <w:sz w:val="15"/>
                <w:szCs w:val="15"/>
                <w:color w:val="auto"/>
              </w:rPr>
            </w:pPr>
          </w:p>
        </w:tc>
        <w:tc>
          <w:tcPr>
            <w:tcW w:w="13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231F20"/>
              </w:rPr>
              <w:t>Number of Shares</w:t>
            </w:r>
          </w:p>
        </w:tc>
        <w:tc>
          <w:tcPr>
            <w:tcW w:w="1600" w:type="dxa"/>
            <w:vAlign w:val="bottom"/>
            <w:tcBorders>
              <w:top w:val="single" w:sz="8" w:color="auto"/>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231F20"/>
              </w:rPr>
              <w:t>Grant Date Fair Value</w:t>
            </w:r>
          </w:p>
        </w:tc>
      </w:tr>
      <w:tr>
        <w:trPr>
          <w:trHeight w:val="196"/>
        </w:trPr>
        <w:tc>
          <w:tcPr>
            <w:tcW w:w="594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stock as of December 31, 2022</w:t>
            </w:r>
          </w:p>
        </w:tc>
        <w:tc>
          <w:tcPr>
            <w:tcW w:w="1360" w:type="dxa"/>
            <w:vAlign w:val="bottom"/>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295,911</w:t>
            </w:r>
          </w:p>
        </w:tc>
        <w:tc>
          <w:tcPr>
            <w:tcW w:w="22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3"/>
        </w:trPr>
        <w:tc>
          <w:tcPr>
            <w:tcW w:w="5940" w:type="dxa"/>
            <w:vAlign w:val="bottom"/>
          </w:tcPr>
          <w:p>
            <w:pPr>
              <w:ind w:left="100"/>
              <w:spacing w:after="0" w:line="202" w:lineRule="exact"/>
              <w:rPr>
                <w:sz w:val="20"/>
                <w:szCs w:val="20"/>
                <w:color w:val="auto"/>
              </w:rPr>
            </w:pPr>
            <w:r>
              <w:rPr>
                <w:rFonts w:ascii="Arial" w:cs="Arial" w:eastAsia="Arial" w:hAnsi="Arial"/>
                <w:sz w:val="18"/>
                <w:szCs w:val="18"/>
                <w:color w:val="231F20"/>
              </w:rPr>
              <w:t>Granted</w:t>
            </w:r>
          </w:p>
        </w:tc>
        <w:tc>
          <w:tcPr>
            <w:tcW w:w="1360" w:type="dxa"/>
            <w:vAlign w:val="bottom"/>
          </w:tcPr>
          <w:p>
            <w:pPr>
              <w:jc w:val="right"/>
              <w:ind w:right="73"/>
              <w:spacing w:after="0" w:line="202" w:lineRule="exact"/>
              <w:rPr>
                <w:sz w:val="20"/>
                <w:szCs w:val="20"/>
                <w:color w:val="auto"/>
              </w:rPr>
            </w:pPr>
            <w:r>
              <w:rPr>
                <w:rFonts w:ascii="Arial" w:cs="Arial" w:eastAsia="Arial" w:hAnsi="Arial"/>
                <w:sz w:val="18"/>
                <w:szCs w:val="18"/>
                <w:color w:val="231F20"/>
              </w:rPr>
              <w:t>—</w:t>
            </w:r>
          </w:p>
        </w:tc>
        <w:tc>
          <w:tcPr>
            <w:tcW w:w="2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594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231F20"/>
              </w:rPr>
              <w:t>Vested</w:t>
            </w:r>
          </w:p>
        </w:tc>
        <w:tc>
          <w:tcPr>
            <w:tcW w:w="1360" w:type="dxa"/>
            <w:vAlign w:val="bottom"/>
            <w:shd w:val="clear" w:color="auto" w:fill="CCEEFF"/>
          </w:tcPr>
          <w:p>
            <w:pPr>
              <w:jc w:val="right"/>
              <w:ind w:right="13"/>
              <w:spacing w:after="0" w:line="202" w:lineRule="exact"/>
              <w:rPr>
                <w:sz w:val="20"/>
                <w:szCs w:val="20"/>
                <w:color w:val="auto"/>
              </w:rPr>
            </w:pPr>
            <w:r>
              <w:rPr>
                <w:rFonts w:ascii="Arial" w:cs="Arial" w:eastAsia="Arial" w:hAnsi="Arial"/>
                <w:sz w:val="18"/>
                <w:szCs w:val="18"/>
                <w:color w:val="231F20"/>
              </w:rPr>
              <w:t>(49,318)</w:t>
            </w:r>
          </w:p>
        </w:tc>
        <w:tc>
          <w:tcPr>
            <w:tcW w:w="220" w:type="dxa"/>
            <w:vAlign w:val="bottom"/>
            <w:shd w:val="clear" w:color="auto" w:fill="CCEEFF"/>
          </w:tcPr>
          <w:p>
            <w:pPr>
              <w:spacing w:after="0"/>
              <w:rPr>
                <w:sz w:val="17"/>
                <w:szCs w:val="17"/>
                <w:color w:val="auto"/>
              </w:rPr>
            </w:pPr>
          </w:p>
        </w:tc>
        <w:tc>
          <w:tcPr>
            <w:tcW w:w="13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2.40</w:t>
            </w:r>
          </w:p>
        </w:tc>
      </w:tr>
      <w:tr>
        <w:trPr>
          <w:trHeight w:val="203"/>
        </w:trPr>
        <w:tc>
          <w:tcPr>
            <w:tcW w:w="5940" w:type="dxa"/>
            <w:vAlign w:val="bottom"/>
            <w:tcBorders>
              <w:bottom w:val="single" w:sz="8" w:color="CCEEFF"/>
            </w:tcBorders>
          </w:tcPr>
          <w:p>
            <w:pPr>
              <w:ind w:left="100"/>
              <w:spacing w:after="0" w:line="202" w:lineRule="exact"/>
              <w:rPr>
                <w:sz w:val="20"/>
                <w:szCs w:val="20"/>
                <w:color w:val="auto"/>
              </w:rPr>
            </w:pPr>
            <w:r>
              <w:rPr>
                <w:rFonts w:ascii="Arial" w:cs="Arial" w:eastAsia="Arial" w:hAnsi="Arial"/>
                <w:sz w:val="18"/>
                <w:szCs w:val="18"/>
                <w:color w:val="231F20"/>
              </w:rPr>
              <w:t>Forfeited</w:t>
            </w:r>
          </w:p>
        </w:tc>
        <w:tc>
          <w:tcPr>
            <w:tcW w:w="1360" w:type="dxa"/>
            <w:vAlign w:val="bottom"/>
            <w:tcBorders>
              <w:bottom w:val="single" w:sz="8" w:color="231F20"/>
            </w:tcBorders>
          </w:tcPr>
          <w:p>
            <w:pPr>
              <w:jc w:val="right"/>
              <w:ind w:right="73"/>
              <w:spacing w:after="0" w:line="202" w:lineRule="exact"/>
              <w:rPr>
                <w:sz w:val="20"/>
                <w:szCs w:val="20"/>
                <w:color w:val="auto"/>
              </w:rPr>
            </w:pPr>
            <w:r>
              <w:rPr>
                <w:rFonts w:ascii="Arial" w:cs="Arial" w:eastAsia="Arial" w:hAnsi="Arial"/>
                <w:sz w:val="18"/>
                <w:szCs w:val="18"/>
                <w:color w:val="231F20"/>
              </w:rPr>
              <w:t>—</w:t>
            </w:r>
          </w:p>
        </w:tc>
        <w:tc>
          <w:tcPr>
            <w:tcW w:w="220" w:type="dxa"/>
            <w:vAlign w:val="bottom"/>
            <w:tcBorders>
              <w:bottom w:val="single" w:sz="8" w:color="231F20"/>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231F20"/>
              </w:rPr>
              <w:t>—</w:t>
            </w:r>
          </w:p>
        </w:tc>
      </w:tr>
      <w:tr>
        <w:trPr>
          <w:trHeight w:val="196"/>
        </w:trPr>
        <w:tc>
          <w:tcPr>
            <w:tcW w:w="59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Unvested restricted stock as of March 31, 2023</w:t>
            </w:r>
          </w:p>
        </w:tc>
        <w:tc>
          <w:tcPr>
            <w:tcW w:w="1360" w:type="dxa"/>
            <w:vAlign w:val="bottom"/>
            <w:tcBorders>
              <w:bottom w:val="single" w:sz="8" w:color="auto"/>
            </w:tcBorders>
            <w:shd w:val="clear" w:color="auto" w:fill="CCEEFF"/>
          </w:tcPr>
          <w:p>
            <w:pPr>
              <w:jc w:val="right"/>
              <w:ind w:right="73"/>
              <w:spacing w:after="0" w:line="196" w:lineRule="exact"/>
              <w:rPr>
                <w:sz w:val="20"/>
                <w:szCs w:val="20"/>
                <w:color w:val="auto"/>
              </w:rPr>
            </w:pPr>
            <w:r>
              <w:rPr>
                <w:rFonts w:ascii="Arial" w:cs="Arial" w:eastAsia="Arial" w:hAnsi="Arial"/>
                <w:sz w:val="18"/>
                <w:szCs w:val="18"/>
                <w:color w:val="231F20"/>
              </w:rPr>
              <w:t>246,593</w:t>
            </w:r>
          </w:p>
        </w:tc>
        <w:tc>
          <w:tcPr>
            <w:tcW w:w="220" w:type="dxa"/>
            <w:vAlign w:val="bottom"/>
            <w:tcBorders>
              <w:bottom w:val="single" w:sz="8" w:color="auto"/>
            </w:tcBorders>
            <w:shd w:val="clear" w:color="auto" w:fill="CCEEFF"/>
          </w:tcPr>
          <w:p>
            <w:pPr>
              <w:ind w:left="120"/>
              <w:spacing w:after="0" w:line="196" w:lineRule="exact"/>
              <w:rPr>
                <w:sz w:val="20"/>
                <w:szCs w:val="20"/>
                <w:color w:val="auto"/>
              </w:rPr>
            </w:pPr>
            <w:r>
              <w:rPr>
                <w:rFonts w:ascii="Arial" w:cs="Arial" w:eastAsia="Arial" w:hAnsi="Arial"/>
                <w:sz w:val="18"/>
                <w:szCs w:val="18"/>
                <w:color w:val="231F20"/>
                <w:w w:val="79"/>
              </w:rPr>
              <w:t>$</w:t>
            </w:r>
          </w:p>
        </w:tc>
        <w:tc>
          <w:tcPr>
            <w:tcW w:w="13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2.40</w:t>
            </w:r>
          </w:p>
        </w:tc>
      </w:tr>
      <w:tr>
        <w:trPr>
          <w:trHeight w:val="20"/>
        </w:trPr>
        <w:tc>
          <w:tcPr>
            <w:tcW w:w="59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Performance-Based Restricted Stock Unit Awards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2022, the Company granted to certain employees 710,000 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Expense recognition for PSUs commences when it is determined that attainment of the performance goal is probable or met. As of March 31, 2023, it was determined that the performance goals were not yet met, and therefore, the Company recorded zero stock-based compensation expense related to the PSUs for the three months ended March 31, 2023.</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2020 Employee Stock Purchase Plan</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2020, the Company’s Board of Directors and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 and will include one or more purchase periods (each a “Purchase Period”) as approved by the Company’s Board of Directors in the offering. The current offering period will consist of two (2) six-month Purchase Periods during which payroll deductions of the participants are accumulated under the ESPP. A total of 430,416 shares of common stock were initially reserved for issuance pursuant to the ESPP.</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ESPP is a compensatory plan as defined by the authoritative guidance for stock-based compensation. The Company uses the Black-Scholes option-pricing model to estimate the fair value of stock offered under the ESPP. Stock-based compensation expense related to the ESPP was $0.1 million and $0.1 million for the three months ended March 31, 2023 and 2022, respectively.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 Expense</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Stock-based compensation expense related to awards granted under the 2014 Plan, the 2020 Plan, the ESPP and the 2022 Inducement Plan was classified in the condensed consolidated statements of operations and comprehensive loss as follows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5640" w:type="dxa"/>
            <w:vAlign w:val="bottom"/>
            <w:tcBorders>
              <w:top w:val="single" w:sz="8" w:color="auto"/>
            </w:tcBorders>
          </w:tcPr>
          <w:p>
            <w:pPr>
              <w:spacing w:after="0"/>
              <w:rPr>
                <w:sz w:val="15"/>
                <w:szCs w:val="15"/>
                <w:color w:val="auto"/>
              </w:rPr>
            </w:pPr>
          </w:p>
        </w:tc>
        <w:tc>
          <w:tcPr>
            <w:tcW w:w="27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60" w:type="dxa"/>
            <w:vAlign w:val="bottom"/>
            <w:tcBorders>
              <w:top w:val="single" w:sz="8" w:color="auto"/>
              <w:bottom w:val="single" w:sz="8" w:color="auto"/>
            </w:tcBorders>
          </w:tcPr>
          <w:p>
            <w:pPr>
              <w:spacing w:after="0"/>
              <w:rPr>
                <w:sz w:val="15"/>
                <w:szCs w:val="15"/>
                <w:color w:val="auto"/>
              </w:rPr>
            </w:pPr>
          </w:p>
        </w:tc>
      </w:tr>
      <w:tr>
        <w:trPr>
          <w:trHeight w:val="156"/>
        </w:trPr>
        <w:tc>
          <w:tcPr>
            <w:tcW w:w="564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2023</w:t>
            </w:r>
          </w:p>
        </w:tc>
        <w:tc>
          <w:tcPr>
            <w:tcW w:w="6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231F20"/>
              </w:rPr>
              <w:t>2022</w:t>
            </w:r>
          </w:p>
        </w:tc>
        <w:tc>
          <w:tcPr>
            <w:tcW w:w="560" w:type="dxa"/>
            <w:vAlign w:val="bottom"/>
            <w:tcBorders>
              <w:bottom w:val="single" w:sz="8" w:color="auto"/>
            </w:tcBorders>
          </w:tcPr>
          <w:p>
            <w:pPr>
              <w:spacing w:after="0"/>
              <w:rPr>
                <w:sz w:val="13"/>
                <w:szCs w:val="13"/>
                <w:color w:val="auto"/>
              </w:rPr>
            </w:pPr>
          </w:p>
        </w:tc>
      </w:tr>
      <w:tr>
        <w:trPr>
          <w:trHeight w:val="196"/>
        </w:trPr>
        <w:tc>
          <w:tcPr>
            <w:tcW w:w="564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Research and development</w:t>
            </w:r>
          </w:p>
        </w:tc>
        <w:tc>
          <w:tcPr>
            <w:tcW w:w="900" w:type="dxa"/>
            <w:vAlign w:val="bottom"/>
            <w:shd w:val="clear" w:color="auto" w:fill="CCEEFF"/>
          </w:tcPr>
          <w:p>
            <w:pPr>
              <w:jc w:val="right"/>
              <w:ind w:right="659"/>
              <w:spacing w:after="0" w:line="196" w:lineRule="exact"/>
              <w:rPr>
                <w:sz w:val="20"/>
                <w:szCs w:val="20"/>
                <w:color w:val="auto"/>
              </w:rPr>
            </w:pPr>
            <w:r>
              <w:rPr>
                <w:rFonts w:ascii="Arial" w:cs="Arial" w:eastAsia="Arial" w:hAnsi="Arial"/>
                <w:sz w:val="18"/>
                <w:szCs w:val="18"/>
                <w:color w:val="231F20"/>
              </w:rPr>
              <w:t>$</w:t>
            </w:r>
          </w:p>
        </w:tc>
        <w:tc>
          <w:tcPr>
            <w:tcW w:w="66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231F20"/>
              </w:rPr>
              <w:t>3,088</w:t>
            </w:r>
          </w:p>
        </w:tc>
        <w:tc>
          <w:tcPr>
            <w:tcW w:w="1140" w:type="dxa"/>
            <w:vAlign w:val="bottom"/>
            <w:shd w:val="clear" w:color="auto" w:fill="CCEEFF"/>
          </w:tcPr>
          <w:p>
            <w:pPr>
              <w:jc w:val="right"/>
              <w:ind w:right="756"/>
              <w:spacing w:after="0" w:line="196" w:lineRule="exact"/>
              <w:rPr>
                <w:sz w:val="20"/>
                <w:szCs w:val="20"/>
                <w:color w:val="auto"/>
              </w:rPr>
            </w:pPr>
            <w:r>
              <w:rPr>
                <w:rFonts w:ascii="Arial" w:cs="Arial" w:eastAsia="Arial" w:hAnsi="Arial"/>
                <w:sz w:val="18"/>
                <w:szCs w:val="18"/>
                <w:color w:val="231F20"/>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3,067</w:t>
            </w:r>
          </w:p>
        </w:tc>
      </w:tr>
      <w:tr>
        <w:trPr>
          <w:trHeight w:val="203"/>
        </w:trPr>
        <w:tc>
          <w:tcPr>
            <w:tcW w:w="56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231F20"/>
              </w:rPr>
              <w:t>General and administrative</w:t>
            </w:r>
          </w:p>
        </w:tc>
        <w:tc>
          <w:tcPr>
            <w:tcW w:w="900" w:type="dxa"/>
            <w:vAlign w:val="bottom"/>
            <w:tcBorders>
              <w:bottom w:val="single" w:sz="8" w:color="231F20"/>
            </w:tcBorders>
          </w:tcPr>
          <w:p>
            <w:pPr>
              <w:spacing w:after="0"/>
              <w:rPr>
                <w:sz w:val="17"/>
                <w:szCs w:val="17"/>
                <w:color w:val="auto"/>
              </w:rPr>
            </w:pPr>
          </w:p>
        </w:tc>
        <w:tc>
          <w:tcPr>
            <w:tcW w:w="660" w:type="dxa"/>
            <w:vAlign w:val="bottom"/>
            <w:tcBorders>
              <w:bottom w:val="single" w:sz="8" w:color="231F20"/>
            </w:tcBorders>
          </w:tcPr>
          <w:p>
            <w:pPr>
              <w:jc w:val="right"/>
              <w:ind w:right="90"/>
              <w:spacing w:after="0" w:line="202" w:lineRule="exact"/>
              <w:rPr>
                <w:sz w:val="20"/>
                <w:szCs w:val="20"/>
                <w:color w:val="auto"/>
              </w:rPr>
            </w:pPr>
            <w:r>
              <w:rPr>
                <w:rFonts w:ascii="Arial" w:cs="Arial" w:eastAsia="Arial" w:hAnsi="Arial"/>
                <w:sz w:val="18"/>
                <w:szCs w:val="18"/>
                <w:color w:val="231F20"/>
              </w:rPr>
              <w:t>1,542</w:t>
            </w:r>
          </w:p>
        </w:tc>
        <w:tc>
          <w:tcPr>
            <w:tcW w:w="1140" w:type="dxa"/>
            <w:vAlign w:val="bottom"/>
            <w:tcBorders>
              <w:bottom w:val="single" w:sz="8" w:color="231F20"/>
            </w:tcBorders>
          </w:tcPr>
          <w:p>
            <w:pPr>
              <w:spacing w:after="0"/>
              <w:rPr>
                <w:sz w:val="17"/>
                <w:szCs w:val="17"/>
                <w:color w:val="auto"/>
              </w:rPr>
            </w:pPr>
          </w:p>
        </w:tc>
        <w:tc>
          <w:tcPr>
            <w:tcW w:w="560" w:type="dxa"/>
            <w:vAlign w:val="bottom"/>
            <w:tcBorders>
              <w:bottom w:val="single" w:sz="8" w:color="231F20"/>
            </w:tcBorders>
          </w:tcPr>
          <w:p>
            <w:pPr>
              <w:jc w:val="right"/>
              <w:spacing w:after="0" w:line="202" w:lineRule="exact"/>
              <w:rPr>
                <w:sz w:val="20"/>
                <w:szCs w:val="20"/>
                <w:color w:val="auto"/>
              </w:rPr>
            </w:pPr>
            <w:r>
              <w:rPr>
                <w:rFonts w:ascii="Arial" w:cs="Arial" w:eastAsia="Arial" w:hAnsi="Arial"/>
                <w:sz w:val="18"/>
                <w:szCs w:val="18"/>
                <w:color w:val="231F20"/>
              </w:rPr>
              <w:t>1,898</w:t>
            </w:r>
          </w:p>
        </w:tc>
      </w:tr>
      <w:tr>
        <w:trPr>
          <w:trHeight w:val="196"/>
        </w:trPr>
        <w:tc>
          <w:tcPr>
            <w:tcW w:w="564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Total</w:t>
            </w:r>
          </w:p>
        </w:tc>
        <w:tc>
          <w:tcPr>
            <w:tcW w:w="900" w:type="dxa"/>
            <w:vAlign w:val="bottom"/>
            <w:tcBorders>
              <w:bottom w:val="single" w:sz="8" w:color="auto"/>
            </w:tcBorders>
            <w:shd w:val="clear" w:color="auto" w:fill="CCEEFF"/>
          </w:tcPr>
          <w:p>
            <w:pPr>
              <w:jc w:val="right"/>
              <w:ind w:right="659"/>
              <w:spacing w:after="0" w:line="196" w:lineRule="exact"/>
              <w:rPr>
                <w:sz w:val="20"/>
                <w:szCs w:val="20"/>
                <w:color w:val="auto"/>
              </w:rPr>
            </w:pPr>
            <w:r>
              <w:rPr>
                <w:rFonts w:ascii="Arial" w:cs="Arial" w:eastAsia="Arial" w:hAnsi="Arial"/>
                <w:sz w:val="18"/>
                <w:szCs w:val="18"/>
                <w:color w:val="231F20"/>
              </w:rPr>
              <w:t>$</w:t>
            </w:r>
          </w:p>
        </w:tc>
        <w:tc>
          <w:tcPr>
            <w:tcW w:w="66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231F20"/>
              </w:rPr>
              <w:t>4,630</w:t>
            </w:r>
          </w:p>
        </w:tc>
        <w:tc>
          <w:tcPr>
            <w:tcW w:w="1140" w:type="dxa"/>
            <w:vAlign w:val="bottom"/>
            <w:tcBorders>
              <w:bottom w:val="single" w:sz="8" w:color="auto"/>
            </w:tcBorders>
            <w:shd w:val="clear" w:color="auto" w:fill="CCEEFF"/>
          </w:tcPr>
          <w:p>
            <w:pPr>
              <w:jc w:val="right"/>
              <w:ind w:right="756"/>
              <w:spacing w:after="0" w:line="196" w:lineRule="exact"/>
              <w:rPr>
                <w:sz w:val="20"/>
                <w:szCs w:val="20"/>
                <w:color w:val="auto"/>
              </w:rPr>
            </w:pPr>
            <w:r>
              <w:rPr>
                <w:rFonts w:ascii="Arial" w:cs="Arial" w:eastAsia="Arial" w:hAnsi="Arial"/>
                <w:sz w:val="18"/>
                <w:szCs w:val="18"/>
                <w:color w:val="231F20"/>
              </w:rPr>
              <w:t>$</w:t>
            </w:r>
          </w:p>
        </w:tc>
        <w:tc>
          <w:tcPr>
            <w:tcW w:w="5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4,965</w:t>
            </w:r>
          </w:p>
        </w:tc>
      </w:tr>
      <w:tr>
        <w:trPr>
          <w:trHeight w:val="20"/>
        </w:trPr>
        <w:tc>
          <w:tcPr>
            <w:tcW w:w="56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0"/>
        <w:spacing w:after="0"/>
        <w:tabs>
          <w:tab w:leader="none" w:pos="360" w:val="left"/>
        </w:tabs>
        <w:rPr>
          <w:sz w:val="20"/>
          <w:szCs w:val="20"/>
          <w:color w:val="auto"/>
        </w:rPr>
      </w:pPr>
      <w:r>
        <w:rPr>
          <w:rFonts w:ascii="Arial" w:cs="Arial" w:eastAsia="Arial" w:hAnsi="Arial"/>
          <w:sz w:val="18"/>
          <w:szCs w:val="18"/>
          <w:color w:val="auto"/>
        </w:rPr>
        <w:t>8.</w:t>
        <w:tab/>
        <w:t>Net Loss Per Share</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Share</w:t>
      </w:r>
    </w:p>
    <w:p>
      <w:pPr>
        <w:spacing w:after="0" w:line="230"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Basic and diluted net loss per share was calculated as follows (in thousands, except share and per share amounts):</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65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2300" w:type="dxa"/>
            <w:vAlign w:val="bottom"/>
            <w:tcBorders>
              <w:top w:val="single" w:sz="8" w:color="auto"/>
              <w:bottom w:val="single" w:sz="8" w:color="auto"/>
            </w:tcBorders>
            <w:gridSpan w:val="3"/>
          </w:tcPr>
          <w:p>
            <w:pPr>
              <w:jc w:val="right"/>
              <w:ind w:right="75"/>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6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97"/>
              <w:spacing w:after="0" w:line="155" w:lineRule="exact"/>
              <w:rPr>
                <w:sz w:val="20"/>
                <w:szCs w:val="20"/>
                <w:color w:val="auto"/>
              </w:rPr>
            </w:pPr>
            <w:r>
              <w:rPr>
                <w:rFonts w:ascii="Arial" w:cs="Arial" w:eastAsia="Arial" w:hAnsi="Arial"/>
                <w:sz w:val="14"/>
                <w:szCs w:val="14"/>
                <w:b w:val="1"/>
                <w:bCs w:val="1"/>
                <w:color w:val="231F20"/>
              </w:rPr>
              <w:t>2023</w:t>
            </w:r>
          </w:p>
        </w:tc>
        <w:tc>
          <w:tcPr>
            <w:tcW w:w="2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231F20"/>
              </w:rPr>
              <w:t>2022</w:t>
            </w: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color w:val="231F20"/>
              </w:rPr>
              <w:t>Numerator:</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02"/>
        </w:trPr>
        <w:tc>
          <w:tcPr>
            <w:tcW w:w="6500" w:type="dxa"/>
            <w:vAlign w:val="bottom"/>
          </w:tcPr>
          <w:p>
            <w:pPr>
              <w:spacing w:after="0" w:line="202" w:lineRule="exact"/>
              <w:rPr>
                <w:sz w:val="20"/>
                <w:szCs w:val="20"/>
                <w:color w:val="auto"/>
              </w:rPr>
            </w:pPr>
            <w:r>
              <w:rPr>
                <w:rFonts w:ascii="Arial" w:cs="Arial" w:eastAsia="Arial" w:hAnsi="Arial"/>
                <w:sz w:val="18"/>
                <w:szCs w:val="18"/>
                <w:color w:val="231F20"/>
              </w:rPr>
              <w:t>Net loss</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231F20"/>
                <w:w w:val="79"/>
              </w:rPr>
              <w:t>$</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231F20"/>
              </w:rPr>
              <w:t>(28,286)</w:t>
            </w:r>
          </w:p>
        </w:tc>
        <w:tc>
          <w:tcPr>
            <w:tcW w:w="2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231F20"/>
              </w:rPr>
              <w:t>(23,030)</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231F20"/>
              </w:rPr>
              <w:t>Denominator:</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02"/>
        </w:trPr>
        <w:tc>
          <w:tcPr>
            <w:tcW w:w="6500" w:type="dxa"/>
            <w:vAlign w:val="bottom"/>
          </w:tcPr>
          <w:p>
            <w:pPr>
              <w:ind w:left="100"/>
              <w:spacing w:after="0" w:line="201" w:lineRule="exact"/>
              <w:rPr>
                <w:sz w:val="20"/>
                <w:szCs w:val="20"/>
                <w:color w:val="auto"/>
              </w:rPr>
            </w:pPr>
            <w:r>
              <w:rPr>
                <w:rFonts w:ascii="Arial" w:cs="Arial" w:eastAsia="Arial" w:hAnsi="Arial"/>
                <w:sz w:val="18"/>
                <w:szCs w:val="18"/>
                <w:color w:val="231F20"/>
              </w:rPr>
              <w:t>Weighted average shares used to compute net loss per share attributable to</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00" w:type="dxa"/>
            <w:vAlign w:val="bottom"/>
            <w:tcBorders>
              <w:bottom w:val="single" w:sz="8" w:color="CCEEFF"/>
            </w:tcBorders>
          </w:tcPr>
          <w:p>
            <w:pPr>
              <w:ind w:left="100"/>
              <w:spacing w:after="0" w:line="203" w:lineRule="exact"/>
              <w:rPr>
                <w:sz w:val="20"/>
                <w:szCs w:val="20"/>
                <w:color w:val="auto"/>
              </w:rPr>
            </w:pPr>
            <w:r>
              <w:rPr>
                <w:rFonts w:ascii="Arial" w:cs="Arial" w:eastAsia="Arial" w:hAnsi="Arial"/>
                <w:sz w:val="18"/>
                <w:szCs w:val="18"/>
                <w:color w:val="231F20"/>
              </w:rPr>
              <w:t>common stockholders, basic and diluted</w:t>
            </w:r>
          </w:p>
        </w:tc>
        <w:tc>
          <w:tcPr>
            <w:tcW w:w="1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7"/>
              <w:spacing w:after="0" w:line="203" w:lineRule="exact"/>
              <w:rPr>
                <w:sz w:val="20"/>
                <w:szCs w:val="20"/>
                <w:color w:val="auto"/>
              </w:rPr>
            </w:pPr>
            <w:r>
              <w:rPr>
                <w:rFonts w:ascii="Arial" w:cs="Arial" w:eastAsia="Arial" w:hAnsi="Arial"/>
                <w:sz w:val="18"/>
                <w:szCs w:val="18"/>
                <w:color w:val="231F20"/>
              </w:rPr>
              <w:t>40,354,493</w:t>
            </w:r>
          </w:p>
        </w:tc>
        <w:tc>
          <w:tcPr>
            <w:tcW w:w="2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231F20"/>
              </w:rPr>
              <w:t>39,834,619</w:t>
            </w:r>
          </w:p>
        </w:tc>
      </w:tr>
      <w:tr>
        <w:trPr>
          <w:trHeight w:val="196"/>
        </w:trPr>
        <w:tc>
          <w:tcPr>
            <w:tcW w:w="65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231F20"/>
              </w:rPr>
              <w:t>Net loss per share attributable to common stockholders, basic and diluted</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w w:val="7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(0.70)</w:t>
            </w:r>
          </w:p>
        </w:tc>
        <w:tc>
          <w:tcPr>
            <w:tcW w:w="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(0.58)</w:t>
            </w:r>
          </w:p>
        </w:tc>
      </w:tr>
      <w:tr>
        <w:trPr>
          <w:trHeight w:val="20"/>
        </w:trPr>
        <w:tc>
          <w:tcPr>
            <w:tcW w:w="6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potentially dilutive shares that were excluded from the calculation of diluted net loss per share because their effect would have been anti-dilutive for the periods presented are as follows:</w:t>
      </w:r>
    </w:p>
    <w:p>
      <w:pPr>
        <w:spacing w:after="0" w:line="178"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40" w:type="dxa"/>
            <w:vAlign w:val="bottom"/>
            <w:tcBorders>
              <w:top w:val="single" w:sz="8" w:color="auto"/>
            </w:tcBorders>
          </w:tcPr>
          <w:p>
            <w:pPr>
              <w:spacing w:after="0"/>
              <w:rPr>
                <w:sz w:val="15"/>
                <w:szCs w:val="15"/>
                <w:color w:val="auto"/>
              </w:rPr>
            </w:pPr>
          </w:p>
        </w:tc>
        <w:tc>
          <w:tcPr>
            <w:tcW w:w="2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231F20"/>
              </w:rPr>
              <w:t>Three Months Ended March 31,</w:t>
            </w:r>
          </w:p>
        </w:tc>
      </w:tr>
      <w:tr>
        <w:trPr>
          <w:trHeight w:val="183"/>
        </w:trPr>
        <w:tc>
          <w:tcPr>
            <w:tcW w:w="674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231F20"/>
              </w:rPr>
              <w:t>2023</w:t>
            </w:r>
          </w:p>
        </w:tc>
        <w:tc>
          <w:tcPr>
            <w:tcW w:w="10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231F20"/>
              </w:rPr>
              <w:t>2022</w:t>
            </w:r>
          </w:p>
        </w:tc>
      </w:tr>
      <w:tr>
        <w:trPr>
          <w:trHeight w:val="196"/>
        </w:trPr>
        <w:tc>
          <w:tcPr>
            <w:tcW w:w="67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231F20"/>
              </w:rPr>
              <w:t>Unvested restricted common stock</w:t>
            </w:r>
          </w:p>
        </w:tc>
        <w:tc>
          <w:tcPr>
            <w:tcW w:w="1140" w:type="dxa"/>
            <w:vAlign w:val="bottom"/>
            <w:shd w:val="clear" w:color="auto" w:fill="CCEEFF"/>
          </w:tcPr>
          <w:p>
            <w:pPr>
              <w:jc w:val="right"/>
              <w:ind w:right="95"/>
              <w:spacing w:after="0" w:line="196" w:lineRule="exact"/>
              <w:rPr>
                <w:sz w:val="20"/>
                <w:szCs w:val="20"/>
                <w:color w:val="auto"/>
              </w:rPr>
            </w:pPr>
            <w:r>
              <w:rPr>
                <w:rFonts w:ascii="Arial" w:cs="Arial" w:eastAsia="Arial" w:hAnsi="Arial"/>
                <w:sz w:val="18"/>
                <w:szCs w:val="18"/>
                <w:color w:val="231F20"/>
              </w:rPr>
              <w:t>246,593</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231F20"/>
              </w:rPr>
              <w:t>443,867</w:t>
            </w:r>
          </w:p>
        </w:tc>
      </w:tr>
      <w:tr>
        <w:trPr>
          <w:trHeight w:val="203"/>
        </w:trPr>
        <w:tc>
          <w:tcPr>
            <w:tcW w:w="6740" w:type="dxa"/>
            <w:vAlign w:val="bottom"/>
          </w:tcPr>
          <w:p>
            <w:pPr>
              <w:ind w:left="20"/>
              <w:spacing w:after="0" w:line="202" w:lineRule="exact"/>
              <w:rPr>
                <w:sz w:val="20"/>
                <w:szCs w:val="20"/>
                <w:color w:val="auto"/>
              </w:rPr>
            </w:pPr>
            <w:r>
              <w:rPr>
                <w:rFonts w:ascii="Arial" w:cs="Arial" w:eastAsia="Arial" w:hAnsi="Arial"/>
                <w:sz w:val="18"/>
                <w:szCs w:val="18"/>
                <w:color w:val="231F20"/>
              </w:rPr>
              <w:t>Unvested performance-based restricted stock unit awards outstanding</w:t>
            </w:r>
          </w:p>
        </w:tc>
        <w:tc>
          <w:tcPr>
            <w:tcW w:w="1140" w:type="dxa"/>
            <w:vAlign w:val="bottom"/>
          </w:tcPr>
          <w:p>
            <w:pPr>
              <w:jc w:val="right"/>
              <w:ind w:right="95"/>
              <w:spacing w:after="0" w:line="202" w:lineRule="exact"/>
              <w:rPr>
                <w:sz w:val="20"/>
                <w:szCs w:val="20"/>
                <w:color w:val="auto"/>
              </w:rPr>
            </w:pPr>
            <w:r>
              <w:rPr>
                <w:rFonts w:ascii="Arial" w:cs="Arial" w:eastAsia="Arial" w:hAnsi="Arial"/>
                <w:sz w:val="18"/>
                <w:szCs w:val="18"/>
                <w:color w:val="231F20"/>
              </w:rPr>
              <w:t>710,000</w:t>
            </w: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231F20"/>
              </w:rPr>
              <w:t>—</w:t>
            </w:r>
          </w:p>
        </w:tc>
      </w:tr>
      <w:tr>
        <w:trPr>
          <w:trHeight w:val="203"/>
        </w:trPr>
        <w:tc>
          <w:tcPr>
            <w:tcW w:w="6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231F20"/>
              </w:rPr>
              <w:t>Options to purchase common stock</w:t>
            </w:r>
          </w:p>
        </w:tc>
        <w:tc>
          <w:tcPr>
            <w:tcW w:w="1140" w:type="dxa"/>
            <w:vAlign w:val="bottom"/>
            <w:shd w:val="clear" w:color="auto" w:fill="CCEEFF"/>
          </w:tcPr>
          <w:p>
            <w:pPr>
              <w:jc w:val="right"/>
              <w:ind w:right="95"/>
              <w:spacing w:after="0" w:line="202" w:lineRule="exact"/>
              <w:rPr>
                <w:sz w:val="20"/>
                <w:szCs w:val="20"/>
                <w:color w:val="auto"/>
              </w:rPr>
            </w:pPr>
            <w:r>
              <w:rPr>
                <w:rFonts w:ascii="Arial" w:cs="Arial" w:eastAsia="Arial" w:hAnsi="Arial"/>
                <w:sz w:val="18"/>
                <w:szCs w:val="18"/>
                <w:color w:val="231F20"/>
              </w:rPr>
              <w:t>9,835,844</w:t>
            </w: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231F20"/>
              </w:rPr>
              <w:t>8,368,353</w:t>
            </w:r>
          </w:p>
        </w:tc>
      </w:tr>
      <w:tr>
        <w:trPr>
          <w:trHeight w:val="203"/>
        </w:trPr>
        <w:tc>
          <w:tcPr>
            <w:tcW w:w="674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231F20"/>
              </w:rPr>
              <w:t>Employee stock purchase plan contingently issuable</w:t>
            </w:r>
          </w:p>
        </w:tc>
        <w:tc>
          <w:tcPr>
            <w:tcW w:w="1140" w:type="dxa"/>
            <w:vAlign w:val="bottom"/>
            <w:tcBorders>
              <w:bottom w:val="single" w:sz="8" w:color="auto"/>
            </w:tcBorders>
          </w:tcPr>
          <w:p>
            <w:pPr>
              <w:jc w:val="right"/>
              <w:ind w:right="95"/>
              <w:spacing w:after="0" w:line="202" w:lineRule="exact"/>
              <w:rPr>
                <w:sz w:val="20"/>
                <w:szCs w:val="20"/>
                <w:color w:val="auto"/>
              </w:rPr>
            </w:pPr>
            <w:r>
              <w:rPr>
                <w:rFonts w:ascii="Arial" w:cs="Arial" w:eastAsia="Arial" w:hAnsi="Arial"/>
                <w:sz w:val="18"/>
                <w:szCs w:val="18"/>
                <w:color w:val="231F20"/>
              </w:rPr>
              <w:t>247,993</w:t>
            </w:r>
          </w:p>
        </w:tc>
        <w:tc>
          <w:tcPr>
            <w:tcW w:w="10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110,877</w:t>
            </w:r>
          </w:p>
        </w:tc>
      </w:tr>
      <w:tr>
        <w:trPr>
          <w:trHeight w:val="196"/>
        </w:trPr>
        <w:tc>
          <w:tcPr>
            <w:tcW w:w="67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95"/>
              <w:spacing w:after="0" w:line="196" w:lineRule="exact"/>
              <w:rPr>
                <w:sz w:val="20"/>
                <w:szCs w:val="20"/>
                <w:color w:val="auto"/>
              </w:rPr>
            </w:pPr>
            <w:r>
              <w:rPr>
                <w:rFonts w:ascii="Arial" w:cs="Arial" w:eastAsia="Arial" w:hAnsi="Arial"/>
                <w:sz w:val="18"/>
                <w:szCs w:val="18"/>
                <w:color w:val="231F20"/>
              </w:rPr>
              <w:t>11,040,430</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231F20"/>
              </w:rPr>
              <w:t>8,923,097</w:t>
            </w:r>
          </w:p>
        </w:tc>
      </w:tr>
      <w:tr>
        <w:trPr>
          <w:trHeight w:val="20"/>
        </w:trPr>
        <w:tc>
          <w:tcPr>
            <w:tcW w:w="67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Included in the potentially dilutive options to purchase common stock are 11,650 unvested stock options that were early exercised by an employee and a non-employee in September 2020 (see Note 7, “Stock-Based Compensation”). The Company determined the early exercises to be non-substantive as the shares were subject to repurchase rights. Accordingly, the Company has excluded these shares from the calculation of basic and diluted net loss per share for the three months ended March 31, 2023 and 2022.</w:t>
      </w:r>
    </w:p>
    <w:p>
      <w:pPr>
        <w:spacing w:after="0" w:line="202" w:lineRule="exact"/>
        <w:rPr>
          <w:sz w:val="20"/>
          <w:szCs w:val="20"/>
          <w:color w:val="auto"/>
        </w:rPr>
      </w:pPr>
    </w:p>
    <w:p>
      <w:pPr>
        <w:ind w:left="380" w:hanging="330"/>
        <w:spacing w:after="0"/>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Lease</w:t>
      </w:r>
    </w:p>
    <w:p>
      <w:pPr>
        <w:spacing w:after="0" w:line="212" w:lineRule="exact"/>
        <w:rPr>
          <w:sz w:val="20"/>
          <w:szCs w:val="20"/>
          <w:color w:val="auto"/>
        </w:rPr>
      </w:pPr>
    </w:p>
    <w:p>
      <w:pPr>
        <w:ind w:left="60" w:right="79"/>
        <w:spacing w:after="0" w:line="246" w:lineRule="auto"/>
        <w:rPr>
          <w:sz w:val="20"/>
          <w:szCs w:val="20"/>
          <w:color w:val="auto"/>
        </w:rPr>
      </w:pPr>
      <w:r>
        <w:rPr>
          <w:rFonts w:ascii="Arial" w:cs="Arial" w:eastAsia="Arial" w:hAnsi="Arial"/>
          <w:sz w:val="18"/>
          <w:szCs w:val="18"/>
          <w:color w:val="auto"/>
        </w:rPr>
        <w:t>The Company leases certain of its facilities under non-cancellable operating leases expiring at various dates through 2026.</w:t>
      </w:r>
    </w:p>
    <w:p>
      <w:pPr>
        <w:spacing w:after="0" w:line="197"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On June 1, 2013, the Company entered into a management services agreement with MandalMed, Inc. (“MandalMed”) (the “MandalMed Services Agreement”) to have access to and use a portion of approximately</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5,762 square feet of space for the use of laboratory benches, lab equipment, office space, and administrative and facilities services. The Company subsequently entered into six amendments to extend the agreement term to November 2023. As part of the sixth amendment, the Company gained access to use additional space of approximately 2,130 square feet (the “Additional Space”) for a three year period commencing on December 1, 2020 and ending on November 30, 2023. According to the terms of the MandalMed Services Agreement, the Company paid a security deposit of less than $0.1 million and is required to pay monthly rent and common area charges.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On August 27, 2020, the Company entered into a lease agreement with 512 2nd Street LLC to lease approximately 3,500 square feet of office space in San Francisco, California (the “Office Space Lease Agreement”). The Office Space Lease Agreement is for a period of two years commencing on September 1, 2020 and ending August 31, 2022. In April 2022, the Company extended the Office Space Lease Agreement up to August 31, 2023 and has one year renewal option to extend the term up to August 31, 2024. According to the terms of the Office Space Lease Agreement, the Company paid a $0.1 million security deposit and is required to pay monthly rent and common area charges. The extension of the lease term was accounted for as a modification under Topic 842 and the Company recorded additional ROU asset and lease liability of $0.3 million and $0.3 million, respectively, in the condensed consolidated financial statements.</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December 15, 2020, the Company entered into a lease agreement with Tennieh LLC to lease approximately 9,800 square feet of office space in San Francisco, California (the “Laboratory Lease Agreement”). The Laboratory Lease Agreement is for a period of five years commencing approximately February 1, 2021 and ending January 31, 2026. According to the terms of the Laboratory Lease Agreement, the Company paid a $0.4 million security deposit and is required to pay monthly rent and common area charges.</w:t>
      </w:r>
    </w:p>
    <w:p>
      <w:pPr>
        <w:spacing w:after="0" w:line="20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total lease expense during the three months ended March 31, 2023 and 2022, respectively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7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3480" w:type="dxa"/>
            <w:vAlign w:val="bottom"/>
            <w:tcBorders>
              <w:top w:val="single" w:sz="8" w:color="auto"/>
            </w:tcBorders>
            <w:gridSpan w:val="4"/>
          </w:tcPr>
          <w:p>
            <w:pPr>
              <w:jc w:val="center"/>
              <w:ind w:left="528"/>
              <w:spacing w:after="0"/>
              <w:rPr>
                <w:sz w:val="20"/>
                <w:szCs w:val="20"/>
                <w:color w:val="auto"/>
              </w:rPr>
            </w:pPr>
            <w:r>
              <w:rPr>
                <w:rFonts w:ascii="Arial" w:cs="Arial" w:eastAsia="Arial" w:hAnsi="Arial"/>
                <w:sz w:val="14"/>
                <w:szCs w:val="14"/>
                <w:b w:val="1"/>
                <w:bCs w:val="1"/>
                <w:color w:val="231F20"/>
              </w:rPr>
              <w:t>Three Months Ended March 31</w:t>
            </w:r>
          </w:p>
        </w:tc>
        <w:tc>
          <w:tcPr>
            <w:tcW w:w="580" w:type="dxa"/>
            <w:vAlign w:val="bottom"/>
            <w:tcBorders>
              <w:top w:val="single" w:sz="8" w:color="auto"/>
            </w:tcBorders>
          </w:tcPr>
          <w:p>
            <w:pPr>
              <w:spacing w:after="0"/>
              <w:rPr>
                <w:sz w:val="14"/>
                <w:szCs w:val="14"/>
                <w:color w:val="auto"/>
              </w:rPr>
            </w:pPr>
          </w:p>
        </w:tc>
      </w:tr>
      <w:tr>
        <w:trPr>
          <w:trHeight w:val="175"/>
        </w:trPr>
        <w:tc>
          <w:tcPr>
            <w:tcW w:w="4720" w:type="dxa"/>
            <w:vAlign w:val="bottom"/>
          </w:tcPr>
          <w:p>
            <w:pPr>
              <w:spacing w:after="0"/>
              <w:rPr>
                <w:sz w:val="15"/>
                <w:szCs w:val="15"/>
                <w:color w:val="auto"/>
              </w:rPr>
            </w:pPr>
          </w:p>
        </w:tc>
        <w:tc>
          <w:tcPr>
            <w:tcW w:w="150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231F20"/>
              </w:rPr>
              <w:t>2023</w:t>
            </w:r>
          </w:p>
        </w:tc>
        <w:tc>
          <w:tcPr>
            <w:tcW w:w="580" w:type="dxa"/>
            <w:vAlign w:val="bottom"/>
          </w:tcPr>
          <w:p>
            <w:pPr>
              <w:spacing w:after="0"/>
              <w:rPr>
                <w:sz w:val="15"/>
                <w:szCs w:val="15"/>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231F20"/>
              </w:rPr>
              <w:t>2022</w:t>
            </w:r>
          </w:p>
        </w:tc>
        <w:tc>
          <w:tcPr>
            <w:tcW w:w="580" w:type="dxa"/>
            <w:vAlign w:val="bottom"/>
          </w:tcPr>
          <w:p>
            <w:pPr>
              <w:spacing w:after="0"/>
              <w:rPr>
                <w:sz w:val="15"/>
                <w:szCs w:val="15"/>
                <w:color w:val="auto"/>
              </w:rPr>
            </w:pPr>
          </w:p>
        </w:tc>
      </w:tr>
      <w:tr>
        <w:trPr>
          <w:trHeight w:val="196"/>
        </w:trPr>
        <w:tc>
          <w:tcPr>
            <w:tcW w:w="47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Straight-line operating lease expense</w:t>
            </w:r>
          </w:p>
        </w:tc>
        <w:tc>
          <w:tcPr>
            <w:tcW w:w="1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w:t>
            </w:r>
          </w:p>
        </w:tc>
        <w:tc>
          <w:tcPr>
            <w:tcW w:w="12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322</w:t>
            </w:r>
          </w:p>
        </w:tc>
      </w:tr>
      <w:tr>
        <w:trPr>
          <w:trHeight w:val="203"/>
        </w:trPr>
        <w:tc>
          <w:tcPr>
            <w:tcW w:w="4720" w:type="dxa"/>
            <w:vAlign w:val="bottom"/>
          </w:tcPr>
          <w:p>
            <w:pPr>
              <w:ind w:left="20"/>
              <w:spacing w:after="0" w:line="202" w:lineRule="exact"/>
              <w:rPr>
                <w:sz w:val="20"/>
                <w:szCs w:val="20"/>
                <w:color w:val="auto"/>
              </w:rPr>
            </w:pPr>
            <w:r>
              <w:rPr>
                <w:rFonts w:ascii="Arial" w:cs="Arial" w:eastAsia="Arial" w:hAnsi="Arial"/>
                <w:sz w:val="18"/>
                <w:szCs w:val="18"/>
                <w:color w:val="auto"/>
              </w:rPr>
              <w:t>Short-term lease expense</w:t>
            </w: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53</w:t>
            </w: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60</w:t>
            </w:r>
          </w:p>
        </w:tc>
      </w:tr>
      <w:tr>
        <w:trPr>
          <w:trHeight w:val="203"/>
        </w:trPr>
        <w:tc>
          <w:tcPr>
            <w:tcW w:w="47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Variable lease expense</w:t>
            </w:r>
          </w:p>
        </w:tc>
        <w:tc>
          <w:tcPr>
            <w:tcW w:w="120" w:type="dxa"/>
            <w:vAlign w:val="bottom"/>
            <w:tcBorders>
              <w:bottom w:val="single" w:sz="8" w:color="auto"/>
            </w:tcBorders>
            <w:shd w:val="clear" w:color="auto" w:fill="CCEEFF"/>
          </w:tcPr>
          <w:p>
            <w:pPr>
              <w:spacing w:after="0"/>
              <w:rPr>
                <w:sz w:val="17"/>
                <w:szCs w:val="17"/>
                <w:color w:val="auto"/>
              </w:rPr>
            </w:pPr>
          </w:p>
        </w:tc>
        <w:tc>
          <w:tcPr>
            <w:tcW w:w="138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472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Total operating lease expense</w:t>
            </w:r>
          </w:p>
        </w:tc>
        <w:tc>
          <w:tcPr>
            <w:tcW w:w="1500" w:type="dxa"/>
            <w:vAlign w:val="bottom"/>
            <w:tcBorders>
              <w:bottom w:val="single" w:sz="8" w:color="auto"/>
            </w:tcBorders>
            <w:gridSpan w:val="2"/>
          </w:tcPr>
          <w:p>
            <w:pPr>
              <w:jc w:val="right"/>
              <w:ind w:right="1308"/>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390</w:t>
            </w:r>
          </w:p>
        </w:tc>
        <w:tc>
          <w:tcPr>
            <w:tcW w:w="1520" w:type="dxa"/>
            <w:vAlign w:val="bottom"/>
            <w:tcBorders>
              <w:bottom w:val="single" w:sz="8" w:color="auto"/>
            </w:tcBorders>
            <w:gridSpan w:val="2"/>
          </w:tcPr>
          <w:p>
            <w:pPr>
              <w:jc w:val="center"/>
              <w:ind w:right="1380"/>
              <w:spacing w:after="0" w:line="196" w:lineRule="exact"/>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392</w:t>
            </w: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The following table summarizes supplemental cash flow information during the three months ended March 31, 2023 and 2022, respectively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6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gridSpan w:val="4"/>
          </w:tcPr>
          <w:p>
            <w:pPr>
              <w:jc w:val="center"/>
              <w:ind w:right="299"/>
              <w:spacing w:after="0"/>
              <w:rPr>
                <w:sz w:val="20"/>
                <w:szCs w:val="20"/>
                <w:color w:val="auto"/>
              </w:rPr>
            </w:pPr>
            <w:r>
              <w:rPr>
                <w:rFonts w:ascii="Arial" w:cs="Arial" w:eastAsia="Arial" w:hAnsi="Arial"/>
                <w:sz w:val="14"/>
                <w:szCs w:val="14"/>
                <w:b w:val="1"/>
                <w:bCs w:val="1"/>
                <w:color w:val="231F20"/>
              </w:rPr>
              <w:t>Three Months Ended March 31</w:t>
            </w:r>
          </w:p>
        </w:tc>
        <w:tc>
          <w:tcPr>
            <w:tcW w:w="20" w:type="dxa"/>
            <w:vAlign w:val="bottom"/>
          </w:tcPr>
          <w:p>
            <w:pPr>
              <w:spacing w:after="0"/>
              <w:rPr>
                <w:sz w:val="14"/>
                <w:szCs w:val="14"/>
                <w:color w:val="auto"/>
              </w:rPr>
            </w:pPr>
          </w:p>
        </w:tc>
      </w:tr>
      <w:tr>
        <w:trPr>
          <w:trHeight w:val="175"/>
        </w:trPr>
        <w:tc>
          <w:tcPr>
            <w:tcW w:w="46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22"/>
              <w:spacing w:after="0"/>
              <w:rPr>
                <w:sz w:val="20"/>
                <w:szCs w:val="20"/>
                <w:color w:val="auto"/>
              </w:rPr>
            </w:pPr>
            <w:r>
              <w:rPr>
                <w:rFonts w:ascii="Arial" w:cs="Arial" w:eastAsia="Arial" w:hAnsi="Arial"/>
                <w:sz w:val="14"/>
                <w:szCs w:val="14"/>
                <w:b w:val="1"/>
                <w:bCs w:val="1"/>
                <w:color w:val="231F20"/>
              </w:rPr>
              <w:t>2023</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39"/>
              <w:spacing w:after="0"/>
              <w:rPr>
                <w:sz w:val="20"/>
                <w:szCs w:val="20"/>
                <w:color w:val="auto"/>
              </w:rPr>
            </w:pPr>
            <w:r>
              <w:rPr>
                <w:rFonts w:ascii="Arial" w:cs="Arial" w:eastAsia="Arial" w:hAnsi="Arial"/>
                <w:sz w:val="14"/>
                <w:szCs w:val="14"/>
                <w:b w:val="1"/>
                <w:bCs w:val="1"/>
                <w:color w:val="231F20"/>
              </w:rPr>
              <w:t>2022</w:t>
            </w:r>
          </w:p>
        </w:tc>
        <w:tc>
          <w:tcPr>
            <w:tcW w:w="20" w:type="dxa"/>
            <w:vAlign w:val="bottom"/>
          </w:tcPr>
          <w:p>
            <w:pPr>
              <w:spacing w:after="0"/>
              <w:rPr>
                <w:sz w:val="15"/>
                <w:szCs w:val="15"/>
                <w:color w:val="auto"/>
              </w:rPr>
            </w:pPr>
          </w:p>
        </w:tc>
      </w:tr>
      <w:tr>
        <w:trPr>
          <w:trHeight w:val="182"/>
        </w:trPr>
        <w:tc>
          <w:tcPr>
            <w:tcW w:w="46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paid for amounts included measurement of lease</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46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680" w:type="dxa"/>
            <w:vAlign w:val="bottom"/>
            <w:tcBorders>
              <w:bottom w:val="single" w:sz="8" w:color="auto"/>
            </w:tcBorders>
          </w:tcPr>
          <w:p>
            <w:pPr>
              <w:ind w:left="160"/>
              <w:spacing w:after="0" w:line="202" w:lineRule="exact"/>
              <w:rPr>
                <w:sz w:val="20"/>
                <w:szCs w:val="20"/>
                <w:color w:val="auto"/>
              </w:rPr>
            </w:pPr>
            <w:r>
              <w:rPr>
                <w:rFonts w:ascii="Arial" w:cs="Arial" w:eastAsia="Arial" w:hAnsi="Arial"/>
                <w:sz w:val="18"/>
                <w:szCs w:val="18"/>
                <w:color w:val="auto"/>
              </w:rPr>
              <w:t>Operating cash flows from operating leases</w:t>
            </w:r>
          </w:p>
        </w:tc>
        <w:tc>
          <w:tcPr>
            <w:tcW w:w="600" w:type="dxa"/>
            <w:vAlign w:val="bottom"/>
            <w:tcBorders>
              <w:bottom w:val="single" w:sz="8" w:color="auto"/>
            </w:tcBorders>
            <w:gridSpan w:val="2"/>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326</w:t>
            </w:r>
          </w:p>
        </w:tc>
        <w:tc>
          <w:tcPr>
            <w:tcW w:w="540" w:type="dxa"/>
            <w:vAlign w:val="bottom"/>
            <w:tcBorders>
              <w:bottom w:val="single" w:sz="8" w:color="auto"/>
            </w:tcBorders>
            <w:gridSpan w:val="2"/>
          </w:tcPr>
          <w:p>
            <w:pPr>
              <w:jc w:val="right"/>
              <w:ind w:right="420"/>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315</w:t>
            </w:r>
          </w:p>
        </w:tc>
        <w:tc>
          <w:tcPr>
            <w:tcW w:w="20" w:type="dxa"/>
            <w:vAlign w:val="bottom"/>
          </w:tcPr>
          <w:p>
            <w:pPr>
              <w:spacing w:after="0"/>
              <w:rPr>
                <w:sz w:val="17"/>
                <w:szCs w:val="17"/>
                <w:color w:val="auto"/>
              </w:rPr>
            </w:pPr>
          </w:p>
        </w:tc>
      </w:tr>
      <w:tr>
        <w:trPr>
          <w:trHeight w:val="20"/>
        </w:trPr>
        <w:tc>
          <w:tcPr>
            <w:tcW w:w="4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29"/>
        </w:trPr>
        <w:tc>
          <w:tcPr>
            <w:tcW w:w="46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4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following table summarizes the Company’s future minimum lease payments and reconciliation of lease liabilities as of March 31, 2023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133985</wp:posOffset>
            </wp:positionV>
            <wp:extent cx="56489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231F20"/>
        </w:rPr>
        <w:t>Years Ended December 31,</w:t>
      </w:r>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2023 (from April 2023)</w:t>
            </w:r>
          </w:p>
        </w:tc>
        <w:tc>
          <w:tcPr>
            <w:tcW w:w="18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gridSpan w:val="2"/>
            <w:shd w:val="clear" w:color="auto" w:fill="CCEEFF"/>
          </w:tcPr>
          <w:p>
            <w:pPr>
              <w:jc w:val="right"/>
              <w:ind w:right="260"/>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860</w:t>
            </w:r>
          </w:p>
        </w:tc>
        <w:tc>
          <w:tcPr>
            <w:tcW w:w="2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Pr>
          <w:p>
            <w:pPr>
              <w:spacing w:after="0" w:line="202" w:lineRule="exact"/>
              <w:rPr>
                <w:sz w:val="20"/>
                <w:szCs w:val="20"/>
                <w:color w:val="auto"/>
              </w:rPr>
            </w:pPr>
            <w:r>
              <w:rPr>
                <w:rFonts w:ascii="Arial" w:cs="Arial" w:eastAsia="Arial" w:hAnsi="Arial"/>
                <w:sz w:val="18"/>
                <w:szCs w:val="18"/>
                <w:color w:val="auto"/>
              </w:rPr>
              <w:t>2024</w:t>
            </w:r>
          </w:p>
        </w:tc>
        <w:tc>
          <w:tcPr>
            <w:tcW w:w="1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799</w:t>
            </w:r>
          </w:p>
        </w:tc>
        <w:tc>
          <w:tcPr>
            <w:tcW w:w="20" w:type="dxa"/>
            <w:vAlign w:val="bottom"/>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2025</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822</w:t>
            </w:r>
          </w:p>
        </w:tc>
        <w:tc>
          <w:tcPr>
            <w:tcW w:w="2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2026</w:t>
            </w:r>
          </w:p>
        </w:tc>
        <w:tc>
          <w:tcPr>
            <w:tcW w:w="1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69</w:t>
            </w:r>
          </w:p>
        </w:tc>
        <w:tc>
          <w:tcPr>
            <w:tcW w:w="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future minimum lease payments</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2,550</w:t>
            </w:r>
          </w:p>
        </w:tc>
        <w:tc>
          <w:tcPr>
            <w:tcW w:w="20" w:type="dxa"/>
            <w:vAlign w:val="bottom"/>
            <w:shd w:val="clear" w:color="auto" w:fill="CCEEFF"/>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Less: Interest</w:t>
            </w:r>
          </w:p>
        </w:tc>
        <w:tc>
          <w:tcPr>
            <w:tcW w:w="18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(259)</w:t>
            </w:r>
          </w:p>
        </w:tc>
      </w:tr>
      <w:tr>
        <w:trPr>
          <w:trHeight w:val="196"/>
        </w:trPr>
        <w:tc>
          <w:tcPr>
            <w:tcW w:w="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lease liabilities at present value</w:t>
            </w:r>
          </w:p>
        </w:tc>
        <w:tc>
          <w:tcPr>
            <w:tcW w:w="1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2,291</w:t>
            </w:r>
          </w:p>
        </w:tc>
        <w:tc>
          <w:tcPr>
            <w:tcW w:w="20" w:type="dxa"/>
            <w:vAlign w:val="bottom"/>
            <w:shd w:val="clear" w:color="auto" w:fill="CCEEFF"/>
          </w:tcPr>
          <w:p>
            <w:pPr>
              <w:spacing w:after="0"/>
              <w:rPr>
                <w:sz w:val="17"/>
                <w:szCs w:val="17"/>
                <w:color w:val="auto"/>
              </w:rPr>
            </w:pPr>
          </w:p>
        </w:tc>
      </w:tr>
      <w:tr>
        <w:trPr>
          <w:trHeight w:val="216"/>
        </w:trPr>
        <w:tc>
          <w:tcPr>
            <w:tcW w:w="5080" w:type="dxa"/>
            <w:vAlign w:val="bottom"/>
            <w:gridSpan w:val="2"/>
          </w:tcPr>
          <w:p>
            <w:pPr>
              <w:ind w:left="20"/>
              <w:spacing w:after="0"/>
              <w:rPr>
                <w:sz w:val="20"/>
                <w:szCs w:val="20"/>
                <w:color w:val="auto"/>
              </w:rPr>
            </w:pPr>
            <w:r>
              <w:rPr>
                <w:rFonts w:ascii="Arial" w:cs="Arial" w:eastAsia="Arial" w:hAnsi="Arial"/>
                <w:sz w:val="18"/>
                <w:szCs w:val="18"/>
                <w:color w:val="auto"/>
              </w:rPr>
              <w:t>Lease liabilities, current</w:t>
            </w:r>
          </w:p>
        </w:tc>
        <w:tc>
          <w:tcPr>
            <w:tcW w:w="1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908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Lease liabilities, non-current</w:t>
            </w:r>
          </w:p>
        </w:tc>
        <w:tc>
          <w:tcPr>
            <w:tcW w:w="18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 w:type="dxa"/>
            <w:vAlign w:val="bottom"/>
            <w:tcBorders>
              <w:bottom w:val="single" w:sz="8" w:color="auto"/>
            </w:tcBorders>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13"/>
        </w:trPr>
        <w:tc>
          <w:tcPr>
            <w:tcW w:w="7040" w:type="dxa"/>
            <w:vAlign w:val="bottom"/>
            <w:gridSpan w:val="4"/>
          </w:tcPr>
          <w:p>
            <w:pPr>
              <w:ind w:left="20"/>
              <w:spacing w:after="0"/>
              <w:rPr>
                <w:sz w:val="20"/>
                <w:szCs w:val="20"/>
                <w:color w:val="auto"/>
              </w:rPr>
            </w:pPr>
            <w:r>
              <w:rPr>
                <w:rFonts w:ascii="Arial" w:cs="Arial" w:eastAsia="Arial" w:hAnsi="Arial"/>
                <w:sz w:val="18"/>
                <w:szCs w:val="18"/>
                <w:color w:val="auto"/>
              </w:rPr>
              <w:t>The following table summarizes lease term and discount rate as of March 31, 2023:</w:t>
            </w: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506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160" w:type="dxa"/>
            <w:vAlign w:val="bottom"/>
            <w:gridSpan w:val="4"/>
          </w:tcPr>
          <w:p>
            <w:pPr>
              <w:jc w:val="right"/>
              <w:ind w:right="200"/>
              <w:spacing w:after="0" w:line="143" w:lineRule="exact"/>
              <w:rPr>
                <w:sz w:val="20"/>
                <w:szCs w:val="20"/>
                <w:color w:val="auto"/>
              </w:rPr>
            </w:pPr>
            <w:r>
              <w:rPr>
                <w:rFonts w:ascii="Arial" w:cs="Arial" w:eastAsia="Arial" w:hAnsi="Arial"/>
                <w:sz w:val="14"/>
                <w:szCs w:val="14"/>
                <w:b w:val="1"/>
                <w:bCs w:val="1"/>
                <w:color w:val="231F20"/>
              </w:rPr>
              <w:t>Three Months Ended March 31</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5"/>
        </w:trPr>
        <w:tc>
          <w:tcPr>
            <w:tcW w:w="20" w:type="dxa"/>
            <w:vAlign w:val="bottom"/>
            <w:tcBorders>
              <w:bottom w:val="single" w:sz="8" w:color="CCEEFF"/>
            </w:tcBorders>
          </w:tcPr>
          <w:p>
            <w:pPr>
              <w:spacing w:after="0"/>
              <w:rPr>
                <w:sz w:val="15"/>
                <w:szCs w:val="15"/>
                <w:color w:val="auto"/>
              </w:rPr>
            </w:pPr>
          </w:p>
        </w:tc>
        <w:tc>
          <w:tcPr>
            <w:tcW w:w="5060" w:type="dxa"/>
            <w:vAlign w:val="bottom"/>
            <w:tcBorders>
              <w:bottom w:val="single" w:sz="8" w:color="CCEEFF"/>
            </w:tcBorders>
          </w:tcPr>
          <w:p>
            <w:pPr>
              <w:spacing w:after="0"/>
              <w:rPr>
                <w:sz w:val="15"/>
                <w:szCs w:val="15"/>
                <w:color w:val="auto"/>
              </w:rPr>
            </w:pPr>
          </w:p>
        </w:tc>
        <w:tc>
          <w:tcPr>
            <w:tcW w:w="182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231F20"/>
              </w:rPr>
              <w:t>2023</w:t>
            </w:r>
          </w:p>
        </w:tc>
        <w:tc>
          <w:tcPr>
            <w:tcW w:w="140" w:type="dxa"/>
            <w:vAlign w:val="bottom"/>
            <w:tcBorders>
              <w:bottom w:val="single" w:sz="8" w:color="CCEEFF"/>
            </w:tcBorders>
          </w:tcPr>
          <w:p>
            <w:pPr>
              <w:spacing w:after="0"/>
              <w:rPr>
                <w:sz w:val="15"/>
                <w:szCs w:val="15"/>
                <w:color w:val="auto"/>
              </w:rPr>
            </w:pP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231F20"/>
              </w:rPr>
              <w:t>2022</w:t>
            </w:r>
          </w:p>
        </w:tc>
        <w:tc>
          <w:tcPr>
            <w:tcW w:w="6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96"/>
        </w:trPr>
        <w:tc>
          <w:tcPr>
            <w:tcW w:w="508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remaining lease term (years)</w:t>
            </w:r>
          </w:p>
        </w:tc>
        <w:tc>
          <w:tcPr>
            <w:tcW w:w="1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3.46</w:t>
            </w:r>
          </w:p>
        </w:tc>
        <w:tc>
          <w:tcPr>
            <w:tcW w:w="20" w:type="dxa"/>
            <w:vAlign w:val="bottom"/>
          </w:tcPr>
          <w:p>
            <w:pPr>
              <w:spacing w:after="0"/>
              <w:rPr>
                <w:sz w:val="17"/>
                <w:szCs w:val="17"/>
                <w:color w:val="auto"/>
              </w:rPr>
            </w:pPr>
          </w:p>
        </w:tc>
      </w:tr>
      <w:tr>
        <w:trPr>
          <w:trHeight w:val="203"/>
        </w:trPr>
        <w:tc>
          <w:tcPr>
            <w:tcW w:w="5080" w:type="dxa"/>
            <w:vAlign w:val="bottom"/>
            <w:tcBorders>
              <w:bottom w:val="single" w:sz="8" w:color="auto"/>
            </w:tcBorders>
            <w:gridSpan w:val="2"/>
          </w:tcPr>
          <w:p>
            <w:pPr>
              <w:ind w:left="20"/>
              <w:spacing w:after="0" w:line="202" w:lineRule="exact"/>
              <w:rPr>
                <w:sz w:val="20"/>
                <w:szCs w:val="20"/>
                <w:color w:val="auto"/>
              </w:rPr>
            </w:pPr>
            <w:r>
              <w:rPr>
                <w:rFonts w:ascii="Arial" w:cs="Arial" w:eastAsia="Arial" w:hAnsi="Arial"/>
                <w:sz w:val="18"/>
                <w:szCs w:val="18"/>
                <w:color w:val="auto"/>
              </w:rPr>
              <w:t>Weighted-average discount rate</w:t>
            </w:r>
          </w:p>
        </w:tc>
        <w:tc>
          <w:tcPr>
            <w:tcW w:w="1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8.70%</w:t>
            </w: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8.65%</w:t>
            </w:r>
          </w:p>
        </w:tc>
        <w:tc>
          <w:tcPr>
            <w:tcW w:w="20" w:type="dxa"/>
            <w:vAlign w:val="bottom"/>
          </w:tcPr>
          <w:p>
            <w:pPr>
              <w:spacing w:after="0"/>
              <w:rPr>
                <w:sz w:val="17"/>
                <w:szCs w:val="17"/>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 Commitments and Contingencies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Collaboration and Supply Agreement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On July 22, 2020, the Company entered into a non-exclusive clinical collaboration and supply agreement with Novartis Institutes for BioMedical Research, Inc. (“Novartis”) and on January 13, 2022, the Company entered into the amended and restated clinical collaboration and supply agreement with Novartis (as amended and restated, the “Novartis Agreement”). The collaboration is focused on the evaluation of the safety, tolerability and efficacy of OP-1250 in combination with Novartis’ proprietary CDK4/6 inhibitor Kisqali® (ribociclib) and/or Novartis’ proprietary phosphatidylinositol 3-kinase (“PI3Ka”) Inhibitor Piqray® (alpelisib) (collectively the “Novartis Study Drugs”) as part of the Company’s planned Phase 1b clinical study of OP-1250 in patients with metastatic estrogen receptor-positive breast cancer. The Company will be responsible for the conduct of the clinical trials for the combined therapies in accordance with a mutually agreed development plan. As part of the collaboration, the parties granted to each other a non-exclusive, royalty- 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or OP-1250.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Costs associated with research activities performed under the agreement are included in research and development expenses in the accompanying condensed consolidated financial statements, with any reimbursable costs from Novartis reflected as a reduction of such expenses. For the three months ended March 31, 2023 and 2022, costs reimbursable from Novartis were $0.5 million and $0 million, respectively. As of March 31, 2023, the receivable due from Novartis was $1.0 million, which is recorded under prepaid expenses and other current assets in the accompanying condensed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Clinical Trial Agreement</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November 2020, the Company entered into a non-exclusive clinical trial agreement with Pfizer Inc. (“Pfizer”) (the “Pfizer Agreement”), to evaluate the safety and tolerability of OP-1250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OP-1250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Company is responsible for manufacturing, packaging and labeling OP-1250, and for packaging and labeling all drugs used in the clinical trials for the combined therapies (other than IBRANCE® (palbociclib)). Pfizer is responsible for manufacturing and delivering to us IBRANCE® (palbociclib) in such quantities as reasonably needed for the clinical trials for the combined therapies.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IBRANCE® (palbociclib) or OP-1250.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months ended March 31, 2023, and 2022.</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Agreement</w:t>
      </w:r>
    </w:p>
    <w:p>
      <w:pPr>
        <w:spacing w:after="0" w:line="230"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Under the terms of the Aurigene Agreement, Aurigene will provide to the Company an exclusive license to its portfolio of novel small molecule inhibitors of the target. Financial terms of the Aurigene Agreement include a</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$8.0 million upfront payment for rights to a pre-existing Aurigene program and potential future milestone payments of up to $60.0 million in clinical development and regulatory milestones, and up to $370.0 million in commercial milestones. Aurigene is also eligible to receive mid-single digits to the low double digits royalties on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$8.0 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As of March 31, 2023, it was determined that it is not probable to achieve any of the milestone target, and therefore, the Company recorded zero expense related to the milestone for the three months ended March 31, 2023.</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 Services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March 31, 2023, the Company did not have material contractual commitments with respect to these arrangements.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Contingencies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Agreements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March 31, 2023 and December 31, 2022, the Company had not incurred any material costs as a result of such indemnifications.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unaudited condensed consolidated financial statements and related notes that are included elsewhere in this Quarterly Report on Form 10-Q and the audited financial statements and related notes that are included in our Annual Report on Form 10-K for the fiscal year ended December 31, 2022 filed with the U.S. Securities and Exchange Commission, or the SEC, on March 9, 2023, or our Annual Report on Form 10-K.</w:t>
      </w:r>
    </w:p>
    <w:p>
      <w:pPr>
        <w:spacing w:after="0" w:line="18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i w:val="1"/>
          <w:iCs w:val="1"/>
          <w:color w:val="auto"/>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focused on the discovery, development and commercialization of next generation targeted therapies for women’s cancers. Our team has spent the past decade characterizing the structure and function of the estrogen receptor, or ER, a key driver of breast cancer in approximately 75% of patients, in order to develop more potent, oral therapies that completely inactivate this signaling pathway. Our lead product candidate, OP-1250, is a novel oral therapy with combined activity as both a complete ER antagonist, or CERAN, and a selective ER degrader, or SERD, which we believe will drive deeper, more durable responses than existing therapies. OP-1250, both as a monotherapy and in combination with inhibitors of cyclin-dependent kinase 4 and 6, or CDK4/6, demonstrated robust anti-tumor activity in a range of preclinical xenograft models of breast cancer, including in ESR1 and PIK3CA mutations and central nervous system, or CNS, metastasis. In August 2020, we initiated an ongoing Phase 1/2 monotherapy dose escalation and expansion study evaluating OP-1250 for the treatment of recurrent, locally advanced or metastatic ER-positive, or ER+, human epidermal growth factor receptor 2-negative, or HER2-, breast cancer. We reported initial data from the Phase 1a dose escalation portion of this study in November 2021, which provided proof-of-concept for OP-1250 as a monotherapy treatment for ER+/HER2- breast cancer. We reported additional monotherapy data from the Phase 1b dose expansion portion of this study in October 2022 and initiated the Phase 2 portion of the study. We anticipate presenting Phase 2 clinical data for OP-1250 as a monotherapy in the second half of 2023. In 2022, we also initiated Phase 1b/2 dose escalation and expansion studies evaluating OP-1250 in combination with CDK4/6 inhibitors palbociclib and ribociclib and phosphatidylinositol 3 kinase alpha, or PI3Ka inhibitor, alpelisib. In December 2022, we reported initial data from the Phase 1a dose escalation portion of the study in combination with palbociclib which demonstrated combinability including no drug-drug interaction, or DDI, between the two agents. We anticipate presenting results from the Phase 2 clinical study for OP-1250 in combination with palbociclib in the second quarter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2023 and from the Phase 1b clinical study for OP-1250 in combination with ribociclib in the second half of 2023. In July 2022, we were granted Fast Track designation from the U.S. Food and Drug Administration, or the FDA, for OP-1250 for patients with ER+/HER2- metastatic breast cancer that has progressed following one or more lines of endocrine therapy with at least one line given in combination with a CDK4/6 inhibitor. Based on the clinical results we have achieved to date, we are advancing OP-1250 through to late stage clinical development both as a monotherapy and in combination with other targeted agents. We own worldwide development and commercialization rights to OP-1250. We believe OP-1250’s oral formulation and dual mechanism of action directly address the limitations of current endocrine therapies, such as fulvestrant and tamoxifen, and position OP-1250 as a potential endocrine therapy of choice for the treatment of ER+ breast cancers. Our goal is to transform the standard of care for women living with cancers by developing more effective therapies that apply our deep understanding and collective expertise in endocrine-driven cancers, nuclear receptor activities and mechanisms of acquired resistance. On March 9, 2023, we announced a corporate restructuring and portfolio prioritization to focus our resources on the late-stage clinical development of OP-1250 for the treatment of ER+/HER2- metastatic breast cancer.</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March 31, 2023, we had cash, cash equivalents, and marketable securities of $186.0 million. Based on our current operating plan, we believe that our cash, cash equivalents, and marketable securities as of March 31, 2023 will be sufficient to fund our planned operating expenses and capital expenditure requirements into 2025.</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significant operating losses since the commencement of our operations. Our net losses were $28.3 million and $ 23.0 million for the three months ended March 31, 2023 and 2022, respectively. We expect to incur significant and increasing losses for the foreseeable future as we continue to advance our product candidate, make potential milestone payments to our licensors, and as we continue to operate as a public company. Our net losses may fluctuate significantly from period to period, depending on the timing of expenditures on our research and development activities. As of March 31, 2023, we had an accumulated deficit of $ 237.3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spacing w:after="0" w:line="205" w:lineRule="exact"/>
        <w:rPr>
          <w:sz w:val="20"/>
          <w:szCs w:val="20"/>
          <w:color w:val="auto"/>
        </w:rPr>
      </w:pPr>
    </w:p>
    <w:p>
      <w:pPr>
        <w:ind w:left="720" w:right="79" w:hanging="319"/>
        <w:spacing w:after="0" w:line="246" w:lineRule="auto"/>
        <w:tabs>
          <w:tab w:leader="none" w:pos="7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continue our ongoing and planned research and development of our lead product candidate OP-1250 for the treatment of ER+ positive breast cancer;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initiate nonclinical studies and clinical trials for any additional product candidates that we may pursue in the future;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seek to discover and develop additional product candidates and further expand our clinical product pipeline;</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seek regulatory approvals for any product candidates that successfully complete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continue to scale up external manufacturing capacity with the aim of securing sufficient quantities to meet our capacity requirements for clinical trials and potential commercialization;</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establish a sales, marketing and distribution infrastructure to commercialize any approved product candidates and related additional commercial manufacturing costs;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develop, maintain, expand, protect and enforce our intellectual property portfolio, including patents, trade secrets and know how;</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acquire or in-license other product candidates and technologies;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attract, hire and retain additional clinical, scientific, quality control, and manufacturing management and administrative personnel;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add clinical, operational, financial and management information systems and personnel, including personnel to support our product development and planned future commercialization efforts;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expand our operations in the United States and to other geographies;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incur additional legal, accounting, investor relations and other expenses associated with operating as a public company.</w:t>
      </w:r>
    </w:p>
    <w:p>
      <w:pPr>
        <w:spacing w:after="0" w:line="19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net losses may fluctuate significantly from quarter-to-quarter and year-to-year, depending on the timing of our clinical trials, potential milestone payments to our licensors, and our expenditures on other research and development activities.</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require substantial additional funding to develop our product candidate and support our continuing operations.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recent disruptions to, and volatility in, the credit and financial markets in the United States and worldwide resulting from geopolitical and macroeconomic events, such as the COVID-19 pandemic, the ongoing conflict between Ukraine and Russia and related sanctions, and recent bank failures and financial stability.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Global economic and business activities continue to face widespread geopolitical and macroeconomic uncertainties, including labor shortages, inflation and monetary supply shifts, bank failures and related financial market risks and instability, recession risks, as well as potential disruptions from the Russia-Ukraine conflict,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To date, we have not generated any revenue from product sales and do not expect to generate any revenue from the sale of products for the foreseeable future.</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product candidate OP-1250. Research and development expenses are recognized as incurred and payments made prior to the receipt of goods or services to be used in research and development are capitalized until the goods or services are received.</w:t>
      </w:r>
    </w:p>
    <w:p>
      <w:pPr>
        <w:spacing w:after="0" w:line="205"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External expenses include:</w:t>
      </w:r>
    </w:p>
    <w:p>
      <w:pPr>
        <w:spacing w:after="0" w:line="212" w:lineRule="exact"/>
        <w:rPr>
          <w:sz w:val="20"/>
          <w:szCs w:val="20"/>
          <w:color w:val="auto"/>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incurred in connection with the discovery and nonclinical development of our product candidates, including under agreements with third parties, such as consultants and CROs;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manufacturing products for use in our nonclinical studies and clinical trials, including payments to CMOs and consultants;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funding research performed by third parties;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of purchasing lab supplies and non-capital equipment used in designing, developing and manufacturing nonclinical study and clinical trial materials;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costs associated with consultants for chemistry, manufacturing and controls development, regulatory, statistics and other services;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expenses related to regulatory activities, including filing fees paid to regulatory agencies;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facility costs including rent, depreciation and maintenance expenses.</w:t>
      </w:r>
    </w:p>
    <w:p>
      <w:pPr>
        <w:spacing w:after="0" w:line="22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Internal expenses include employee and personnel-related costs and expenses, including salaries, benefits and stock-based compensation expense for employees and personnel engaged in research and development functions.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Research and development expenses to advance the development of our lead product candidate and nonclinical program were $22.8 million and $16.0 million for the three months ended March 31, 2023 and 2022, respectively.</w:t>
      </w:r>
    </w:p>
    <w:p>
      <w:pPr>
        <w:spacing w:after="0" w:line="203" w:lineRule="exact"/>
        <w:rPr>
          <w:sz w:val="20"/>
          <w:szCs w:val="20"/>
          <w:color w:val="auto"/>
        </w:rPr>
      </w:pPr>
    </w:p>
    <w:p>
      <w:pPr>
        <w:jc w:val="both"/>
        <w:ind w:left="60" w:right="59"/>
        <w:spacing w:after="0" w:line="249" w:lineRule="auto"/>
        <w:rPr>
          <w:sz w:val="20"/>
          <w:szCs w:val="20"/>
          <w:color w:val="auto"/>
        </w:rPr>
      </w:pPr>
      <w:r>
        <w:rPr>
          <w:rFonts w:ascii="Arial" w:cs="Arial" w:eastAsia="Arial" w:hAnsi="Arial"/>
          <w:sz w:val="17"/>
          <w:szCs w:val="17"/>
          <w:color w:val="auto"/>
        </w:rPr>
        <w:t>We expect our research and development expenses to increase substantially in absolute dollars for the foreseeable future as we advance OP-1250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OP-1250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our OP-1250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OP-1250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 development programs are subject to numerous uncertainties in timing and cost to completion. The duration, costs and timing of nonclinical studies and clinical trials and development of our product candidates will depend on a variety of factors, including:</w:t>
      </w:r>
    </w:p>
    <w:p>
      <w:pPr>
        <w:spacing w:after="0" w:line="200" w:lineRule="exact"/>
        <w:rPr>
          <w:sz w:val="20"/>
          <w:szCs w:val="20"/>
          <w:color w:val="auto"/>
        </w:rPr>
      </w:pPr>
    </w:p>
    <w:p>
      <w:pPr>
        <w:spacing w:after="0" w:line="212"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timing and progress of nonclinical and clinical development activities;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number and scope of nonclinical and clinical programs we decide to pursue;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our ability to maintain our current research and development programs and to establish new ones;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establishing an appropriate safety profile with investigational new drug-enabling toxicology studies;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successful patient enrollment in, and the initiation and completion of, clinical trials;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the successful completion of clinical trials with safety, tolerability and efficacy profiles that are satisfactory to the FDA or any comparable foreign regulatory authority;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establishing commercial manufacturing capabilities or making arrangements with third-party manufacturers;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receipt of regulatory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timing, receipt and terms of any marketing approvals from applicable regulatory authorities;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our ability to establish licensing or collaboration arrangements;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the performance of our future collaborators, if any;</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development and timely delivery of commercial-grade product formulations that can be used in our planned clinical trials and for commercial launch;</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commercializing the product candidate, if approved, whether alone or in collaboration with others;</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maintaining patent and trade secret protection and regulatory exclusivity for our product candidates;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maintaining, defending and enforcing patent claims and other intellectual property rights;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maintaining continued acceptable safety profiles of our products following approval; and</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obtaining and retaining key research and development personnel.</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changes in the outcome of any of these factors could significantly impact the costs, timing and viability associated with the development of our product candidates.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that our general and administrative expenses will increase in the foreseeable future as we increase our headcount 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Total other income</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Total other income consists of interest income and other expenses. Interest income primarily consists of interest income on our cash equivalents and marketable securities. Other expense primarily consists of unrealized foreign currency remeasurement gain (loss) and miscellaneous income (expense) not related to operating activities.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Comparison of the three months ended March 31, 2023 and 2022</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results of operations for the three months ended March 31, 2023 and 2022:</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700" w:type="dxa"/>
            <w:vAlign w:val="bottom"/>
            <w:tcBorders>
              <w:top w:val="single" w:sz="8" w:color="auto"/>
            </w:tcBorders>
          </w:tcPr>
          <w:p>
            <w:pPr>
              <w:spacing w:after="0"/>
              <w:rPr>
                <w:sz w:val="14"/>
                <w:szCs w:val="14"/>
                <w:color w:val="auto"/>
              </w:rPr>
            </w:pPr>
          </w:p>
        </w:tc>
        <w:tc>
          <w:tcPr>
            <w:tcW w:w="2420" w:type="dxa"/>
            <w:vAlign w:val="bottom"/>
            <w:tcBorders>
              <w:top w:val="single" w:sz="8" w:color="auto"/>
            </w:tcBorders>
            <w:gridSpan w:val="5"/>
          </w:tcPr>
          <w:p>
            <w:pPr>
              <w:jc w:val="right"/>
              <w:ind w:right="92"/>
              <w:spacing w:after="0"/>
              <w:rPr>
                <w:sz w:val="20"/>
                <w:szCs w:val="20"/>
                <w:color w:val="auto"/>
              </w:rPr>
            </w:pPr>
            <w:r>
              <w:rPr>
                <w:rFonts w:ascii="Arial" w:cs="Arial" w:eastAsia="Arial" w:hAnsi="Arial"/>
                <w:sz w:val="14"/>
                <w:szCs w:val="14"/>
                <w:b w:val="1"/>
                <w:bCs w:val="1"/>
                <w:color w:val="auto"/>
              </w:rPr>
              <w:t>Three Months Ended March 31,</w:t>
            </w:r>
          </w:p>
        </w:tc>
        <w:tc>
          <w:tcPr>
            <w:tcW w:w="14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5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ind w:right="372"/>
              <w:spacing w:after="0"/>
              <w:rPr>
                <w:sz w:val="20"/>
                <w:szCs w:val="20"/>
                <w:color w:val="auto"/>
              </w:rPr>
            </w:pPr>
            <w:r>
              <w:rPr>
                <w:rFonts w:ascii="Arial" w:cs="Arial" w:eastAsia="Arial" w:hAnsi="Arial"/>
                <w:sz w:val="14"/>
                <w:szCs w:val="14"/>
                <w:b w:val="1"/>
                <w:bCs w:val="1"/>
                <w:color w:val="auto"/>
              </w:rPr>
              <w:t>2023</w:t>
            </w:r>
          </w:p>
        </w:tc>
        <w:tc>
          <w:tcPr>
            <w:tcW w:w="360" w:type="dxa"/>
            <w:vAlign w:val="bottom"/>
          </w:tcPr>
          <w:p>
            <w:pPr>
              <w:spacing w:after="0"/>
              <w:rPr>
                <w:sz w:val="15"/>
                <w:szCs w:val="15"/>
                <w:color w:val="auto"/>
              </w:rPr>
            </w:pPr>
          </w:p>
        </w:tc>
        <w:tc>
          <w:tcPr>
            <w:tcW w:w="90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 Change</w:t>
            </w:r>
          </w:p>
        </w:tc>
      </w:tr>
      <w:tr>
        <w:trPr>
          <w:trHeight w:val="156"/>
        </w:trPr>
        <w:tc>
          <w:tcPr>
            <w:tcW w:w="57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tcPr>
          <w:p>
            <w:pPr>
              <w:jc w:val="right"/>
              <w:ind w:right="192"/>
              <w:spacing w:after="0" w:line="155" w:lineRule="exact"/>
              <w:rPr>
                <w:sz w:val="20"/>
                <w:szCs w:val="20"/>
                <w:color w:val="auto"/>
              </w:rPr>
            </w:pPr>
            <w:r>
              <w:rPr>
                <w:rFonts w:ascii="Arial" w:cs="Arial" w:eastAsia="Arial" w:hAnsi="Arial"/>
                <w:sz w:val="14"/>
                <w:szCs w:val="14"/>
                <w:color w:val="auto"/>
              </w:rPr>
              <w:t>(in thousands)</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03"/>
        </w:trPr>
        <w:tc>
          <w:tcPr>
            <w:tcW w:w="57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tcPr>
          <w:p>
            <w:pPr>
              <w:ind w:left="120"/>
              <w:spacing w:after="0" w:line="202" w:lineRule="exact"/>
              <w:rPr>
                <w:sz w:val="20"/>
                <w:szCs w:val="20"/>
                <w:color w:val="auto"/>
              </w:rPr>
            </w:pPr>
            <w:r>
              <w:rPr>
                <w:rFonts w:ascii="Arial" w:cs="Arial" w:eastAsia="Arial" w:hAnsi="Arial"/>
                <w:sz w:val="18"/>
                <w:szCs w:val="18"/>
                <w:color w:val="auto"/>
              </w:rPr>
              <w:t>Research and development</w:t>
            </w:r>
          </w:p>
        </w:tc>
        <w:tc>
          <w:tcPr>
            <w:tcW w:w="2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ind w:right="32"/>
              <w:spacing w:after="0" w:line="202" w:lineRule="exact"/>
              <w:rPr>
                <w:sz w:val="20"/>
                <w:szCs w:val="20"/>
                <w:color w:val="auto"/>
              </w:rPr>
            </w:pPr>
            <w:r>
              <w:rPr>
                <w:rFonts w:ascii="Arial" w:cs="Arial" w:eastAsia="Arial" w:hAnsi="Arial"/>
                <w:sz w:val="18"/>
                <w:szCs w:val="18"/>
                <w:color w:val="auto"/>
              </w:rPr>
              <w:t>22,826</w:t>
            </w:r>
          </w:p>
        </w:tc>
        <w:tc>
          <w:tcPr>
            <w:tcW w:w="360" w:type="dxa"/>
            <w:vAlign w:val="bottom"/>
          </w:tcPr>
          <w:p>
            <w:pPr>
              <w:jc w:val="right"/>
              <w:ind w:right="76"/>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16,009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6,817</w:t>
            </w: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6,776</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7,245</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(469)</w:t>
            </w:r>
          </w:p>
        </w:tc>
        <w:tc>
          <w:tcPr>
            <w:tcW w:w="20" w:type="dxa"/>
            <w:vAlign w:val="bottom"/>
          </w:tcPr>
          <w:p>
            <w:pPr>
              <w:spacing w:after="0"/>
              <w:rPr>
                <w:sz w:val="17"/>
                <w:szCs w:val="17"/>
                <w:color w:val="auto"/>
              </w:rPr>
            </w:pPr>
          </w:p>
        </w:tc>
      </w:tr>
      <w:tr>
        <w:trPr>
          <w:trHeight w:val="196"/>
        </w:trPr>
        <w:tc>
          <w:tcPr>
            <w:tcW w:w="5700" w:type="dxa"/>
            <w:vAlign w:val="bottom"/>
            <w:tcBorders>
              <w:bottom w:val="single" w:sz="8" w:color="CCEEFF"/>
            </w:tcBorders>
          </w:tcPr>
          <w:p>
            <w:pPr>
              <w:ind w:left="220"/>
              <w:spacing w:after="0" w:line="196"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196" w:lineRule="exact"/>
              <w:rPr>
                <w:sz w:val="20"/>
                <w:szCs w:val="20"/>
                <w:color w:val="auto"/>
              </w:rPr>
            </w:pPr>
            <w:r>
              <w:rPr>
                <w:rFonts w:ascii="Arial" w:cs="Arial" w:eastAsia="Arial" w:hAnsi="Arial"/>
                <w:sz w:val="18"/>
                <w:szCs w:val="18"/>
                <w:color w:val="auto"/>
              </w:rPr>
              <w:t>29,602</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23,254</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6,348</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(29,602)</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(23,254)</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(6,348)</w:t>
            </w:r>
          </w:p>
        </w:tc>
        <w:tc>
          <w:tcPr>
            <w:tcW w:w="20" w:type="dxa"/>
            <w:vAlign w:val="bottom"/>
          </w:tcPr>
          <w:p>
            <w:pPr>
              <w:spacing w:after="0"/>
              <w:rPr>
                <w:sz w:val="17"/>
                <w:szCs w:val="17"/>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57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Interest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2"/>
              <w:spacing w:after="0" w:line="202" w:lineRule="exact"/>
              <w:rPr>
                <w:sz w:val="20"/>
                <w:szCs w:val="20"/>
                <w:color w:val="auto"/>
              </w:rPr>
            </w:pPr>
            <w:r>
              <w:rPr>
                <w:rFonts w:ascii="Arial" w:cs="Arial" w:eastAsia="Arial" w:hAnsi="Arial"/>
                <w:sz w:val="18"/>
                <w:szCs w:val="18"/>
                <w:color w:val="auto"/>
              </w:rPr>
              <w:t>1,305</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218</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1,087</w:t>
            </w:r>
          </w:p>
        </w:tc>
        <w:tc>
          <w:tcPr>
            <w:tcW w:w="20" w:type="dxa"/>
            <w:vAlign w:val="bottom"/>
          </w:tcPr>
          <w:p>
            <w:pPr>
              <w:spacing w:after="0"/>
              <w:rPr>
                <w:sz w:val="17"/>
                <w:szCs w:val="17"/>
                <w:color w:val="auto"/>
              </w:rPr>
            </w:pPr>
          </w:p>
        </w:tc>
      </w:tr>
      <w:tr>
        <w:trPr>
          <w:trHeight w:val="203"/>
        </w:trPr>
        <w:tc>
          <w:tcPr>
            <w:tcW w:w="5700" w:type="dxa"/>
            <w:vAlign w:val="bottom"/>
            <w:tcBorders>
              <w:bottom w:val="single" w:sz="8" w:color="CCEEFF"/>
            </w:tcBorders>
          </w:tcPr>
          <w:p>
            <w:pPr>
              <w:ind w:left="120"/>
              <w:spacing w:after="0" w:line="202" w:lineRule="exact"/>
              <w:rPr>
                <w:sz w:val="20"/>
                <w:szCs w:val="20"/>
                <w:color w:val="auto"/>
              </w:rPr>
            </w:pPr>
            <w:r>
              <w:rPr>
                <w:rFonts w:ascii="Arial" w:cs="Arial" w:eastAsia="Arial" w:hAnsi="Arial"/>
                <w:sz w:val="18"/>
                <w:szCs w:val="18"/>
                <w:color w:val="auto"/>
              </w:rPr>
              <w:t>Other income</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
              <w:spacing w:after="0" w:line="202" w:lineRule="exact"/>
              <w:rPr>
                <w:sz w:val="20"/>
                <w:szCs w:val="20"/>
                <w:color w:val="auto"/>
              </w:rPr>
            </w:pPr>
            <w:r>
              <w:rPr>
                <w:rFonts w:ascii="Arial" w:cs="Arial" w:eastAsia="Arial" w:hAnsi="Arial"/>
                <w:sz w:val="18"/>
                <w:szCs w:val="18"/>
                <w:color w:val="auto"/>
              </w:rPr>
              <w:t>11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r>
      <w:tr>
        <w:trPr>
          <w:trHeight w:val="196"/>
        </w:trPr>
        <w:tc>
          <w:tcPr>
            <w:tcW w:w="57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other income</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32"/>
              <w:spacing w:after="0" w:line="196" w:lineRule="exact"/>
              <w:rPr>
                <w:sz w:val="20"/>
                <w:szCs w:val="20"/>
                <w:color w:val="auto"/>
              </w:rPr>
            </w:pPr>
            <w:r>
              <w:rPr>
                <w:rFonts w:ascii="Arial" w:cs="Arial" w:eastAsia="Arial" w:hAnsi="Arial"/>
                <w:sz w:val="18"/>
                <w:szCs w:val="18"/>
                <w:color w:val="auto"/>
              </w:rPr>
              <w:t>1,316</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224</w:t>
            </w: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1,092</w:t>
            </w:r>
          </w:p>
        </w:tc>
        <w:tc>
          <w:tcPr>
            <w:tcW w:w="20" w:type="dxa"/>
            <w:vAlign w:val="bottom"/>
          </w:tcPr>
          <w:p>
            <w:pPr>
              <w:spacing w:after="0"/>
              <w:rPr>
                <w:sz w:val="17"/>
                <w:szCs w:val="17"/>
                <w:color w:val="auto"/>
              </w:rPr>
            </w:pPr>
          </w:p>
        </w:tc>
      </w:tr>
      <w:tr>
        <w:trPr>
          <w:trHeight w:val="196"/>
        </w:trPr>
        <w:tc>
          <w:tcPr>
            <w:tcW w:w="570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(28,286)</w:t>
            </w:r>
          </w:p>
        </w:tc>
        <w:tc>
          <w:tcPr>
            <w:tcW w:w="360" w:type="dxa"/>
            <w:vAlign w:val="bottom"/>
            <w:tcBorders>
              <w:bottom w:val="single" w:sz="8" w:color="auto"/>
            </w:tcBorders>
          </w:tcPr>
          <w:p>
            <w:pPr>
              <w:jc w:val="right"/>
              <w:ind w:right="76"/>
              <w:spacing w:after="0" w:line="196" w:lineRule="exact"/>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(23,030)</w:t>
            </w: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(5,256)</w:t>
            </w:r>
          </w:p>
        </w:tc>
        <w:tc>
          <w:tcPr>
            <w:tcW w:w="20" w:type="dxa"/>
            <w:vAlign w:val="bottom"/>
            <w:tcBorders>
              <w:bottom w:val="single" w:sz="8" w:color="auto"/>
            </w:tcBorders>
          </w:tcPr>
          <w:p>
            <w:pPr>
              <w:spacing w:after="0"/>
              <w:rPr>
                <w:sz w:val="17"/>
                <w:szCs w:val="17"/>
                <w:color w:val="auto"/>
              </w:rPr>
            </w:pPr>
          </w:p>
        </w:tc>
      </w:tr>
      <w:tr>
        <w:trPr>
          <w:trHeight w:val="20"/>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expenses</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Research and development expenses for the three months ended March 31, 2023 were $22.8 million, compared to $16.0 million for the three months ended March 31, 2022. The increase of $6.8 million was primarily due to increased spending in (i) advancing the clinical development for our lead product candidate OP-1250 and the associated contract manufacturing costs, (ii) other nonclinical research and discovery program costs, and (iii) personnel-related costs, including a one-time restructuring charge of $1.8 million, of which $0.1 million relates to non-cash stock-based compensation expense.</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23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General and administrative expenses for the three months ended March 31, 2023 were $ 6.8 million compared to $7.2 million for the three months ended March 31, 2022. The decrease of $0.5 million was primarily due to lower corporate costs and personnel-related expenses, including non-cash stock-based compensation expense decrease of $0.4 million, which was offset by a one-time restructuring charge of $1.0 million.</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 income</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Other income for the three months ended March 31, 2023 was $1.3 million, which primarily consisted of interest income from our marketable securities.</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Liquidity and capital resources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Sources of liquidity</w:t>
      </w:r>
    </w:p>
    <w:p>
      <w:pPr>
        <w:spacing w:after="0" w:line="230"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losses were $28.3 million and $ 23.0 million for the three months ended March 31, 2023 and 2022, respectively. Through March 31, 2023, we had received aggregate gross proceeds of $393.4 million from sales of our common stock, convertible preferred stock and issuance of convertible promissory notes, stock option exercises, and the sale of stock through the Company’s 2020 Employee Stock Purchase Plan, or ESPP.</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As of March 31, 2023, we had $186.0 million in cash, cash equivalents and marketable securities. As of March 31, 2023, we had accumulated deficit of $237.3 million. We had no debt outstanding as of March 31, 2023.</w:t>
      </w:r>
    </w:p>
    <w:p>
      <w:pPr>
        <w:spacing w:after="0" w:line="200" w:lineRule="exact"/>
        <w:rPr>
          <w:sz w:val="20"/>
          <w:szCs w:val="20"/>
          <w:color w:val="auto"/>
        </w:rPr>
      </w:pPr>
    </w:p>
    <w:p>
      <w:pPr>
        <w:spacing w:after="0" w:line="21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incur significant expenses and operating losses for the foreseeable future as we advance the clinical development of OP-1250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spacing w:after="0" w:line="20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primary uses of cash are to fund our research and development activities, including with respect to OP-1250 and other nonclinical programs, business planning, establishing and maintaining our intellectual property portfolio, hiring personnel, raising capital and providing general and administrative support for these operations.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currently have no financing commitments, such as lines of credit or guarantees, that are expected to affect our liquidity over the next five years.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Future funding and material cash requirements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OP-1250.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our cash, cash equivalents, and marketable securities as of March 31, 2023 will enable us to fund our operating expenses and capital expenditure requirements into 2025 at which point we would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 Our future capital requirements will depend on many factors, including:</w:t>
      </w:r>
    </w:p>
    <w:p>
      <w:pPr>
        <w:spacing w:after="0" w:line="205"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scope, progress, results and costs of product discovery, nonclinical studies and clinical trials;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scope, prioritization and number of our research and development programs;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costs, timing and outcome of regulatory review of our product candidate;</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our ability to establish and maintain collaborations on favorable terms, if at all;</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achievement of milestones or occurrence of other developments that trigger payments under any collaboration agreements we enter into;</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the extent to which we are obligated to reimburse, or entitled to reimbursement of, clinical trial costs under collaboration agreements, if any;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preparing, filing and prosecuting patent applications, maintaining and enforcing our intellectual property rights and defending intellectual property-related claims;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extent to which we acquire or in-license other product candidates and technologies;</w:t>
      </w:r>
    </w:p>
    <w:p>
      <w:pPr>
        <w:spacing w:after="0" w:line="225" w:lineRule="exact"/>
        <w:rPr>
          <w:rFonts w:ascii="Arial" w:cs="Arial" w:eastAsia="Arial" w:hAnsi="Arial"/>
          <w:sz w:val="18"/>
          <w:szCs w:val="18"/>
          <w:color w:val="231F20"/>
        </w:rPr>
      </w:pPr>
    </w:p>
    <w:p>
      <w:pPr>
        <w:ind w:left="720" w:hanging="319"/>
        <w:spacing w:after="0"/>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securing manufacturing arrangements for commercial production; and</w:t>
      </w:r>
    </w:p>
    <w:p>
      <w:pPr>
        <w:spacing w:after="0" w:line="225"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17"/>
        </w:numPr>
        <w:rPr>
          <w:rFonts w:ascii="Arial" w:cs="Arial" w:eastAsia="Arial" w:hAnsi="Arial"/>
          <w:sz w:val="18"/>
          <w:szCs w:val="18"/>
          <w:color w:val="231F20"/>
        </w:rPr>
      </w:pPr>
      <w:r>
        <w:rPr>
          <w:rFonts w:ascii="Arial" w:cs="Arial" w:eastAsia="Arial" w:hAnsi="Arial"/>
          <w:sz w:val="18"/>
          <w:szCs w:val="18"/>
          <w:color w:val="231F20"/>
        </w:rPr>
        <w:t>the costs of establishing or contracting for sales and marketing capabilities if we obtain regulatory approvals to market our product candidates.</w:t>
      </w:r>
    </w:p>
    <w:p>
      <w:pPr>
        <w:spacing w:after="0" w:line="19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Identifying potential product candidates and conducting nonclinical studies and clinical trials is a time-consuming, expensive and uncertain process that takes many years to complete, and we may never generate the necessary data or results required to obtain marketing approval and achieve product sales. In addition, our product candidate, if approved, may not achieve commercial success. Our commercial revenues, if any, will be derived from sales of a product candidate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will be diluted, and the terms of these securities may include liquidation or other preferences that adversely affect your rights as a stockholder. Debt financing, if available, may involve agreements that include covenants limiting or restricting our ability to take specific actions, such as incurring additional debt, making capital expenditures or declaring dividends.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shows a summary of our cash flows for each of the periods presented:</w:t>
      </w:r>
    </w:p>
    <w:p>
      <w:pPr>
        <w:spacing w:after="0" w:line="206"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5140" w:type="dxa"/>
            <w:vAlign w:val="bottom"/>
            <w:tcBorders>
              <w:top w:val="single" w:sz="8" w:color="auto"/>
            </w:tcBorders>
          </w:tcPr>
          <w:p>
            <w:pPr>
              <w:spacing w:after="0"/>
              <w:rPr>
                <w:sz w:val="15"/>
                <w:szCs w:val="15"/>
                <w:color w:val="auto"/>
              </w:rPr>
            </w:pPr>
          </w:p>
        </w:tc>
        <w:tc>
          <w:tcPr>
            <w:tcW w:w="460" w:type="dxa"/>
            <w:vAlign w:val="bottom"/>
            <w:tcBorders>
              <w:top w:val="single" w:sz="8" w:color="auto"/>
              <w:bottom w:val="single" w:sz="8" w:color="auto"/>
            </w:tcBorders>
          </w:tcPr>
          <w:p>
            <w:pPr>
              <w:spacing w:after="0"/>
              <w:rPr>
                <w:sz w:val="15"/>
                <w:szCs w:val="15"/>
                <w:color w:val="auto"/>
              </w:rPr>
            </w:pPr>
          </w:p>
        </w:tc>
        <w:tc>
          <w:tcPr>
            <w:tcW w:w="3300" w:type="dxa"/>
            <w:vAlign w:val="bottom"/>
            <w:tcBorders>
              <w:top w:val="single" w:sz="8" w:color="auto"/>
              <w:bottom w:val="single" w:sz="8" w:color="auto"/>
            </w:tcBorders>
            <w:gridSpan w:val="3"/>
          </w:tcPr>
          <w:p>
            <w:pPr>
              <w:jc w:val="right"/>
              <w:ind w:right="754"/>
              <w:spacing w:after="0"/>
              <w:rPr>
                <w:sz w:val="20"/>
                <w:szCs w:val="20"/>
                <w:color w:val="auto"/>
              </w:rPr>
            </w:pPr>
            <w:r>
              <w:rPr>
                <w:rFonts w:ascii="Arial" w:cs="Arial" w:eastAsia="Arial" w:hAnsi="Arial"/>
                <w:sz w:val="14"/>
                <w:szCs w:val="14"/>
                <w:b w:val="1"/>
                <w:bCs w:val="1"/>
                <w:color w:val="auto"/>
              </w:rPr>
              <w:t>Three Months Ended March 31,</w:t>
            </w:r>
          </w:p>
        </w:tc>
      </w:tr>
      <w:tr>
        <w:trPr>
          <w:trHeight w:val="155"/>
        </w:trPr>
        <w:tc>
          <w:tcPr>
            <w:tcW w:w="514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(in thousands)</w:t>
            </w:r>
          </w:p>
        </w:tc>
        <w:tc>
          <w:tcPr>
            <w:tcW w:w="46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816"/>
              <w:spacing w:after="0" w:line="155" w:lineRule="exact"/>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4"/>
              <w:spacing w:after="0" w:line="155" w:lineRule="exact"/>
              <w:rPr>
                <w:sz w:val="20"/>
                <w:szCs w:val="20"/>
                <w:color w:val="auto"/>
              </w:rPr>
            </w:pPr>
            <w:r>
              <w:rPr>
                <w:rFonts w:ascii="Arial" w:cs="Arial" w:eastAsia="Arial" w:hAnsi="Arial"/>
                <w:sz w:val="14"/>
                <w:szCs w:val="14"/>
                <w:b w:val="1"/>
                <w:bCs w:val="1"/>
                <w:color w:val="auto"/>
              </w:rPr>
              <w:t>2022</w:t>
            </w:r>
          </w:p>
        </w:tc>
      </w:tr>
      <w:tr>
        <w:trPr>
          <w:trHeight w:val="196"/>
        </w:trPr>
        <w:tc>
          <w:tcPr>
            <w:tcW w:w="5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Net cash used in operating activities</w:t>
            </w:r>
          </w:p>
        </w:tc>
        <w:tc>
          <w:tcPr>
            <w:tcW w:w="46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ind w:right="116"/>
              <w:spacing w:after="0" w:line="196" w:lineRule="exact"/>
              <w:rPr>
                <w:sz w:val="20"/>
                <w:szCs w:val="20"/>
                <w:color w:val="auto"/>
              </w:rPr>
            </w:pPr>
            <w:r>
              <w:rPr>
                <w:rFonts w:ascii="Arial" w:cs="Arial" w:eastAsia="Arial" w:hAnsi="Arial"/>
                <w:sz w:val="18"/>
                <w:szCs w:val="18"/>
                <w:color w:val="auto"/>
              </w:rPr>
              <w:t>(20,391)</w:t>
            </w:r>
          </w:p>
        </w:tc>
        <w:tc>
          <w:tcPr>
            <w:tcW w:w="580" w:type="dxa"/>
            <w:vAlign w:val="bottom"/>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(17,903)</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Net cash provided by investing activities</w:t>
            </w:r>
          </w:p>
        </w:tc>
        <w:tc>
          <w:tcPr>
            <w:tcW w:w="460" w:type="dxa"/>
            <w:vAlign w:val="bottom"/>
          </w:tcPr>
          <w:p>
            <w:pPr>
              <w:spacing w:after="0"/>
              <w:rPr>
                <w:sz w:val="17"/>
                <w:szCs w:val="17"/>
                <w:color w:val="auto"/>
              </w:rPr>
            </w:pPr>
          </w:p>
        </w:tc>
        <w:tc>
          <w:tcPr>
            <w:tcW w:w="1460" w:type="dxa"/>
            <w:vAlign w:val="bottom"/>
          </w:tcPr>
          <w:p>
            <w:pPr>
              <w:jc w:val="right"/>
              <w:ind w:right="176"/>
              <w:spacing w:after="0" w:line="202" w:lineRule="exact"/>
              <w:rPr>
                <w:sz w:val="20"/>
                <w:szCs w:val="20"/>
                <w:color w:val="auto"/>
              </w:rPr>
            </w:pPr>
            <w:r>
              <w:rPr>
                <w:rFonts w:ascii="Arial" w:cs="Arial" w:eastAsia="Arial" w:hAnsi="Arial"/>
                <w:sz w:val="18"/>
                <w:szCs w:val="18"/>
                <w:color w:val="auto"/>
              </w:rPr>
              <w:t>37,387</w:t>
            </w:r>
          </w:p>
        </w:tc>
        <w:tc>
          <w:tcPr>
            <w:tcW w:w="5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25,567</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460" w:type="dxa"/>
            <w:vAlign w:val="bottom"/>
            <w:tcBorders>
              <w:bottom w:val="single" w:sz="8" w:color="auto"/>
            </w:tcBorders>
            <w:shd w:val="clear" w:color="auto" w:fill="CCEEFF"/>
          </w:tcPr>
          <w:p>
            <w:pPr>
              <w:spacing w:after="0"/>
              <w:rPr>
                <w:sz w:val="17"/>
                <w:szCs w:val="17"/>
                <w:color w:val="auto"/>
              </w:rPr>
            </w:pPr>
          </w:p>
        </w:tc>
        <w:tc>
          <w:tcPr>
            <w:tcW w:w="1460" w:type="dxa"/>
            <w:vAlign w:val="bottom"/>
            <w:tcBorders>
              <w:bottom w:val="single" w:sz="8" w:color="auto"/>
            </w:tcBorders>
            <w:shd w:val="clear" w:color="auto" w:fill="CCEEFF"/>
          </w:tcPr>
          <w:p>
            <w:pPr>
              <w:jc w:val="right"/>
              <w:ind w:right="176"/>
              <w:spacing w:after="0" w:line="202" w:lineRule="exact"/>
              <w:rPr>
                <w:sz w:val="20"/>
                <w:szCs w:val="20"/>
                <w:color w:val="auto"/>
              </w:rPr>
            </w:pPr>
            <w:r>
              <w:rPr>
                <w:rFonts w:ascii="Arial" w:cs="Arial" w:eastAsia="Arial" w:hAnsi="Arial"/>
                <w:sz w:val="18"/>
                <w:szCs w:val="18"/>
                <w:color w:val="auto"/>
              </w:rPr>
              <w:t>220</w:t>
            </w:r>
          </w:p>
        </w:tc>
        <w:tc>
          <w:tcPr>
            <w:tcW w:w="5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33</w:t>
            </w:r>
          </w:p>
        </w:tc>
      </w:tr>
      <w:tr>
        <w:trPr>
          <w:trHeight w:val="196"/>
        </w:trPr>
        <w:tc>
          <w:tcPr>
            <w:tcW w:w="5140" w:type="dxa"/>
            <w:vAlign w:val="bottom"/>
            <w:tcBorders>
              <w:bottom w:val="single" w:sz="8" w:color="auto"/>
            </w:tcBorders>
          </w:tcPr>
          <w:p>
            <w:pPr>
              <w:ind w:left="20"/>
              <w:spacing w:after="0" w:line="196" w:lineRule="exact"/>
              <w:rPr>
                <w:sz w:val="20"/>
                <w:szCs w:val="20"/>
                <w:color w:val="auto"/>
              </w:rPr>
            </w:pPr>
            <w:r>
              <w:rPr>
                <w:rFonts w:ascii="Arial" w:cs="Arial" w:eastAsia="Arial" w:hAnsi="Arial"/>
                <w:sz w:val="18"/>
                <w:szCs w:val="18"/>
                <w:color w:val="auto"/>
              </w:rPr>
              <w:t>Net increase in cash and cash equivalents</w:t>
            </w:r>
          </w:p>
        </w:tc>
        <w:tc>
          <w:tcPr>
            <w:tcW w:w="46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tcPr>
          <w:p>
            <w:pPr>
              <w:jc w:val="right"/>
              <w:ind w:right="176"/>
              <w:spacing w:after="0" w:line="196" w:lineRule="exact"/>
              <w:rPr>
                <w:sz w:val="20"/>
                <w:szCs w:val="20"/>
                <w:color w:val="auto"/>
              </w:rPr>
            </w:pPr>
            <w:r>
              <w:rPr>
                <w:rFonts w:ascii="Arial" w:cs="Arial" w:eastAsia="Arial" w:hAnsi="Arial"/>
                <w:sz w:val="18"/>
                <w:szCs w:val="18"/>
                <w:color w:val="auto"/>
              </w:rPr>
              <w:t>17,216</w:t>
            </w:r>
          </w:p>
        </w:tc>
        <w:tc>
          <w:tcPr>
            <w:tcW w:w="580" w:type="dxa"/>
            <w:vAlign w:val="bottom"/>
            <w:tcBorders>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7,697</w:t>
            </w:r>
          </w:p>
        </w:tc>
      </w:tr>
      <w:tr>
        <w:trPr>
          <w:trHeight w:val="20"/>
        </w:trPr>
        <w:tc>
          <w:tcPr>
            <w:tcW w:w="5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Operating activities</w:t>
      </w:r>
    </w:p>
    <w:p>
      <w:pPr>
        <w:spacing w:after="0" w:line="230"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during the three months ended March 31, 2023 consisted primarily of our net loss of $28.3 million, offset by non-cash charges of $3.9 million and a net increase in net operating assets and liabilities of $4.0 million. The net loss consisted primarily of $22.8 million in research and development expenses and $6.8 million in general and administrative expenses. The non-cash charges consisted primarily of stock-based compensation of $4.6 million and depreciation and amortization expenses of $ 0.1 million, and non-cash lease expense of less than $0.1 million, net of cash payments of $0.3 million. These non-cash expenses were partially offset by net discount accretion on our marketable securities of $0.9 million. The net increase in operating assets and liabilities was primarily due to (i) a net increase of $2.7 million in other current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liabilities, (ii) a net increase of $1.0 million in prepaid expenses and other current assets and (iii) a net increase of $0.3 million in accounts payable, which is primarily a result of timing of invoice payment.</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Net cash used in operating activities during the three months ended March 31, 2022 consisted primarily of our net loss of $23.0 million, offset by non-cash charges of $5.1 million and a net increase in net operating assets and liabilities of $0.1 million. The net loss consisted primarily of $16.0 million in research and development expenses and $7.2 million in general and administrative expenses. The non-cash charges consisted primarily of stock-based compensation of $ 5.0 million and depreciation and amortization expenses of $ 0.1 million, and noncash lease expense of less than $0.1 million, net of cash payments of $0.3 million. The net increase in operating assets and liabilities was primarily due to (i) a net decrease of $0.2 million in prepaid expenses and other current assets and (ii) an increase of $0.2 million in accounts payable, which is primarily a result of timing of invoice payment. The changes are partially offset by (i) a net increase of $0.2 million in other assets and (ii) a net decrease of $0.1 million in other current liabilities.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Investing Activities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Net cash provided by investing activities during the three months ended March 31, 2023 was predominately due to maturities of marketable securities which was offset by the purchase of marketable securities.</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Net cash provided by investing activities during the three months ended March 31, 2022 was predominately due to maturities of marketable securities which was offset by the purchase of marketable securities.</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Financing activities</w:t>
      </w:r>
    </w:p>
    <w:p>
      <w:pPr>
        <w:spacing w:after="0" w:line="230"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Net cash provided by financing activities during the three months ended March 31, 2023 represents $0.2 million from the exercise of stock options.</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Net cash provided by financing activities during the three months ended March 31, 2022 represents less than $0.1 million from the exercise of stock options.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Refer to Note 10 of our notes to the condensed consolidated financial statements contained in this Quarterly Report on Form 10-Q for further information. There have been no material changes outside the ordinary course of business during the three months ended March 31, 2023 to our commitments and contingencies disclosed in “Management’s Discussion and Analysis of Financial Condition and Results of Operations” included in our Annual Report on Form 10-K for the year ended December 31, 2022 filed on March 9, 2023 with the SEC.</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significant judgements and estimates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During the three months ended March 31, 2023, there were no material changes to our critical accounting policies and estimates as reported in our Annual Report on Form 10-K.</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3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During the three months ended March 31, 2023, there were no material changes to our market risk disclosures reported in our Annual Report on Form 10-K.</w:t>
      </w:r>
    </w:p>
    <w:p>
      <w:pPr>
        <w:spacing w:after="0" w:line="175"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of March 31, 2023,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March 31, 2023, the design and operation of our disclosure controls and procedures were effective at a reasonable assurance level.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the three months ended March 31, 2023 that has materially affected, or is reasonably likely to materially affect, our internal control over financial reporting.</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3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i w:val="1"/>
          <w:iCs w:val="1"/>
          <w:color w:val="auto"/>
        </w:rPr>
        <w:t>Our business involves significant risks, some of which are described below. You should carefully consider the following risks, as well as the other information in this Quarterly Report on Form 10-Q,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 SUMMARY</w:t>
      </w:r>
    </w:p>
    <w:p>
      <w:pPr>
        <w:spacing w:after="0" w:line="220"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spacing w:after="0" w:line="189" w:lineRule="exact"/>
        <w:rPr>
          <w:sz w:val="20"/>
          <w:szCs w:val="20"/>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not completed any clinical trials and have no products approved for commercial sale, which may make it difficult for you to evaluate our current business and predict our future success and viability.</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have incurred net losses since inception, and we expect to continue to incur net losses for the foreseeable future. We expect to continue to incur increased expenses and operating losses for the foreseeable future as we continue our research and development efforts and seek to obtain regulatory approval for OP-1250. In addition, we may be unable to continue as a going concern over the long term.</w:t>
      </w:r>
    </w:p>
    <w:p>
      <w:pPr>
        <w:spacing w:after="0" w:line="3"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realize the expected benefits from our recent corporate restructuring, portfolio prioritization, and workforce reduction and we may incur additional costs or other difficulties implementing such initiatives.</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are substantially dependent on the success of our only product candidate, OP-1250, which is currently in the early stages of clinical development. We cannot assure you that our planned clinical development programs for OP-1250 will be completed in a timely manner, or at all, or that we will be able to obtain approval for OP-1250 from the FDA,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Even if approved, OP-1250 may not achieve adequate market acceptance among physicians, patients, healthcare payors and others in the medical community necessary for commercial success. The degree of market acceptance would depend on a number of factors. 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be unable to obtain U.S. or foreign regulatory approvals and, as a result, may be unable to commercialize OP-1250 or any future product candidate we may develop.</w:t>
      </w:r>
    </w:p>
    <w:p>
      <w:pPr>
        <w:spacing w:after="0" w:line="1"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Unfavorable U.S. and global macroeconomic and geopolitical conditions could adversely affect our business, financial condition and results of operations.</w:t>
      </w:r>
    </w:p>
    <w:p>
      <w:pPr>
        <w:spacing w:after="0" w:line="1" w:lineRule="exact"/>
        <w:rPr>
          <w:rFonts w:ascii="Arial" w:cs="Arial" w:eastAsia="Arial" w:hAnsi="Arial"/>
          <w:sz w:val="18"/>
          <w:szCs w:val="18"/>
          <w:color w:val="auto"/>
        </w:rPr>
      </w:pPr>
    </w:p>
    <w:p>
      <w:pPr>
        <w:jc w:val="both"/>
        <w:ind w:left="720" w:right="79" w:hanging="319"/>
        <w:spacing w:after="0" w:line="236"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 order to successfully implement our plans and strategies, we will need to grow the size of our organization, and we may experience difficulties in managing this growth. Given the small size of our organization, we may encounter difficulties managing multiple clinical trials at the same time, which could negatively affect our ability to manage the growth of our organization, particularly as we take on additional responsibility associated with being a public company. If we are not able to effectively expand our organization by hiring new employees and/or engaging additional third-party service providers, we may not be able to successfully implement the tasks necessary to further develop and commercialize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spacing w:after="0" w:line="234" w:lineRule="auto"/>
        <w:rPr>
          <w:sz w:val="20"/>
          <w:szCs w:val="20"/>
          <w:color w:val="auto"/>
        </w:rPr>
      </w:pPr>
      <w:r>
        <w:rPr>
          <w:rFonts w:ascii="Arial" w:cs="Arial" w:eastAsia="Arial" w:hAnsi="Arial"/>
          <w:sz w:val="18"/>
          <w:szCs w:val="18"/>
          <w:color w:val="auto"/>
        </w:rPr>
        <w:t>OP-1250 and any other future product candidates we may develop and, accordingly, may not achieve our research, development and commercialization goals.</w:t>
      </w:r>
    </w:p>
    <w:p>
      <w:pPr>
        <w:spacing w:after="0" w:line="1" w:lineRule="exact"/>
        <w:rPr>
          <w:sz w:val="20"/>
          <w:szCs w:val="20"/>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internal computer systems, or those of any of our CROs, manufacturers, other contractors, consultants, collaborators or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4"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success depends on our ability to protect our intellectual property and our proprietary technologies. Even issued patents may later be found invalid or unenforceable or may be modified or revoked in proceedings instituted by third parties before various patent offices or in courts. Thus, the degree of future protection for our proprietary rights is uncertain.</w:t>
      </w:r>
    </w:p>
    <w:p>
      <w:pPr>
        <w:spacing w:after="0" w:line="2"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the need for additional capital</w:t>
      </w:r>
    </w:p>
    <w:p>
      <w:pPr>
        <w:spacing w:after="0" w:line="212"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not completed any clinical trials and have no products approved for commercial sale, which may make it difficult for you to evaluate our current business and predict our future success and viability.</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product candidate, OP-1250, securing related intellectual property rights and conducting nonclinical studies and a Phase 1/2 clinical study of OP-1250. We have not yet demonstrated our ability to successfully complete any clinical trials,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encounter unforeseen expenses, difficulties, complications, delays and other known and unknown factors and risks frequently experienced by clinical-stage biopharmaceutical companies in rapidly 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require substantial additional capital to finance our operations. If we are unable to raise such capital when needed, or on acceptable terms, we may be forced to delay, reduce and/or eliminate one or more of our research and drug development programs of our only product or future commercialization efforts.</w:t>
      </w:r>
    </w:p>
    <w:p>
      <w:pPr>
        <w:spacing w:after="0" w:line="196" w:lineRule="exact"/>
        <w:rPr>
          <w:sz w:val="20"/>
          <w:szCs w:val="20"/>
          <w:color w:val="auto"/>
        </w:rPr>
      </w:pPr>
    </w:p>
    <w:p>
      <w:pPr>
        <w:ind w:left="60" w:right="679"/>
        <w:spacing w:after="0" w:line="274" w:lineRule="auto"/>
        <w:rPr>
          <w:sz w:val="20"/>
          <w:szCs w:val="20"/>
          <w:color w:val="auto"/>
        </w:rPr>
      </w:pPr>
      <w:r>
        <w:rPr>
          <w:rFonts w:ascii="Arial" w:cs="Arial" w:eastAsia="Arial" w:hAnsi="Arial"/>
          <w:sz w:val="17"/>
          <w:szCs w:val="17"/>
          <w:color w:val="auto"/>
        </w:rPr>
        <w:t>Developing pharmaceutical products, including conducting nonclinical studies and clinical trials, is a very time-consuming, expensive and uncertain process that takes years to complete. Our operations have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consumed substantial amounts of cash since inception, and we expect our expenses will increase in connection with our ongoing activities, particularly as we initiate and conduct clinical trials of, and seek marketing approval for, OP-1250. We anticipate incurring significant costs associated with the development of OP-1250 and any future drug candidates we may develop. Our expenses could increase beyond expectations if we are required by the FDA, the European Medicines Agency, or EMA, or other regulatory agencies to perform clinical trials or nonclinical studies in addition to those that we currently anticipate. Other unanticipated costs may also arise. In addition, if we obtain marketing approval for OP-1250,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additional costs associated with operating as a public company. Accordingly, we will need to obtain substantial additional funding in order to maintain our continuing operations.</w:t>
      </w:r>
    </w:p>
    <w:p>
      <w:pPr>
        <w:spacing w:after="0" w:line="204"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of March 31,2023, we had $186.0 million in cash, cash equivalents, and marketable securities. Based on our current operating plans, we believe that our cash, cash equivalents, and marketable securities as of March 31, 2023 will be sufficient to fund our operating expenses and capital expenditures requirements into 2025. 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default in one or several of the financial institutions in which we hold, or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the COVID-19 pandemic, the ongoing conflict between Ukraine and Russia and related sanctions, and recent bank failures and financial instability. Advancing the development of OP-1250 and any future product candidates we may develop will require a significant amount of capital, and our existing cash, cash equivalents and marketable securities will not be sufficient to fund all of the activities that are necessary to complete the development of OP-1250.</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will be required to obtain additional funding through public or private equity offerings, debt financings, collaborations and licensing arrangements or other sources, which may dilute our stockholders or restrict our operating activities. Adequate additional financing may not be available to us on acceptable terms, or at all. Market volatility, including as a result of geopolitical and macroeconomic events such as the COVID-19 pandemic and the ongoing conflict between Ukraine and Russia and related sanctions, could adversely increase our need to access capital and likewise, adversely impact our ability to access capital as and when needed.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 We also could be required to seek collaborators for OP-1250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have incurred net losses since inception, and we expect to continue to incur net losses for the foreseeable future. In addition, we may be unable to continue as a going concern over the long term.</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incurred net losses in each reporting period since our inception, have not generated any revenue from product sales to date and have financed our operations principally through our initial public offering and private financings. We have incurred net losses of $ 28.3 million and $23.0 million for the three months ended March 31, 2023 and 2022, respectively. We had an accumulated deficit of $237.3 million as of March 31, 2023. Our losses have resulted principally from expenses incurred in research and development of OP-1250 and from management and administrative costs and other expenses that we have incurred while building our business infrastructure. Our only product candidate, OP-1250, is in early-stage clinical trials. As a result, we expect that it will be several years, if ever, before we have a commercialized product and generate revenue from product sales. Even if we succeed in receiving marketing approval for and commercializing OP-1250 in one of our lead indications, we expect that we will continue to incur substantial research and development and other expenses as we continue the clinical development programs for OP-1250 in other indications.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expect to continue to incur increased expenses and operating losses for the foreseeable future as we continue our research and development efforts and seek to obtain regulatory approval for OP-1250.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spacing w:after="0" w:line="208"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our condensed consolidated financial statements for the three months ended March 31, 2023 and 2022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OP-1250. Regulatory approval is not guaranteed and may never be obtained. As a result, these conditions raise substantial doubt about our ability to continue as a going concern over the long term.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not realize the expected benefits from our recent corporate restructuring, portfolio prioritization, and workforce reduction and we may incur additional costs or other difficulties implementing such initiatives.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March 2023, we announced a corporate restructuring and portfolio prioritization to focus our resources on the late-stage clinical development of OP-1250 for the treatment of ER+/HER2- metastatic breast cancer. As part of this restructuring, our workforce was reduced by approximately 25%, affecting employees across research, early development, and general and administrative functions.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restructuring and reduction in force may yield unintended consequences and costs, such as the loss of institutional knowledge and expertise, attrition beyond our intended reduction in force, a reduction in morale among our remaining employees, and the risk that we may not achieve the anticipated benefits, all of which may have an adverse effect on our clinical activities and results of operations or financial condition. We incurred one-time accounting charges of approximately $2.8 million, $2.7 million of which was attributable to cash expenditures. We may also incur other charges, costs, future cash expenditures or impairments not currently contemplated due to events that may occur as a result of, or in connection with, the restructuring and reduction in workforce. In addition, we may be unsuccessful in distributing the duties and obligations of departed employees among our remaining employees, where applicable. We may also discover that the reduction in force and cost cutting measures will make it difficult for us to pursue new opportunities and initiatives and require us to hire qualified replacement personnel, which may require us to incur additional and unanticipated costs and expenses. Moreover, there is no assurance we will be successful in our pursuit of any of our new goals. Our failure to successfully accomplish any of the above activities and goals may have a material adverse impact on our business, financial condition, results of operations, and ability to successfully develop OP-1250.</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never generated revenue from product sales and may never be profitable.</w:t>
      </w:r>
    </w:p>
    <w:p>
      <w:pPr>
        <w:spacing w:after="0" w:line="23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Our ability to generate revenue from product sales and achieve profitability depends on our ability, alone or with our collaboration partners, to successfully complete the development of, and obtain the regulatory approvals necessary to commercialize, OP-1250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spacing w:after="0" w:line="190" w:lineRule="exact"/>
        <w:rPr>
          <w:sz w:val="20"/>
          <w:szCs w:val="20"/>
          <w:color w:val="auto"/>
        </w:rPr>
      </w:pPr>
    </w:p>
    <w:p>
      <w:pPr>
        <w:ind w:left="720" w:right="7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completing clinical and nonclinical development of our product candidate and programs and identifying and developing new product candidates;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seeking and obtaining marketing approvals for any product candidates that we develop;</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launching and commercializing product candidates for which we obtain marketing approval by establishing a sales force, marketing, medical affairs and distribution infrastructure or, alternatively, collaborating with a commercialization partner;</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achieving adequate access and reimbursement by government and third-party payors for product candidates that we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obtaining market acceptance of product candidates that we develop as viable treatment options;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231F20"/>
        </w:rPr>
        <w:t>addressing any competing technological and market developments;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negotiating favorable terms in any collaboration, licensing or other arrangements into which we may enter and performing our obligations in such collaborations;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maintaining, protecting, enforcing and expanding our portfolio of intellectual property rights, including patents, trade secrets and know-how;</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defending against third-party interference, infringement or other intellectual property-related claims, if any;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231F20"/>
        </w:rPr>
        <w:t>attracting, hiring and retaining qualified personnel.</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if OP-1250 or any future product candidate that we may develop is approved for commercial sale, we anticipate incurring significant costs associated with commercializing any approved product candidate. Our expenses could increase beyond expectations if we are required by the FDA, the EMA or other comparable regulatory agencies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discovery, development and commercialization of our product candidate</w:t>
      </w:r>
    </w:p>
    <w:p>
      <w:pPr>
        <w:spacing w:after="0" w:line="212"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substantially dependent on the success of our only product candidate, OP-1250, which is currently in the early stages of clinical development.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future success is heavily dependent on our ability to timely complete clinical trials, obtain marketing approval for and successfully commercialize OP-1250, our only product candidate. We expect that a substantial portion of our efforts and expenses over the next several years will be devoted to the development of OP-1250 in our ongoing clinical trials in multiple indications. We are investing significant efforts and financial resources in the research and development of OP-1250. OP-1250 will require additional clinical development, evaluation of clinical, nonclinical and manufacturing activities, marketing approval from government regulators, and significant marketing efforts before we can generate any revenues from product sales. We are not permitted to market or promote OP-1250 before we receive marketing approval from the FDA and comparable foreign regulatory authorities, and we may never receive such marketing approvals. Should our planned clinical development of OP-1250 in our lead indications fail to be completed in a timely manner or at all, we will need to rely on our ongoing and planned clinical development of OP-1250 in additional indications, which will require more time and resources to obtain regulatory approval and proceed with commercialization and may ultimately be unsuccessful.</w:t>
      </w:r>
    </w:p>
    <w:p>
      <w:pPr>
        <w:spacing w:after="0" w:line="203" w:lineRule="exact"/>
        <w:rPr>
          <w:sz w:val="20"/>
          <w:szCs w:val="20"/>
          <w:color w:val="auto"/>
        </w:rPr>
      </w:pPr>
    </w:p>
    <w:p>
      <w:pPr>
        <w:jc w:val="both"/>
        <w:ind w:left="60" w:right="59"/>
        <w:spacing w:after="0" w:line="233" w:lineRule="auto"/>
        <w:rPr>
          <w:sz w:val="20"/>
          <w:szCs w:val="20"/>
          <w:color w:val="auto"/>
        </w:rPr>
      </w:pPr>
      <w:r>
        <w:rPr>
          <w:rFonts w:ascii="Arial" w:cs="Arial" w:eastAsia="Arial" w:hAnsi="Arial"/>
          <w:sz w:val="18"/>
          <w:szCs w:val="18"/>
          <w:color w:val="auto"/>
        </w:rPr>
        <w:t>We cannot assure you that our planned clinical development programs for OP-1250 will be completed in a timely manner, or at all, or that we will be able to obtain approval for OP-1250 from the FDA, European Commission (based on the positive opinion of the EMA’s Committee for Medicinal Products for Human Use,</w:t>
      </w:r>
    </w:p>
    <w:p>
      <w:pPr>
        <w:spacing w:after="0" w:line="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commonly referred to as EMA approval</w:t>
      </w:r>
      <w:r>
        <w:rPr>
          <w:rFonts w:ascii="Arial" w:cs="Arial" w:eastAsia="Arial" w:hAnsi="Arial"/>
          <w:sz w:val="21"/>
          <w:szCs w:val="21"/>
          <w:color w:val="auto"/>
        </w:rPr>
        <w:t>)</w:t>
      </w:r>
      <w:r>
        <w:rPr>
          <w:rFonts w:ascii="Arial" w:cs="Arial" w:eastAsia="Arial" w:hAnsi="Arial"/>
          <w:sz w:val="18"/>
          <w:szCs w:val="18"/>
          <w:color w:val="auto"/>
        </w:rPr>
        <w:t>, or any comparable foreign regulatory authority. If we are unable to complete development of, obtain regulatory approval for and commercialize OP-1250 in one or more indications and in a timely manner, our business, financial condition, results of operations and prospects will be significantly harmed.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OP-1250, we will be unable to generate product revenue and our business, financial condition, results of operations and prospects will be significantly harmed.</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Clinical testing is expensive and can take many years to complete, and its outcome is inherently uncertain. Failure can occur at any time during the clinical trial process. The results of nonclinical studies and early clinical trials of OP-1250 and any future product candidates we may develop may not be predictive of the results of subsequent clinical trials. We have a limited operating history and to date have not demonstrated our ability to complete large-scale clinical trials.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Product candidates in later stages of clinical trials may fail to show the desired safety and efficacy traits despite having progressed through nonclinical studies and initial clinical trials. In addition to the safety and efficacy 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OP-1250 or product candidates we may develop in the future may also be undergoing surgical, radiation and chemotherapy treatments and may be using other approved products or investigational new drugs, which can cause side effects or adverse events that are unrelated to OP-1250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OP-1250 or any future product candidates we may develop.</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do not know whether our current clinical trial of OP-1250 or any future clinical trials we may conduct will demonstrate consistent or adequate efficacy and safety to obtain regulatory approval to market OP-1250 or any future product candidates we may develop. Most product candidates that begin clinical trials are never approved by regulatory authorities for commercialization. If we are unable to bring OP-1250 or any future product candidates to market, our ability to create long-term stockholder value will be limited.</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we may rely in part on nonclinical, clinical and quality data generated by CROs and other third parties for regulatory submissions for OP-1250.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Moreover, nonclinical and clinical data are often susceptible to varying interpretations and analyses and many companies that believed their product candidates performed satisfactorily in nonclinical studies and clinical trials nonetheless failed to obtain FDA, EMA or comparable foreign regulatory authority approval. We cannot guarantee that the FDA or foreign regulatory authorities will interpret trial results as we do, and more trials could be required before we are able to submit an application seeking approval of OP-1250 or any future product candidates we may develop. To the extent that the results of the trials are not satisfactory to the FDA or foreign regulatory authorities for support of a marketing application, we may be required to expend significant resources, which may not be available to us, to conduct additional trials in support of potential approval of OP-1250 or any future product candidates we may develop. Even if regulatory approval is secured for OP-1250, the terms of such approval may limit the scope and use of OP-1250, which may also limit its commercial potential. Furthermore, the approval policies or regulations of the FDA, EMA or comparable foreign regulatory authorities may significantly change in a manner rendering our clinical data insufficient for approval, which may lead to the FDA, EMA or comparable foreign regulatory authorities delaying, limiting or denying approval of OP-1250, including and any other indication we are seeking for approval under OP-1250.</w:t>
      </w:r>
    </w:p>
    <w:p>
      <w:pPr>
        <w:spacing w:after="0" w:line="192"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The regulatory approval processes of the FDA, EMA and comparable foreign authorities are lengthy, time consuming and inherently unpredictable, and if we are ultimately unable to obtain regulatory approval for OP-1250 or any future product candidates we may develop, our business, financial condition, results of operations and prospects will be significantly harmed.</w:t>
      </w:r>
    </w:p>
    <w:p>
      <w:pPr>
        <w:spacing w:after="0" w:line="19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time required to obtain approval by the FDA, EMA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Applications for OP-1250 could fail to receive regulatory approval for many reasons, including the following:</w:t>
      </w:r>
    </w:p>
    <w:p>
      <w:pPr>
        <w:spacing w:after="0" w:line="212" w:lineRule="exact"/>
        <w:rPr>
          <w:sz w:val="20"/>
          <w:szCs w:val="20"/>
          <w:color w:val="auto"/>
        </w:rPr>
      </w:pPr>
    </w:p>
    <w:p>
      <w:pPr>
        <w:ind w:left="720" w:right="79" w:hanging="319"/>
        <w:spacing w:after="0" w:line="246"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the design, implementation or results of our clinical trials;</w:t>
      </w:r>
    </w:p>
    <w:p>
      <w:pPr>
        <w:spacing w:after="0" w:line="196" w:lineRule="exact"/>
        <w:rPr>
          <w:rFonts w:ascii="Arial" w:cs="Arial" w:eastAsia="Arial" w:hAnsi="Arial"/>
          <w:sz w:val="18"/>
          <w:szCs w:val="18"/>
          <w:color w:val="231F20"/>
        </w:rPr>
      </w:pPr>
    </w:p>
    <w:p>
      <w:pPr>
        <w:jc w:val="both"/>
        <w:ind w:left="720" w:right="79" w:hanging="319"/>
        <w:spacing w:after="0" w:line="238"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determine that OP-1250 is not safe and effective, only moderately effective or have undesirable or unintended side effects, toxicities or other characteristics that preclude our obtaining marketing approval or prevent or limit commercial use;</w:t>
      </w:r>
    </w:p>
    <w:p>
      <w:pPr>
        <w:spacing w:after="0" w:line="204"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population studied in the clinical trial may not be sufficiently broad or representative to assure efficacy and safety in the full population for which we seek approval;</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disagree with our interpretation of data from nonclinical studies or clinical trials;</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data collected from clinical trials of OP-1250 may not be sufficient to support the submission of a NDA, or other submission or to obtain regulatory approval in the United States or elsewhere;</w:t>
      </w:r>
    </w:p>
    <w:p>
      <w:pPr>
        <w:spacing w:after="0" w:line="196" w:lineRule="exact"/>
        <w:rPr>
          <w:rFonts w:ascii="Arial" w:cs="Arial" w:eastAsia="Arial" w:hAnsi="Arial"/>
          <w:sz w:val="18"/>
          <w:szCs w:val="18"/>
          <w:color w:val="231F20"/>
        </w:rPr>
      </w:pPr>
    </w:p>
    <w:p>
      <w:pPr>
        <w:ind w:left="720" w:right="79" w:hanging="319"/>
        <w:spacing w:after="0" w:line="246" w:lineRule="auto"/>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we may be unable to demonstrate to the FDA, EMA or other comparable foreign regulatory authorities that OP-1250’s risk-benefit ratio for its proposed indication is acceptable;</w:t>
      </w:r>
    </w:p>
    <w:p>
      <w:pPr>
        <w:spacing w:after="0" w:line="196" w:lineRule="exact"/>
        <w:rPr>
          <w:rFonts w:ascii="Arial" w:cs="Arial" w:eastAsia="Arial" w:hAnsi="Arial"/>
          <w:sz w:val="18"/>
          <w:szCs w:val="18"/>
          <w:color w:val="231F20"/>
        </w:rPr>
      </w:pPr>
    </w:p>
    <w:p>
      <w:pPr>
        <w:jc w:val="both"/>
        <w:ind w:left="720" w:right="79" w:hanging="319"/>
        <w:spacing w:after="0"/>
        <w:tabs>
          <w:tab w:leader="none" w:pos="720" w:val="left"/>
        </w:tabs>
        <w:numPr>
          <w:ilvl w:val="0"/>
          <w:numId w:val="22"/>
        </w:numPr>
        <w:rPr>
          <w:rFonts w:ascii="Arial" w:cs="Arial" w:eastAsia="Arial" w:hAnsi="Arial"/>
          <w:sz w:val="18"/>
          <w:szCs w:val="18"/>
          <w:color w:val="231F20"/>
        </w:rPr>
      </w:pPr>
      <w:r>
        <w:rPr>
          <w:rFonts w:ascii="Arial" w:cs="Arial" w:eastAsia="Arial" w:hAnsi="Arial"/>
          <w:sz w:val="18"/>
          <w:szCs w:val="18"/>
          <w:color w:val="231F20"/>
        </w:rPr>
        <w:t>the FDA, EMA or other comparable foreign regulatory authorities may fail to approve the manufacturing processes, test procedures and specifications or facilities of third-party manufacturers with which we contract for clinical and commercial supplies;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23"/>
        </w:numPr>
        <w:rPr>
          <w:rFonts w:ascii="Arial" w:cs="Arial" w:eastAsia="Arial" w:hAnsi="Arial"/>
          <w:sz w:val="18"/>
          <w:szCs w:val="18"/>
          <w:color w:val="auto"/>
        </w:rPr>
      </w:pPr>
      <w:r>
        <w:rPr>
          <w:rFonts w:ascii="Arial" w:cs="Arial" w:eastAsia="Arial" w:hAnsi="Arial"/>
          <w:sz w:val="18"/>
          <w:szCs w:val="18"/>
          <w:color w:val="231F20"/>
        </w:rPr>
        <w:t>the approval policies or regulations of the FDA, EMA or other comparable foreign regulatory authorities may significantly change in a manner rendering our clinical data insufficient for approval.</w:t>
      </w:r>
    </w:p>
    <w:p>
      <w:pPr>
        <w:spacing w:after="0" w:line="19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This lengthy approval process, as well as the unpredictability of the results of clinical trials, may result in our failing to obtain regulatory approval to market OP-1250, which would significantly harm our business, financial condition, results of operations and prospects.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even if we obtain approval of OP-1250 for a lead indication, regulatory authorities may not approve OP-1250 for other indications, may impose significant limitations in the form of narrow indications, warnings, or a Risk Evaluation and Mitigation Strategy, or REMS. Certain regulatory authorities may grant approval contingent on the performance of costly post-marketing clinical trials or may approve OP-1250 with a label that does not include the labeling claims necessary or desirable for successful. In addition, regulatory authorities in certain countries may not approve the price we intend to charge for the product we develop. If we are unable to obtain regulatory approval of OP-1250, or if regulatory approval is limited, our business, financial condition, results of operation and prospects will be significantly harmed.</w:t>
      </w:r>
    </w:p>
    <w:p>
      <w:pPr>
        <w:spacing w:after="0" w:line="18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Delays in clinical trials are common and have many causes, and any delay could result in increased costs to us and jeopardize or delay our ability to obtain regulatory approval and commence product sales.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experience delays in clinical trials of OP-1250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spacing w:after="0" w:line="205" w:lineRule="exact"/>
        <w:rPr>
          <w:sz w:val="20"/>
          <w:szCs w:val="20"/>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the FDA, EMA or comparable foreign regulatory authorities disagreeing as to the design or implementation of our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obtaining regulatory authorizations to commence a trial or reaching a consensus with regulatory authorities on trial design;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any failure or delay in reaching an agreement with CROs and clinical trial sites, the terms of which can be subject to extensive negotiation and may vary significantly among different CROs and trial sites;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obtaining approval from one or more institutional review boards, or IRBs;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IRBs refusing to approve, suspending or terminating the trial at an investigational site, precluding enrollment of additional subjects, or withdrawing their approval of the trial;</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changes to clinical trial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clinical sites deviating from trial protocol or dropping out of a trial;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manufacturing sufficient quantities of product candidate or obtaining sufficient quantities of combination therapies for use in clinical trials;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subjects failing to enroll or remain in our trial at the rate we expect, or failing to return for post-treatment follow- up;</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delays in enrollment by subjects, or completion of the trial by subjects, due to the COVID-19 pandemic;</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4"/>
        </w:numPr>
        <w:rPr>
          <w:rFonts w:ascii="Arial" w:cs="Arial" w:eastAsia="Arial" w:hAnsi="Arial"/>
          <w:sz w:val="18"/>
          <w:szCs w:val="18"/>
          <w:color w:val="auto"/>
        </w:rPr>
      </w:pPr>
      <w:r>
        <w:rPr>
          <w:rFonts w:ascii="Arial" w:cs="Arial" w:eastAsia="Arial" w:hAnsi="Arial"/>
          <w:sz w:val="18"/>
          <w:szCs w:val="18"/>
          <w:color w:val="231F20"/>
        </w:rPr>
        <w:t>subjects choosing an alternative treatment for the indication for which we are developing OP-1250, or participating in competing clinical trials;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lack of adequate funding to continue the clinical trial;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subjects experiencing severe or unexpected drug-related adverse effects;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regulatory authorities imposing a clinical hold;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occurrence of serious adverse events in trials of the same class of agents conducted by other companies;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selection of clinical end points that require prolonged periods of clinical observation or analysis of the resulting data;</w:t>
      </w:r>
    </w:p>
    <w:p>
      <w:pPr>
        <w:spacing w:after="0" w:line="196" w:lineRule="exact"/>
        <w:rPr>
          <w:rFonts w:ascii="Arial" w:cs="Arial" w:eastAsia="Arial" w:hAnsi="Arial"/>
          <w:sz w:val="18"/>
          <w:szCs w:val="18"/>
          <w:color w:val="auto"/>
        </w:rPr>
      </w:pPr>
    </w:p>
    <w:p>
      <w:pPr>
        <w:jc w:val="both"/>
        <w:ind w:left="720" w:right="79" w:hanging="319"/>
        <w:spacing w:after="0" w:line="237"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shutdowns, either temporarily or permanently, of any facility manufacturing OP-1250 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requirements, or infections or cross-contaminations of OP-1250 or any future product candidate we may develop in the manufacturing process;</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any changes to our manufacturing process that may be necessary or desired;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contractors not performing data collection or analysis in a timely or accurate manner; or</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5"/>
        </w:numPr>
        <w:rPr>
          <w:rFonts w:ascii="Arial" w:cs="Arial" w:eastAsia="Arial" w:hAnsi="Arial"/>
          <w:sz w:val="18"/>
          <w:szCs w:val="18"/>
          <w:color w:val="auto"/>
        </w:rPr>
      </w:pPr>
      <w:r>
        <w:rPr>
          <w:rFonts w:ascii="Arial" w:cs="Arial" w:eastAsia="Arial" w:hAnsi="Arial"/>
          <w:sz w:val="18"/>
          <w:szCs w:val="18"/>
          <w:color w:val="231F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We could also encounter delays if a clinical trial is suspended or terminated by us, by the IRBs of the institutions in which such trials are being conducted, by a Data Safety Monitoring Board for such trial or by the FDA, </w:t>
      </w:r>
      <w:r>
        <w:rPr>
          <w:rFonts w:ascii="Arial" w:cs="Arial" w:eastAsia="Arial" w:hAnsi="Arial"/>
          <w:sz w:val="18"/>
          <w:szCs w:val="18"/>
          <w:color w:val="231F20"/>
        </w:rPr>
        <w:t xml:space="preserve">competent authorities of EU Member States </w:t>
      </w:r>
      <w:r>
        <w:rPr>
          <w:rFonts w:ascii="Arial" w:cs="Arial" w:eastAsia="Arial" w:hAnsi="Arial"/>
          <w:sz w:val="18"/>
          <w:szCs w:val="18"/>
          <w:color w:val="000000"/>
        </w:rPr>
        <w:t>or comparable foreign regulatory authorities. Such authorities may</w:t>
      </w:r>
      <w:r>
        <w:rPr>
          <w:rFonts w:ascii="Arial" w:cs="Arial" w:eastAsia="Arial" w:hAnsi="Arial"/>
          <w:sz w:val="18"/>
          <w:szCs w:val="18"/>
          <w:color w:val="231F20"/>
        </w:rPr>
        <w:t xml:space="preserve"> </w:t>
      </w:r>
      <w:r>
        <w:rPr>
          <w:rFonts w:ascii="Arial" w:cs="Arial" w:eastAsia="Arial" w:hAnsi="Arial"/>
          <w:sz w:val="18"/>
          <w:szCs w:val="18"/>
          <w:color w:val="000000"/>
        </w:rPr>
        <w:t xml:space="preserve">impose such a suspension or termination due to a number of factors, including failure to conduct the clinical trial in accordance with regulatory requirements or our clinical protocols, inspection of the clinical trial operations or trial site by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xml:space="preserve">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for reexamination, which may impact the costs, timing or successful completion of a clinical trial.</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Further, conducting clinical trials in foreign countries, as we may do for OP-1250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202"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If we experience delays in the completion of, or termination of, any clinical trial of OP-1250 or any product candidates we may develop in the future, the commercial prospects of OP-1250 or any product candidates we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may develop in the future will be harmed, and our ability to generate product revenues from OP-1250 or any product candidates we may develop in the future will be delayed. Moreover, any delays in completing our clinical trials will increase our costs, slow down OP-1250’s or any product candidates we may develop in the future’s development and approval process and jeopardize our ability to commence product sales and generate revenues.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many of the factors that cause, or lead to, termination or suspension of, or a delay in the commencement or completion of, clinical trials may also ultimately lead to the denial of regulatory approval of OP-1250 or any product candidates we may develop in the future. Any delays in our clinical trials that occur as a result could shorten any period during which we may have the exclusive right to commercialize OP-1250 or any product candidates we may develop in the future and our competitors may be able to bring products to market before we do, and the commercial viability of OP-1250 or any product candidates we may develop in the future could be significantly reduced. Any of these occurrences may significantly harm our business, financial condition, results of operations and prospects.</w:t>
      </w:r>
    </w:p>
    <w:p>
      <w:pPr>
        <w:spacing w:after="0" w:line="186"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Although we have received Fast Track designation for OP-1250 for ER+/HER2- metastatic breast cancer that has progressed following one or more lines of endocrine therapy with at least one line given in combination with a CDK4/6 inhibitor, we may be unable to obtain or maintain the benefits associated with such designation.</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July 2022, we were granted FDA Fast Track designation for OP-1250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Because we are pursuing a variety of target indications for OP-1250, we may expend our limited resources to pursue a particular indication and fail to capitalize on indications or additional product candidates that may be more profitable or for which there is a greater likelihood of success.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currently focused on pursuing a variety of target indications for OP-1250, and we have expended, and plan to continue to expend, significant resources to pursue these and other indications for OP-1250. In addition, in March 2023, we underwent a corporate restructuring and portfolio prioritization to focus our resources on late-stage clinical development of OP-1250.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approved, OP-1250 may not achieve adequate market acceptance among physicians, patients, healthcare payors and others in the medical community necessary for commercial success.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Even if OP-1250 receives regulatory approval, it may not gain adequate market acceptance among physicians, patients, healthcare payors and others in the medical community. The degree of market acceptance would depend on a number of factors, including:</w:t>
      </w:r>
    </w:p>
    <w:p>
      <w:pPr>
        <w:spacing w:after="0" w:line="203" w:lineRule="exact"/>
        <w:rPr>
          <w:sz w:val="20"/>
          <w:szCs w:val="20"/>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efficacy and safety profile as demonstrated in clinical trials compared to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timing of market introduction of the product candidate as well as competitive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clinical indications for which the product candidate is approved;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restrictions on the use of OP-1250, such as boxed warnings or contraindications in labeling, or a REMS, if any, which may not be required of alternative treatments and competitor products;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potential and perceived advantages of product candidates over alternative treatments;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cost of treatment in relation to alternative treatments;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our pricing and the availability of coverage and adequate reimbursement by third-party payors, including government authorities;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availability of OP-1250 for use as a combination therapy;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relative convenience and ease of administration;</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willingness of the target patient population to try new therapies and of physicians to prescribe these therapies;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effectiveness of sales and marketing efforts;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unfavorable publicity relating to OP-1250 or similar approved products or product candidates in development by third parties;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6"/>
        </w:numPr>
        <w:rPr>
          <w:rFonts w:ascii="Arial" w:cs="Arial" w:eastAsia="Arial" w:hAnsi="Arial"/>
          <w:sz w:val="18"/>
          <w:szCs w:val="18"/>
          <w:color w:val="auto"/>
        </w:rPr>
      </w:pPr>
      <w:r>
        <w:rPr>
          <w:rFonts w:ascii="Arial" w:cs="Arial" w:eastAsia="Arial" w:hAnsi="Arial"/>
          <w:sz w:val="18"/>
          <w:szCs w:val="18"/>
          <w:color w:val="231F20"/>
        </w:rPr>
        <w:t>the approval of other new therapies for the same indications.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If OP-1250 is approved but does not achieve an adequate level of acceptance by physicians, hospitals, healthcare payors and patients, we may not generate or derive sufficient revenue and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maintenance of patients in clinical trials, our clinical development activities could be delayed or otherwise adversely affected.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OP-1250, or any future product candidate we may develop, if we are unable to locate and enroll a sufficient number of eligible patients to participate in these trials to such trial’s conclusion as required by the FDA, EMA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Patient enrollment may also be affected if our competitors have ongoing clinical trials for product candidates that are under development for the same indications as OP-1250,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spacing w:after="0" w:line="202"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size and nature of the patient population;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severity of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availability and efficacy of approved drugs for the disease under investigation;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patient eligibility criteria for the trial in question as defined in the protocol;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perceived risks and benefits of the product candidate under study;</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clinicians’ and patients’ perceptions as to the potential advantages of the product candidate being studied in relation to other available therapies, including any new products that may be approved for the indications we are investigating;</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efforts to facilitate timely enrollment in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patient referral practices of physicians;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ability to monitor patients adequately during and after treatment;</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proximity and availability of clinical trial sites for prospective patients;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continued enrollment of prospective patients by clinical trial sites;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risk that patients enrolled in clinical trials will drop out of the trials before completion or, because they may be late-stage cancer patients, will not survive the full terms of the clinical trials;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231F20"/>
        </w:rPr>
        <w:t>the level of resources that clinical sites have to conduct a growing number of clinical studies.</w:t>
      </w:r>
    </w:p>
    <w:p>
      <w:pPr>
        <w:spacing w:after="0" w:line="22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OP-1250 or any future product candidate we may develop and jeopardize our ability to obtain marketing approval for the sale of OP-1250 or any product candidate we may develop in the future. Furthermore, even if we are able to enroll a sufficient number of patients for our clinical trials, we may have difficulty maintaining enrollment of such patients in our clinical trials.</w:t>
      </w:r>
    </w:p>
    <w:p>
      <w:pPr>
        <w:spacing w:after="0" w:line="18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We intend to develop OP-1250, and may develop future product candidates, in combination with other therapies, which exposes us to additional risks.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intend to develop OP-1250, and may develop other future product candidates, in combination with one or more other approved or unapproved therapies to treat cancer or other diseases. For example, in December 2021, we initiated a Phase 1b clinical study of OP-1250 in a combination trial with a cyclin-dependent kinase 4 and 6 inhibitor, and in the third quarter of 2022 we initiated Phase 1b clinical studies of OP-1250 in combination with another CDK4/6 inhibitor and with a PI3Ka inhibitor.</w:t>
      </w:r>
    </w:p>
    <w:p>
      <w:pPr>
        <w:spacing w:after="0" w:line="21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Even if OP-1250, or any future product candidate we develop, were to receive marketing approval or be commercialized for use in combination with other existing therapies, we would continue to be subject to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risks that the FDA, EMA or comparable foreign regulatory authorities could revoke approval of the therapy used in combination with our product or that safety, efficacy, manufacturing or supply issues could arise with any of those existing therapies. If the therapies we use in combination with OP-1250, or any future product candidate we may develop, are replaced as the standard of care for the indications we choose for OP-1250 or any future product candidate we may develop, the FDA, EMA or comparable foreign regulatory authorities may require us to conduct additional clinical trials. The occurrence of any of these risks could result in our own product, if approved, being removed from the market or being less successful commercially.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also may choose to evaluate OP-1250 or future product candidates in combination with one or more cancer therapies that have not yet been approved for marketing by the FDA, EMA or comparable foreign regulatory authorities. We will not be able to market and sell OP-1250,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OP-1250 currently in development and clinical trials, including the potential for serious adverse effects, delay in their clinical trials and lack of FDA, EMA or comparable foreign regulatory approval.</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FDA, EMA or comparable foreign regulatory authorities do not approve these other drugs or revoke their approval of, or if safety, efficacy, quality, manufacturing or supply issues arise with, the drugs we choose to evaluate in combination with OP-1250 or future product candidates we may develop, we may be unable to obtain approval of or market such combination therapy.</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Risks associated with the in-licensing or acquisition of drug candidates could cause substantial delays in the preclinical and clinical development of our drug candidates.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 Our rights to use any licensed intellectual property may be subject to the continuation of and our compliance with the terms of any such agreements.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spacing w:after="0" w:line="181"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The incidence and prevalence for target patient populations of OP-1250 are based on estimates and third-party sources.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spacing w:after="0" w:line="20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incidence and prevalence for target patient populations of OP-1250 are based on estimates and third-party sources. These estimates may be inaccurate or based on imprecise data. For example, the total addressable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OP-1250,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 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From time to time, we may also disclose interim data from our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the interim, top-line, or preliminary data that we report differ from actual results, or if others, including regulatory authorities, disagree with the conclusions reached, our ability to obtain approval for, and commercialize, OP-1250 or any future product candidates we may develop may be harmed,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face significant competition, and if our competitors develop and market technologies or products more rapidly than we do or that are more effective, safer or less expensive than OP-1250, or product candidates we may develop in the future, our commercial opportunities will be negatively impacted.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OP-1250.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treatment of conditions for which we are attempting to develop OP-1250. Products we may develop in the future are also likely to face competition from other products and therapies, some of which we may not currently be aware. In addition, OP-1250 and any product candidate that we may develop in the future may need to compete with off- label drugs used by physicians to treat the indications for which we seek approval. This may make it difficult for us to replace existing therapies with OP-1250 and any product candidate that we may develop in the future.</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agencies,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spacing w:after="0" w:line="208" w:lineRule="exact"/>
        <w:rPr>
          <w:sz w:val="20"/>
          <w:szCs w:val="20"/>
          <w:color w:val="auto"/>
        </w:rPr>
      </w:pPr>
    </w:p>
    <w:p>
      <w:pPr>
        <w:jc w:val="both"/>
        <w:ind w:left="60" w:right="59"/>
        <w:spacing w:after="0" w:line="224" w:lineRule="auto"/>
        <w:rPr>
          <w:sz w:val="20"/>
          <w:szCs w:val="20"/>
          <w:color w:val="auto"/>
        </w:rPr>
      </w:pPr>
      <w:r>
        <w:rPr>
          <w:rFonts w:ascii="Arial" w:cs="Arial" w:eastAsia="Arial" w:hAnsi="Arial"/>
          <w:sz w:val="18"/>
          <w:szCs w:val="18"/>
          <w:color w:val="auto"/>
        </w:rPr>
        <w:t>If we are successful in developing OP-1250, it may compete against existing products and product candidates in development, to the extent any such product candidates are approved, for the treatment of estrogen receptor-positive, or ER+, breast cancer, including fulvestrant, marketed as Faslodex® by AstraZeneca PLC and or any generic equivalents of Faslodex® that are marketed or in development; elacestrant, marketed as ORSERDU</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by Stemline Therapeutics Inc.; giredestrant (GDC-9545), being developed by Roche Holding AG/Genentech, Inc.; camizestrant (AZD9833), being developed by AstraZeneca PLC; imlunestrant (LY3484356), being developed by Eli Lilly and Co.; ARV 471, being developed by Arvinas, Inc.; and lasofoxifene, being developed by Sermonix Pharmaceuticals.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chosen to initially address well -validated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EMA or other comparable foreign regulatory authorities or in discovering, developing and commercializing products in our field before we do.</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EMA or other comparable foreign regulatory authorities for their products more rapidly than we may obtain approval for ours, which could result in our competitors establishing a strong market position before we are able to enter the market. Even if OP-1250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OP-1250 or product candidates we may develop in the future obsolete, less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competitive or not economical. If we are unable to compete effectively, our opportunity to generate revenue from the sale of our product we may develop, if approved, would be adversely affected.</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methods of OP-1250 manufacturing or formulation may result in additional costs or delay.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OP-1250 progresses through nonclinical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OP-1250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OP-1250 and jeopardize our ability to commercialize OP-1250, if approved, and generate revenue.</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Any product candidate we develop may become subject to unfavorable third-party coverage and reimbursement practices, as well as pricing regulations.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OP-1250,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OP-1250 or any future product candidates we may develop. Even if coverage is provided, the approved reimbursement amount may not be high enough to allow us to establish or maintain pricing sufficient to realize an adequate 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spacing w:after="0" w:line="20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OP-1250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spacing w:after="0" w:line="20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such as OP-1250 or any future product candidates we may develop. In many countries, particularly the countries of the European Union,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OP-1250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OP-1250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 Even if favorable coverage and reimbursement status is attained for a product for which we receive regulatory approval, less favorable coverage policies and reimbursement rates may be implemented in the future.</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Guidelines and recommendations published by various organizations can reduce the use of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Government agencies promulgate regulations and guidelines directly applicable to us and to OP-1250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agencies or these other groups or organizations may relate to such matters as usage, dosage, route of administration and use of concomitant therapies. Recommendations or guidelines suggesting the reduced use of OP-1250 or any future product candidates we may develop or the use of competitive or alternative products as the standard of care to be followed by patients and healthcare providers could result in decreased use of OP-1250 or any future product candidates we may develop.</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regulatory approval and other legal compliance matters</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be unable to obtain U.S. or foreign regulatory approvals and, as a result, may be unable to commercialize OP-1250 or any future product candidate we may develop.</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OP-1250 is,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process must be successfully completed in the United States and in many foreign jurisdictions before a new drug can be marketed. Satisfaction of these and other regulatory requirements is costly, time consuming, uncertain and subject to unanticipated delays. We cannot provide any assurance that OP-1250 or any product candidate we may develop will progress through required clinical testing and obtain the regulatory approvals necessary for us to begin selling them.</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or other comparable foreign regulatory authorities’ policies during the period of drug development, clinical trials and FDA, EMA or other comparable foreign regulatory authorities’ regulatory review.</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also become subject to numerous foreign regulatory requirements governing, among other things, the conduct of clinical trials and manufacturing of OP-1250. The foreign regulatory approval process 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significantly harm our business, financial condition, results of operations and prospects.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or other regulatory authority investigation of the safety and effectiveness of our product, our manufacturing processes and facilities or our marketing programs. The FDA, EMA or other regulatory authority investigations could potentially lead to a recall of our product or more serious enforcement action, limitations on the approved indications for which it may be used or suspension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OP-1250,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OP-1250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pharmaceuticals generally, it is likely that there may be side effects and adverse events associated with the use of OP-1250 or any future product candidates we may develop. For example, during the Phase 1a portion of our Phase 1/2 clinical study, three patients had grade 4 neutropenia attributed to study drug by the investigator, and two of these patients presented with fever and neutropenia. Results of our clinical trials could reveal a high and unacceptable severity and prevalence of side effects or unexpected characteristics. Undesirable side effects caused by OP-1250 or any future product candidates we may develop could cause us or regulatory authorities to interrupt, delay or halt clinical trials and could result in a more restrictive label or the delay or denial of regulatory approval by the FDA, EMA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OP-1250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Patients in our ongoing and planned clinical trials may in the future suffer significant adverse events or other side effects not observed in our nonclinical studies or previous clinical trials. OP-1250 or any future product candidates we may develop, may be used as chronic therapies or be used in pediatric populations, for which safety concerns may be particularly scrutinized by regulatory agencies. In addition, if OP-1250 or any future product candidates we may develop, are used in combination with other therapies, OP-1250 or any future product candidates we may develop may exacerbate adverse events associated with the therapy and it may not be possible to determine whether it was caused by our product or the one with which it was combined. Patients treated with OP-1250 or any future candidates we may develop, may also be undergoing surgical, radiation and chemotherapy treatments, which can cause side effects or adverse events that are unrelated to OP-1250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cs="Arial" w:eastAsia="Arial" w:hAnsi="Arial"/>
          <w:sz w:val="18"/>
          <w:szCs w:val="18"/>
          <w:color w:val="231F20"/>
        </w:rPr>
        <w:t>competent authorities of EU Member States</w:t>
      </w:r>
      <w:r>
        <w:rPr>
          <w:rFonts w:ascii="Arial" w:cs="Arial" w:eastAsia="Arial" w:hAnsi="Arial"/>
          <w:sz w:val="18"/>
          <w:szCs w:val="18"/>
          <w:color w:val="000000"/>
        </w:rPr>
        <w:t>, other comparable regulatory authorities or an IRB may suspend</w:t>
      </w:r>
      <w:r>
        <w:rPr>
          <w:rFonts w:ascii="Arial" w:cs="Arial" w:eastAsia="Arial" w:hAnsi="Arial"/>
          <w:sz w:val="18"/>
          <w:szCs w:val="18"/>
          <w:color w:val="231F20"/>
        </w:rPr>
        <w:t xml:space="preserve"> </w:t>
      </w:r>
      <w:r>
        <w:rPr>
          <w:rFonts w:ascii="Arial" w:cs="Arial" w:eastAsia="Arial" w:hAnsi="Arial"/>
          <w:sz w:val="18"/>
          <w:szCs w:val="18"/>
          <w:color w:val="000000"/>
        </w:rPr>
        <w:t>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OP-1250 obtains marketing approval, toxicities associated with OP-1250 and not seen during clinical testing may also develop after such</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OP-1250 will cause toxicities in humans that would preclude or lead to the revocation of regulatory approval based on nonclinical studies or early-stage clinical trials.</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The FDA, EMA and other comparable foreign regulatory authorities may not accept data from trials conducted in locations outside of their jurisdiction.</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choose to conduct international clinical trials in the future. The acceptance of study data by the FDA, EMA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or any applicable foreign regulatory authority will accept data from trials conducted outside of its applicable jurisdiction. If the FDA, EMA or any applicable foreign regulatory authority does not accept such data, it would result in the need for additional trials, which would be costly and time-consuming and delay aspects of our business plan, and which may result in OP-1250 or any future product candidates we may develop not receiving approval for commercialization in the applicable jurisdiction.</w:t>
      </w:r>
    </w:p>
    <w:p>
      <w:pPr>
        <w:spacing w:after="0" w:line="191"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Obtaining and maintaining regulatory approval of OP-1250, or any product candidate we develop in the future, in one jurisdiction does not mean that we will be successful in obtaining regulatory approval of OP-1250, or any product candidate we develop in the future, in other jurisdictions.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Obtaining and maintaining regulatory approval of OP-1250, or any product candidate we develop in the future, in one jurisdiction does not guarantee that we will be able to obtain or maintain regulatory approval in any other jurisdiction. For example, even if the FDA, EMA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OP-1250, or any product candidate we develop in the future, will be harmed.</w:t>
      </w:r>
    </w:p>
    <w:p>
      <w:pPr>
        <w:spacing w:after="0" w:line="183"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Even if OP-1250, or any product candidate we develop in the future, receives regulatory approval, it will be subject to significant post-marketing regulatory requirements and oversight.</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regulatory approvals that we may receive for OP-1250, or any product candidate we develop in the future, will require the submission of reports to regulatory authorities and surveillance to monitor the safety and efficacy</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OP-1250, which could entail requirements for a medication guide, physician training and communication plans or additional elements to ensure safe use, such as restricted distribution methods, patient registries and other risk minimization tools. In addition, if the FDA, EMA or applicable foreign regulatory authorities approve OP-1250 or any product candidate we develop in the future, the manufacturing processes, labeling, packaging, distribution, adverse event reporting, storage, advertising, promotion, import, export and recordkeeping for OP-1250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including:</w:t>
      </w:r>
    </w:p>
    <w:p>
      <w:pPr>
        <w:spacing w:after="0" w:line="213" w:lineRule="exact"/>
        <w:rPr>
          <w:sz w:val="20"/>
          <w:szCs w:val="20"/>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delays in or the rejection of product approvals;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our ability to conduct clinical trials, including full or partial clinical holds on ongoing or planned trials;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restrictions on the products, manufacturers or manufacturing process;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warning letters;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civil and criminal penalties;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injunctions;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suspension or withdrawal of regulatory approvals;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product seizures, detentions or import bans;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voluntary or mandatory product recalls and publicity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total or partial suspension of production;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231F20"/>
        </w:rPr>
        <w:t>imposition of restrictions on operations, including costly new manufacturing requirements.</w:t>
      </w:r>
    </w:p>
    <w:p>
      <w:pPr>
        <w:spacing w:after="0" w:line="225"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The occurrence of any event or penalty described above may inhibit our ability to commercialize OP-1250, or any product candidate we may develop in the future, and generate revenue and could require us to expend significant time and resources in response and could generate negative publicity.</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OP-1250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OP-1250 or any future product candidate we may develop is approved for marketing, and we are found to have improperly promoted off-label uses of those products, we may become subject to significant liability. The FDA and other regulatory agencies strictly regulate the promotional claims that may be made about prescription products, such as OP-1250 or any future product candidates we may develop, if approved. In particular, a product may not be promoted for uses that are not approved by the FDA or such other regulatory agencies as reflected in the product’s approved labeling. If we receive marketing approval for OP-1250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OP-1250 or any future product candidates we may develop, if approved, we could become subject to significant liability, which would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Disruptions at the FDA, EMA, applicable foreign regulatory authorities, the U.S. Securities and Exchange Commission, or the SEC,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significantly harm our business, financial condition, results of operations and prospects.</w:t>
      </w:r>
    </w:p>
    <w:p>
      <w:pPr>
        <w:spacing w:after="0" w:line="20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ability of the FDA, EMA or any applicable foreign regulatory authority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agencies have fluctuated in recent years as a result and could be delayed.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Future government shutdowns or delays could impact our ability to access the public markets and obtain necessary capital in order to properly capitalize and continue our operations.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We may attempt to secure approval from the FDA, EMA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accelerated approval from the FDA, EMA or comparable foreign regulatory authorities, if our confirmatory trials do not verify clinical benefit, or if we do not comply with rigorous post-marketing requirements, the FDA, EMA or comparable foreign regulatory authorities may seek to withdraw any accelerated approval.</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in the future seek an accelerated approval for OP-1250 or future product candidates we may develop.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Prior to seeking accelerated approval for OP-1250,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OP-1250,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OP-1250 would result in a longer time period to commercialization of such product candidate, could increase the cost of development of OP-1250 and could harm our competitive position in the marketplace.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face difficulties from changes to current regulations and future legislation.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Existing regulatory policies may change, and additional government regulations may be enacted that could prevent, limit or delay regulatory approval of OP-1250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In addition, Congress is considering additional health reform measures. These laws may result in additional reductions in Medicare and other healthcare funding, which could have a material adverse effect on potential customers for our drugs, if approved, and accordingly, our business.</w:t>
      </w:r>
    </w:p>
    <w:p>
      <w:pPr>
        <w:spacing w:after="0" w:line="20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will take effect progressively starting in fiscal year 2023, although they may be subject to legal challenges. In addition, the Biden administration released an additional executive order on October 14, 2022, directing HHS to report on how the Center for Medicare and Medicaid Innovation can be further leveraged to test new models for lowering drug costs for Medicare and Medicaid beneficiaries. It is currently unclear how the IRA will be implemented but is likely to have a significant impact on the pharmaceutical industry. 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OP-1250 or any future product candidates we may develop.</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OP-1250 or any future product candidates we may develop, if any, may be.</w:t>
      </w:r>
    </w:p>
    <w:p>
      <w:pPr>
        <w:spacing w:after="0" w:line="180" w:lineRule="exact"/>
        <w:rPr>
          <w:sz w:val="20"/>
          <w:szCs w:val="20"/>
          <w:color w:val="auto"/>
        </w:rPr>
      </w:pPr>
    </w:p>
    <w:p>
      <w:pPr>
        <w:jc w:val="both"/>
        <w:ind w:left="60" w:right="59"/>
        <w:spacing w:after="0"/>
        <w:rPr>
          <w:sz w:val="20"/>
          <w:szCs w:val="20"/>
          <w:color w:val="auto"/>
        </w:rPr>
      </w:pPr>
      <w:r>
        <w:rPr>
          <w:rFonts w:ascii="Arial" w:cs="Arial" w:eastAsia="Arial" w:hAnsi="Arial"/>
          <w:sz w:val="18"/>
          <w:szCs w:val="18"/>
          <w:b w:val="1"/>
          <w:bCs w:val="1"/>
          <w:i w:val="1"/>
          <w:iCs w:val="1"/>
          <w:color w:val="auto"/>
        </w:rPr>
        <w:t>Our relationships with healthcare professionals, clinical investigators, CROs and third party payors in connection with our current and future business activities may be subject to federal and state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our product candidate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spacing w:after="0" w:line="203" w:lineRule="exact"/>
        <w:rPr>
          <w:sz w:val="20"/>
          <w:szCs w:val="20"/>
          <w:color w:val="auto"/>
        </w:rPr>
      </w:pPr>
    </w:p>
    <w:p>
      <w:pPr>
        <w:jc w:val="both"/>
        <w:ind w:left="720" w:right="79" w:hanging="319"/>
        <w:spacing w:after="0" w:line="236"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spacing w:after="0" w:line="20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the federal Health Insurance Portability and Accountability Act of 1996, or HIPAA, prohibits, among other things, executing or attempting to execute a scheme to defraud any healthcare benefit program or making false statements relating to healthcare matters. Similar to the federal Anti-Kickback Statute, a person or entity does not need to have actual knowledge of the statute or specific intent to violate it in order to have committed a violation;</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231F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spacing w:after="0" w:line="238" w:lineRule="auto"/>
        <w:rPr>
          <w:sz w:val="20"/>
          <w:szCs w:val="20"/>
          <w:color w:val="auto"/>
        </w:rPr>
      </w:pPr>
      <w:r>
        <w:rPr>
          <w:rFonts w:ascii="Arial" w:cs="Arial" w:eastAsia="Arial" w:hAnsi="Arial"/>
          <w:sz w:val="18"/>
          <w:szCs w:val="18"/>
          <w:color w:val="231F20"/>
        </w:rPr>
        <w:t>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spacing w:after="0" w:line="205" w:lineRule="exact"/>
        <w:rPr>
          <w:sz w:val="20"/>
          <w:szCs w:val="20"/>
          <w:color w:val="auto"/>
        </w:rPr>
      </w:pPr>
    </w:p>
    <w:p>
      <w:pPr>
        <w:jc w:val="both"/>
        <w:ind w:left="720" w:right="79" w:hanging="319"/>
        <w:spacing w:after="0" w:line="236"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cs="Arial" w:eastAsia="Arial" w:hAnsi="Arial"/>
          <w:sz w:val="18"/>
          <w:szCs w:val="18"/>
          <w:color w:val="000000"/>
        </w:rPr>
        <w:t>doctors, dentists,</w:t>
      </w:r>
      <w:r>
        <w:rPr>
          <w:rFonts w:ascii="Arial" w:cs="Arial" w:eastAsia="Arial" w:hAnsi="Arial"/>
          <w:sz w:val="18"/>
          <w:szCs w:val="18"/>
          <w:color w:val="231F20"/>
        </w:rPr>
        <w:t xml:space="preserve"> </w:t>
      </w:r>
      <w:r>
        <w:rPr>
          <w:rFonts w:ascii="Arial" w:cs="Arial" w:eastAsia="Arial" w:hAnsi="Arial"/>
          <w:sz w:val="18"/>
          <w:szCs w:val="18"/>
          <w:color w:val="000000"/>
        </w:rPr>
        <w:t xml:space="preserve">optometrists, podiatrists and chiropractors) , other healthcare professionals (such as physician assistants and nurse practitioners), </w:t>
      </w:r>
      <w:r>
        <w:rPr>
          <w:rFonts w:ascii="Arial" w:cs="Arial" w:eastAsia="Arial" w:hAnsi="Arial"/>
          <w:sz w:val="18"/>
          <w:szCs w:val="18"/>
          <w:color w:val="231F20"/>
        </w:rPr>
        <w:t>and teaching hospitals, as well as information regarding ownership</w:t>
      </w:r>
      <w:r>
        <w:rPr>
          <w:rFonts w:ascii="Arial" w:cs="Arial" w:eastAsia="Arial" w:hAnsi="Arial"/>
          <w:sz w:val="18"/>
          <w:szCs w:val="18"/>
          <w:color w:val="000000"/>
        </w:rPr>
        <w:t xml:space="preserve"> </w:t>
      </w:r>
      <w:r>
        <w:rPr>
          <w:rFonts w:ascii="Arial" w:cs="Arial" w:eastAsia="Arial" w:hAnsi="Arial"/>
          <w:sz w:val="18"/>
          <w:szCs w:val="18"/>
          <w:color w:val="231F20"/>
        </w:rPr>
        <w:t>and investment interests held by physicians and their immediate family members. The information reported is publicly available on a searchable website, with disclosure required annually; and</w:t>
      </w:r>
    </w:p>
    <w:p>
      <w:pPr>
        <w:spacing w:after="0" w:line="207"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231F20"/>
        </w:rPr>
        <w:t>analogous state and foreign laws and regulations, such as state anti-kickback and false claims laws, may apply to sales or marketing arrangements and claims involving healthcare items or services reimbursed by non- governmental third-party payors, including private insurers.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Some state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laws require biotechnology companies to report information on the pricing of certain drug products. Some state and local laws require the registration of pharmaceutical sales representatives.</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We are subject to stringent and evolving U.S. and foreign laws, regulations, rules, contractual obligations, policies and other obligations related to data privacy and security.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19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State and international laws govern the privacy and security of health information in some circumstances, many of which differ from each other in significant ways and often are not preempted by HIPAA, thus complicating compliance efforts. For instance, the collection and use of health data in the European Union is governed by the General Data Protection Regulation, or the GDPR, which extends the enforcement of European Union data protection law to non-European Union entities under certain conditions, tightens existing European Union data protection principles, creates new obligations for companies and new rights for individuals. In particular, the GDPR includes obligations and restrictions concerning the consent and rights of individuals to whom the personal data relates, the transfer of personal data out of the European Economic Area, or EEA, or the UK, security breach notifications and the security and confidentiality of personal data. Further, the UK has implemented legislation similar to the GDPR, including the UK Data Protection Act and the UK GDPR, which provides for fines of up to the greater of 17.5 million British Pounds or 4% of a company’s worldwide turnover, whichever is higher.</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introducing new data protection requirements in the EEA, the GDPR also established potential fines for noncompliant companies. Failure to comply with the GDPR may result in substantial fines up to the greater of €20 million or 4% of annual global revenue and other administrative penalties. Such fines are in addition to any civil litigation claims by data subjects. EEA data protection authorities may interpret the GDPR and national laws differently and impose additional requirements, which contributes to the complexity of processing personal data in or from the EEA or the UK. Guidance on implementation and compliance practices is often updated or otherwise revised. The GDPR may increase our responsibility and liability in relation to personal data that we process, and we may be required to put in place additional mechanisms ensuring compliance with the GDPR.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may be unable to receive and/or further transfer onwards personal data that is processed subject to the EU GDPR and/or UK GDPR, or certain other data privacy and security regimes, due to limitations on cross-border data flows and/or actual or de facto data localization requirements. In particular, the EU GDPR and UK GDPR significantly restrict the transfer of personal data to the United States and other countries whose privacy laws are considered ‘inadequate’ for the purposes of either or both of those regulations. Although there are currently various mechanisms that may be used to effect such cross-border transfers of personal data in compliance with the EU GDPR and UK GDPR, such as the European Commission’s ‘Standard Contractual Clauses’ and the United Kingdom’s ‘International Data Transfer Agreement / Addendum’, all such mechanisms are subject to legal challenges, and there is no assurance that we can always satisfy or rely on these mechanisms to lawfully effect cross-border transfers of personal data where required.</w:t>
      </w:r>
    </w:p>
    <w:p>
      <w:pPr>
        <w:spacing w:after="0" w:line="20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Other jurisdictions relevant to our operations may implement, or adopt stringent interpretations of, their own data localization and cross-border data transfer laws.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 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Additionally, California voters approved a new privacy law, the California Privacy Rights Act, or CPRA, which went into effect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Virginia, Colorado, Utah and Connecticut all passed comprehensive privacy laws that have or will go into effect in 2023.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to the foregoing, any breach of privacy laws or data security laws, particularly resulting in a significant security incident or breach involving the misappropriation, loss or other unauthorized use or disclosure of sensitive or confidential patient or consumer information, could have a material adverse effect on our business, reputation and financial condition. As a data controller (under the GDPR) or business (under the CCPA), we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will be accountable for any third-party service providers we engage to process personal data on our behalf, including our CROs. We attempt to mitigate the associated risks but there is no assurance that privacy and security-related safeguards will protect us from all risks associated with the third-party processing, storage and transmission of such information.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New legislation proposed or enacted in Illinois, Massachusetts, Nevada, New Jersey, New York, Rhode Island, Washington and other states, and a proposed right to privacy amendment to the Vermont Constitution, imposes, or has the potential to impose, additional obligations on companies that process confidential, sensitive and personal information, and will continue to shape the data privacy environment nationally. State laws are changing rapidly and there is discussion in Congress of a new federal data protection and privacy law to which we would become subject if it is enacted. All of these evolving compliance and operational requirements may impose significant costs that are likely to increase over time, may require us to modify our data processing practices and policies, divert resources from other initiatives and projects, modify our data practices and policies, restrict our business operations, and could restrict the way products and services involving data are offered, all of which could significantly harm our business, financial condition, results of operations and prospects. Further,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 Any actual or perceived failure by us to comply with these laws, regulations, or other obligations may lead to significant fines, penalties, regulatory investigations, lawsuits, significant costs for remediation, damage to our reputation, or other liabilities.</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Many statutory requirements involving privacy and security, both in the United States and abroad, include obligations for companies to notify individuals of security breaches involving certain personal information, which could result from breaches experienced by us or our third-party service providers. Laws in all 50 U.S. states and the District of Columbia require businesses to provide notice to consumers whose personal information has been disclosed as a result of a data breach. These laws are not consistent, and compliance in the event of a widespread data breach is difficult and may be costly. We also may be contractually required to notify customers or other counterparties of a security breach. Although we may have contractual protections with our third-party service providers, contractors and consultants, any actual or perceived security breach of our systems or our third-party service providers could harm our reputation and brand, expose us to potential liability or require us to expend significant resources on data security and in responding to any such actual or perceived breach. Any contractual protections we may have from our third-party service providers, contractors or consultants may not be sufficient to adequately protect us from any such liabilities and losses, and we may be unable to enforce any such contractual protections.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to the possibility of fines, lawsuits, regulatory investigations, public censure, other claims and penalties, and significant costs for remediation and damage to our reputation, we could be materially and 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 Any inability to adequately address data privacy or security-related concerns, even if unfounded, or to comply with applicable laws, regulations, standards and other obligations relating to data privacy and security, could result in additional cost and liability to us, harm our reputation and brand, damage our relationships with customers and have a material adverse effect on our business.</w:t>
      </w:r>
    </w:p>
    <w:p>
      <w:pPr>
        <w:spacing w:after="0" w:line="20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Medicare and Medicaid,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significantly harm our business, financial condition, results of operations or prospects.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or commercialization efforts. Failure to comply with these laws and regulations also may result in substantial fines, penalties or other sanctions.</w:t>
      </w:r>
    </w:p>
    <w:p>
      <w:pPr>
        <w:spacing w:after="0" w:line="175"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Certain laws and regulations require us to test our product candidate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83"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b w:val="1"/>
          <w:bCs w:val="1"/>
          <w:i w:val="1"/>
          <w:iCs w:val="1"/>
          <w:color w:val="auto"/>
        </w:rPr>
        <w:t>Our business activities may be subject to the U.S. Foreign Corrupt Practices Act, or the FCPA, and similar anti- 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spacing w:after="0" w:line="198"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 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 international operations. Any decreased use of our product or limitation on our ability to export or sell access to our product would likely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18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Unfavorable U.S. and global macroeconomic and geopolitical conditions could adversely affect our business, financial condition and results of operations.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results of operations could be adversely affected by general conditions in the U.S. and global economies, the U.S. and global financial markets and adverse geopolitical and macroeconomic developments, including the COVID-19 pandemic, the ongoing conflict between Ukraine and Russia and related sanctions, and recent bank failures and financial instability. U.S. and global market and economic conditions have been, and continue to be, disrupted and volatile due to many factors, including component shortages and related supply chain challenges, geopolitical developments such as the ongoing COVID-19 pandemic, the ongoing conflict between Ukraine and Russia and related sanctions, recent bank failures and financial instability, increasing inflation rates and the responses by central banking authorities to control such inflation, among others.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p>
    <w:p>
      <w:pPr>
        <w:spacing w:after="0" w:line="20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 severe or prolonged global economic downturn could result in a variety of risks to our business. For example, inflation rates, particularly in the United States, have increased recently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is highly dependent on our ability to attract and retain highly skilled executive officers and employees.</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and commercialize OP-1250 or any other product candidate will be limited and the potential for successfully growing our business will be harmed.</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are unable to establish sales or marketing capabilities or enter into agreements with third parties to sell or market OP-1250 or any product candidate we may develop in the future, we may not be able to successfully sell or market OP-1250 or any future product candidate we may develop that obtain regulatory approval.</w:t>
      </w:r>
    </w:p>
    <w:p>
      <w:pPr>
        <w:spacing w:after="0" w:line="196"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OP-1250 or any future product candidate we may develop. We may not be successful in accomplishing these required tasks.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Establishing an internal sales or marketing team with technical expertise and supporting distribution capabilities to commercialize OP-1250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OP-1250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OP-1250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spacing w:after="0" w:line="19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Factors that may affect our ability to commercialize OP-1250, or any future product candidate we may develop, on our own include recruiting and retaining adequate numbers of effective sales and marketing personnel, obtaining access to or persuading adequate numbers of physicians to prescribe OP-1250 or any future product candidates we may develop and other unforeseen costs associated with creating an independent sales and marketing organization. Developing a sales and marketing organization will be expensive and time-consuming and could delay the launch of OP-1250 or any future product candidate we may develop. We may not be able to build an effective sales and marketing organization. If we are unable to build our own distribution and marketing capabilities or to find suitable partners for the commercialization of OP-1250 or any future product candidate we may develop, we may not generate revenues from such product candidate or be able to reach or sustain profitability.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As of March 31, 2023, we had 63 employees, 62 of whom were full-time, including 36 employees engaged in research and development. In March 2023, we implemented a reduction in force, which reduced our workforce by approximately 25% as part of our corporate restructuring and prioritization. However, in order to successfully implement our development and commercialization plans and strategies, we expect to need additional managerial, operational, sales, marketing, financial and other personnel. Future growth would impose significant added responsibilities on members of management, including:</w:t>
      </w:r>
    </w:p>
    <w:p>
      <w:pPr>
        <w:spacing w:after="0" w:line="205"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identifying, recruiting, integrating, maintaining and motivating additional employees;</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managing our internal development efforts effectively, including the clinical, FDA, EMA and other comparable foreign regulatory agencies’ review process for OP-1250 and any other future product candidates we may develop, while complying with any contractual obligations to contractors and other third parties we may have; and</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231F20"/>
        </w:rPr>
        <w:t>improving our operational, financial and management controls, reporting systems and procedures.</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expect to be conducting multiple clinical trials of OP-1250 for several different indications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OP-1250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OP-1250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OP-1250 and any other future product candidates we may develop and, accordingly, may not achieve our research, development and commercialization goals.</w:t>
      </w:r>
    </w:p>
    <w:p>
      <w:pPr>
        <w:spacing w:after="0" w:line="183"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20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Despite the implementation of preventative and detective security measures, our internal computer systems and those of our current and any future CROs and other contractors, consultants, collaborators and third-party service providers that process our sensitive information (including personal information and personally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50" w:lineRule="auto"/>
        <w:rPr>
          <w:sz w:val="20"/>
          <w:szCs w:val="20"/>
          <w:color w:val="auto"/>
        </w:rPr>
      </w:pPr>
      <w:r>
        <w:rPr>
          <w:rFonts w:ascii="Arial" w:cs="Arial" w:eastAsia="Arial" w:hAnsi="Arial"/>
          <w:sz w:val="17"/>
          <w:szCs w:val="17"/>
          <w:color w:val="auto"/>
        </w:rPr>
        <w:t>identifiable data), are vulnerable to damage or interruption from a variety of sources, including computer viruses, unauthorized access, intentional or accidental acts or omissions by those with authorized access, natural disasters, terrorism, war, telecommunication and electrical failure, and cybersecurity threats (including the deployment of harmful malware, ransomware, denial-of-service attacks, supply chain attacks, social engineering, and other means to affect service reliability and threaten the confidentiality, integrity, and availability of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We have in the past and may in the future be subject to security breaches. For instance, we have had company laptops containing corporate information stolen from company offices.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w:t>
      </w:r>
    </w:p>
    <w:p>
      <w:pPr>
        <w:spacing w:after="0" w:line="200"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such an event were to occur or were alleged to have occurred and cause interruptions in our operations or result in the unauthorized acquisition of or access to personally identifiable information or individually identifiable health information, it could result in a material disruption or termination of our drug discovery and development programs and our business operations, whether due to a loss of our trade secrets, personal information, or other similar disruptions. Some of the federal, state and foreign government requirements include obligations of companies to notify individuals of security breaches involving particular personally identifiable information, which could result from breaches experienced by us or by our vendors, contractors, or organizations with which we have formed strategic relationships. Notifications and follow-up actions related to a security breach could impact our reputation, cause us to incur significant costs, including legal expenses and remediation costs and divert resources from other efforts. For example, in November 2021, we were alerted to falsified information circulating on social media relating to our planned poster presentation for the Phase 1 dose-escalation portion of the ongoing Phase 1/2 clinical study of OP-1250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OP-1250,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OP-1250 could be delayed, and we could be subject to significant fines or penalties for any noncompliance with certain state, federal and/or international privacy and security laws.</w:t>
      </w:r>
    </w:p>
    <w:p>
      <w:pPr>
        <w:spacing w:after="0" w:line="21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180"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 in the European member states.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intend to seek approval to market OP-1250 in both the United States and in selected foreign jurisdictions. If we obtain approval in one or more foreign jurisdictions for OP-1250, we will be subject to rules and regulations in those jurisdictions. In some foreign countries, particularly those in the European Union, the pricing of drugs is subject to governmental control and other market regulations which could put pressure on the pricing and usage of OP-1250. In these countries, pricing negotiations with governmental authorities can take considerable time after obtaining marketing approval of a product candidate. In addition, market acceptance and sales of</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OP-1250 will depend significantly on the availability of adequate coverage and reimbursement from third-party payors for OP-1250 and may be affected by existing and future healthcare reform measures.</w:t>
      </w:r>
    </w:p>
    <w:p>
      <w:pPr>
        <w:spacing w:after="0" w:line="19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anti-bribery laws of EU Member States, such as the UK Bribery Act 2010. Infringement of these laws could result in substantial fines and imprisonment.</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often must be the subject of prior notification and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trial or other studies that compare the cost-effectiveness of OP-1250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our product.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 is unavailable or limited in scope or amount, our potential revenues from sales and the potential profitability of OP-1250 in those countries would be negatively affected.</w:t>
      </w:r>
    </w:p>
    <w:p>
      <w:pPr>
        <w:spacing w:after="0" w:line="19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(including, for example, the outbreak of COVID-19),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ability to develop OP-1250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4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net operating loss, or NOL, carryforwards could expire unused and be unavailable to offset future income tax liabilities because of their limited duration or because of restrictions under U.S. tax law. NOLs generated in tax years ending on or prior to December 31, 2017 are only permitted to be carried forward for 20 taxable years under applicable U.S. federal tax law. Under the Tax Act, as modified by the Coronavirus Aid, Relief, and Economic Security, or CARES Act, federal NOLs generated in tax years ending after December 31, 2017 may be carried forward indefinitely, but the deductibility of such federal NOLs may be limited to 80% of current year taxable income for tax years beginning on or after December 31, 2020. It is uncertain if and to what extent various states will conform to the Tax Act or the CARES Act.</w:t>
      </w:r>
    </w:p>
    <w:p>
      <w:pPr>
        <w:spacing w:after="0" w:line="208"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NOLs could be limited by an “ownership change” as described above and consequently, we may not be able to utilize a material portion of our NOLs and certain other tax attributes, which could have a material adverse effect on our cash flows and results of operations.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A variety of risks associated with marketing OP-1250 or any future product candidate we may develop internationally could significantly harm our business, financial condition, results of operations and prospects.</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plan to seek regulatory approval of OP-1250 or any future product candidates we may develop outside of the United States and, accordingly, we expect that we will be subject to additional risks related to operating in foreign countries if we obtain the necessary approvals, including:</w:t>
      </w:r>
    </w:p>
    <w:p>
      <w:pPr>
        <w:spacing w:after="0" w:line="203" w:lineRule="exact"/>
        <w:rPr>
          <w:sz w:val="20"/>
          <w:szCs w:val="20"/>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differing regulatory requirements and reimbursement regimes in foreign countries;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unexpected changes in tariffs, trade barriers, price and exchange controls and other regulatory requirements;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economic weakness, including inflation, or political instability in particular foreign economies and markets;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compliance with tax, employment, immigration and labor laws for employees living or traveling abroad;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foreign taxes, including withholding of payroll taxes;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foreign currency fluctuations, which could result in increased operating expenses and reduced revenue, and other obligations incident to doing business in another country;</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difficulties staffing and managing foreign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workforce uncertainty in countries where labor unrest is more common than in the United States;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231F20"/>
        </w:rPr>
        <w:t>potential liability under the FCPA or comparable foreign regulations;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challenges enforcing our contractual and intellectual property rights, especially in those foreign countries that do not respect and protect intellectual property rights to the same extent as the United States;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production shortages resulting from any events affecting raw material supply or manufacturing capabilities abroad;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231F20"/>
        </w:rPr>
        <w:t>business interruptions resulting from geo-political actions, including war and terrorism.</w:t>
      </w:r>
    </w:p>
    <w:p>
      <w:pPr>
        <w:spacing w:after="0" w:line="225"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These and other risks associated with our international operations may significantly harm our business, financial condition, results of operations and prospects.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12"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success depends on our ability to protect our intellectual property and our proprietary technologies.</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commercial success depends in part on our ability to obtain and maintain proprietary or intellectual property protection in the United States and other countries for OP-1250 and any future product candidates that we may develop and technologies related to their various uses. We generally seek to protect our proprietary position by, among other things, filing patent applications in the United States and abroad related to OP-1250,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OP-1250, proprietary technologies and their uses, our business, financial condition, results of operations and prospects could be significantly harmed.</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OP-1250 or any future product candidates we may develop could significantly harm our business, financial condition, results of operations and prospects.</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patent application process is subject to numerous risks and uncertainties, and there can be no assurance that we or any of our potential future collaborators will be successful in protecting OP-1250 or any future product candidates we may develop by obtaining and defending patents. These risks and uncertainties include the following:</w:t>
      </w:r>
    </w:p>
    <w:p>
      <w:pPr>
        <w:spacing w:after="0" w:line="187" w:lineRule="exact"/>
        <w:rPr>
          <w:sz w:val="20"/>
          <w:szCs w:val="20"/>
          <w:color w:val="auto"/>
        </w:rPr>
      </w:pPr>
    </w:p>
    <w:p>
      <w:pPr>
        <w:jc w:val="both"/>
        <w:ind w:left="720" w:right="79" w:hanging="319"/>
        <w:spacing w:after="0" w:line="250"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patent applications must be filed in advance of certain events (</w:t>
      </w:r>
      <w:r>
        <w:rPr>
          <w:rFonts w:ascii="Arial" w:cs="Arial" w:eastAsia="Arial" w:hAnsi="Arial"/>
          <w:sz w:val="18"/>
          <w:szCs w:val="18"/>
          <w:i w:val="1"/>
          <w:iCs w:val="1"/>
          <w:color w:val="231F20"/>
        </w:rPr>
        <w:t>e.g.,</w:t>
      </w:r>
      <w:r>
        <w:rPr>
          <w:rFonts w:ascii="Arial" w:cs="Arial" w:eastAsia="Arial" w:hAnsi="Arial"/>
          <w:sz w:val="18"/>
          <w:szCs w:val="18"/>
          <w:color w:val="231F20"/>
        </w:rPr>
        <w:t xml:space="preserve"> third party filings, certain sales or offers for sale, or other activities that might be legally deemed to be public disclosures) and we might not be aware of such events or otherwise might not succeed in filing applications before they occur;</w:t>
      </w:r>
    </w:p>
    <w:p>
      <w:pPr>
        <w:spacing w:after="0" w:line="194"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 USPTO and various foreign governmental patent agencies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spacing w:after="0" w:line="204" w:lineRule="exact"/>
        <w:rPr>
          <w:rFonts w:ascii="Arial" w:cs="Arial" w:eastAsia="Arial" w:hAnsi="Arial"/>
          <w:sz w:val="18"/>
          <w:szCs w:val="18"/>
          <w:color w:val="auto"/>
        </w:rPr>
      </w:pPr>
    </w:p>
    <w:p>
      <w:pPr>
        <w:ind w:left="720"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patent applications may not result in any patents being issued;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patents may be challenged, invalidated, modified, revoked, circumvented, found to be unenforceable or otherwise may not provide any competitive advantage;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there may be significant pressure on the U.S. government and international governmental bodies to limit the scope of patent protection both inside and outside the United States;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4"/>
        </w:numPr>
        <w:rPr>
          <w:rFonts w:ascii="Arial" w:cs="Arial" w:eastAsia="Arial" w:hAnsi="Arial"/>
          <w:sz w:val="18"/>
          <w:szCs w:val="18"/>
          <w:color w:val="auto"/>
        </w:rPr>
      </w:pPr>
      <w:r>
        <w:rPr>
          <w:rFonts w:ascii="Arial" w:cs="Arial" w:eastAsia="Arial" w:hAnsi="Arial"/>
          <w:sz w:val="18"/>
          <w:szCs w:val="18"/>
          <w:color w:val="231F20"/>
        </w:rPr>
        <w:t>countries other than the United States may have patent laws less favorable to patentees than those upheld by U.S. courts, allowing foreign competitors a better opportunity to create, develop and market competing product candidates.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 late to obtain patent protection, for example, if patentable aspects are publicly disclosed, by us or a third party, such as by public use, sale or offer for sale, or publication.</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the scope of any patent protection we obtain is not sufficiently broad, or if we lose any of our patent protection, our ability to prevent our competitors from commercializing similar or identical product candidates would be adversely affected.</w:t>
      </w:r>
    </w:p>
    <w:p>
      <w:pPr>
        <w:spacing w:after="0" w:line="191"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OP-1250 or which effectively prevent others from commercializing competitive technologies and product candidates.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OP-1250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spacing w:after="0" w:line="204"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patents may be challenged in the courts or patent offices in the United States and abroad.</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 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spacing w:after="0" w:line="20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OP-1250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OP-1250 or any future product candidates we may develop. The outcome following legal assertions of invalidity and unenforceability is unpredictable. With respect to the validity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spacing w:after="0" w:line="18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 to our competitive advantage.</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203" w:lineRule="exact"/>
        <w:rPr>
          <w:sz w:val="20"/>
          <w:szCs w:val="20"/>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we may not be able to detect infringement of our issued patents;</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others may be able to develop products that are similar to OP-1250, or any future product candidates we may develop, but that are not covered by the claims of the patents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our competitors may seek or may have already obtained patents that will limit, interfere with or eliminate our ability to make, use and sell OP-1250 or any future product candidates we may develop;</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not have been the first to make the inventions covered by the issued patents or patent application that we may in-license in the future or own;</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we, or our current or future collaborators or license partners, might be found not have been the first to file patent applications covering certain of our or their inventions;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others may independently develop similar or alternative technologies or duplicate any of our technologies without infringing our intellectual property rights;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it is possible that the pending patent applications we may in-license in the future or own will not lead to issued patents;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it is possible that there are prior public disclosures that could invalidate our patents, or parts of our patents, for which we are not aware;</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issued patents that we hold rights to may be held invalid or unenforceable, as a result of legal challenges by our competitors;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issued patents may not have sufficient term or geographic scope to provide meaningful protection;</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5"/>
        </w:numPr>
        <w:rPr>
          <w:rFonts w:ascii="Arial" w:cs="Arial" w:eastAsia="Arial" w:hAnsi="Arial"/>
          <w:sz w:val="18"/>
          <w:szCs w:val="18"/>
          <w:color w:val="auto"/>
        </w:rPr>
      </w:pPr>
      <w:r>
        <w:rPr>
          <w:rFonts w:ascii="Arial" w:cs="Arial" w:eastAsia="Arial" w:hAnsi="Arial"/>
          <w:sz w:val="18"/>
          <w:szCs w:val="18"/>
          <w:color w:val="231F20"/>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we may not develop additional proprietary technologies that are patentable;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the patents of others may have an adverse effect on our business; and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color w:val="231F20"/>
        </w:rPr>
        <w:t>we may choose not to file a patent in order to maintain certain trade secrets, and a third party may subsequently file a patent covering such intellectual property.</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OP-1250 or any future product candidates we may develop.</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Other entities may have or obtain patents or proprietary rights that could limit our ability to make, use, sell, offer for sale or import OP-1250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OP-1250 or any future product candidates we may develop. There may be third-party patents or patent applications with claims to compositions, formulations, methods of manufacture or methods for treatment related to the use or manufacture of OP-1250 or any future product candidates we may develop. For example, we are aware of certain third-party patent applications and patents in the United States and abroad that include disclosure of chemical structures sharing certain similarities with OP-1250. It is possible that one or more of such third parties could pursue patent claims or assert patent claims that allegedly encompass OP-1250.</w:t>
      </w:r>
    </w:p>
    <w:p>
      <w:pPr>
        <w:spacing w:after="0" w:line="21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spacing w:after="0" w:line="20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the biopharmaceutical industry expands and more patents are issued, the risk increases that OP-1250,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commercialization of OP-1250,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OP-1250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spacing w:after="0" w:line="21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Any claims of patent infringement, misappropriation or other violations asserted by third parties would be time consuming and could:</w:t>
      </w:r>
    </w:p>
    <w:p>
      <w:pPr>
        <w:spacing w:after="0" w:line="197" w:lineRule="exact"/>
        <w:rPr>
          <w:sz w:val="20"/>
          <w:szCs w:val="20"/>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result in costly litigation that may cause negative publicity;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cause development delays;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prevent us from commercializing OP-1250 or any future product candidates we may develop;</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require us to develop non-infringing technology, which may not be possible on a cost-effective basis;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subject us to significant liability to third parties; or</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37"/>
        </w:numPr>
        <w:rPr>
          <w:rFonts w:ascii="Arial" w:cs="Arial" w:eastAsia="Arial" w:hAnsi="Arial"/>
          <w:sz w:val="18"/>
          <w:szCs w:val="18"/>
          <w:color w:val="auto"/>
        </w:rPr>
      </w:pPr>
      <w:r>
        <w:rPr>
          <w:rFonts w:ascii="Arial" w:cs="Arial" w:eastAsia="Arial" w:hAnsi="Arial"/>
          <w:sz w:val="18"/>
          <w:szCs w:val="18"/>
          <w:color w:val="231F20"/>
        </w:rPr>
        <w:t>require us to enter into royalty or licensing agreements, which may not be available on commercially reasonable terms, or at all, or which might be non-exclusive, which could result in our competitors gaining access to the same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OP-1250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 we cannot be certain that we could redesign OP-1250 or any future product candidates we may develop processes to avoid infringement, if necessary.</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An adverse determination in a judicial or administrative proceeding, or the failure to obtain necessary licenses, could prevent us from developing and commercializing OP-1250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OP-1250 and future product candidates and technologies.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spacing w:after="0" w:line="181"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from third parties for that we identify as necessary for OP-1250 through acquisitions and in-licenses.</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Because our development programs may in the future require the use of proprietary rights held by third parties, the growth of our business may depend in part on our ability to acquire, in-license, or use these third-party proprietary rights.</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While we may have issued patents that cover OP-1250, it is possible that third parties may have blocking patents that prevent us from marketing, manufacturing or commercializing our own patented products and practicing our own patented technology.</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be unsuccessful in acquiring or in-licensing compositions, methods of use, processes, or other intellectual property rights from third parties that we identify as necessary for practicing inventions claimed by our patents, including the manufacture, sale and use of OP-1250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which could be expensive, time consuming and unsuccessful. Further, our issued patents could be found invalid or unenforceable if challenged in court.</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OP-1250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 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spacing w:after="0" w:line="21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spacing w:after="0" w:line="202"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208"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Should any of these events occur, it could significantly harm our business, financial condition, results of operations and prospects.</w:t>
      </w:r>
    </w:p>
    <w:p>
      <w:pPr>
        <w:spacing w:after="0" w:line="175"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shares to decline.</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spacing w:after="0" w:line="183"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Derivation proceedings may be necessary to determine priority of inventions, and an unfavorable outcome may require us to cease using the related technology or to attempt to license rights from the prevailing party.</w:t>
      </w:r>
    </w:p>
    <w:p>
      <w:pPr>
        <w:spacing w:after="0" w:line="191"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OP-1250 or any future product candidates to market. Should any of these events occur, it could significantly harm our business, financial condition, results of operations and prospects.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or those of our licensors and the enforcement or defense of our issued patents or those of our licensors.</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 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OP-1250 or any future product candidate we may develop or (2) invent any of the inventions claimed in the patents or patent applications.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spacing w:after="0" w:line="184"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OP-1250 or any future product candidates we may develop.</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spacing w:after="0" w:line="20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Further, the U.S. Supreme Court has ruled on several patent cases in recent years, either narrowing the scope of patent protection available in certain circumstances or weakening the rights of patent owners in certain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challenging the inventorship or ownership of our patents and other intellectual property.</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ability to claim priority for certain patent filings, intervening art or other events may preclude us from issuing patents.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spacing w:after="0" w:line="180"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Patent terms may be inadequate to protect our competitive position on OP-1250 or any future product candidates we may develop for an adequate amount of time.</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OP-1250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spacing w:after="0" w:line="207"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spacing w:after="0" w:line="180"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we do not obtain patent term extension for OP-1250 or any future product candidates we may develop, our business, financial condition, results of operations and prospects may be significantly harmed.</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Depending upon the timing, duration and specifics of FDA marketing approval of OP-1250 or any future product candidates we may develop, one or more of our U.S. patents or those of our licensors may be eligible for limited patent term restoration under the Drug Price Competition and Patent Term Restoration Act of 1984, or the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Hatch - 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OP-1250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will not be able to protect our intellectual property rights throughout the world.</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OP-1250 or any future product candidates we may develop, without any available recourse.</w:t>
      </w:r>
    </w:p>
    <w:p>
      <w:pPr>
        <w:spacing w:after="0" w:line="20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rPr>
          <w:sz w:val="20"/>
          <w:szCs w:val="20"/>
          <w:color w:val="auto"/>
        </w:rPr>
      </w:pPr>
      <w:r>
        <w:rPr>
          <w:rFonts w:ascii="Arial" w:cs="Arial" w:eastAsia="Arial" w:hAnsi="Arial"/>
          <w:sz w:val="18"/>
          <w:szCs w:val="18"/>
          <w:color w:val="auto"/>
        </w:rPr>
        <w:t>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spacing w:after="0" w:line="181"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spacing w:after="0" w:line="182" w:lineRule="exact"/>
        <w:rPr>
          <w:sz w:val="20"/>
          <w:szCs w:val="20"/>
          <w:color w:val="auto"/>
        </w:rPr>
      </w:pPr>
    </w:p>
    <w:p>
      <w:pPr>
        <w:jc w:val="both"/>
        <w:ind w:left="60" w:right="79"/>
        <w:spacing w:after="0" w:line="253"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financial condition, results of operations and prospects could be significantly harmed.</w:t>
      </w:r>
    </w:p>
    <w:p>
      <w:pPr>
        <w:spacing w:after="0" w:line="19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spacing w:after="0" w:line="19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financial condition, results of operations, prospects and competitive position would be significantly harmed.</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if any of our trade secrets were to be lawfully obtained or independently developed by a competitor or other third party, we would have no right to prevent them from using that technology or information to compete 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spacing w:after="0" w:line="18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may be subject to claims that we or our employees have wrongfully used or disclosed alleged confidential information or trade secrets.</w:t>
      </w:r>
    </w:p>
    <w:p>
      <w:pPr>
        <w:spacing w:after="0" w:line="17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OP-1250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spacing w:after="0" w:line="183"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b w:val="1"/>
          <w:bCs w:val="1"/>
          <w:i w:val="1"/>
          <w:iCs w:val="1"/>
          <w:color w:val="auto"/>
        </w:rPr>
        <w:t>Our rights to develop and commercialize our technology and product candidate may be subject, in part, to the terms and conditions of licenses granted to us by others.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enter into license agreements in the future with others to advance our research or allow commercialization of OP-1250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 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spacing w:after="0" w:line="21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spacing w:after="0" w:line="202"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19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Disputes may arise between us and our past, current or future licensors regarding intellectual property subject to a license agreement, including:</w:t>
      </w:r>
    </w:p>
    <w:p>
      <w:pPr>
        <w:spacing w:after="0" w:line="197" w:lineRule="exact"/>
        <w:rPr>
          <w:sz w:val="20"/>
          <w:szCs w:val="20"/>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scope of rights granted under the license agreement and other interpretation-related issues;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whether and the extent to which our technology and processes infringe on intellectual property of the licensor that is not subject to the licensing agreement;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right to sublicense patents and other rights to third parties;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diligence obligations under the license agreement and what activities satisfy those diligence obligations;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our right to transfer or assign the license;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inventorship and ownership of inventions and know-how resulting from the joint creation or use of intellectual property by our licensors and us and our partners;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231F20"/>
        </w:rPr>
        <w:t>the priority of invention of patented technology.</w:t>
      </w:r>
    </w:p>
    <w:p>
      <w:pPr>
        <w:spacing w:after="0" w:line="22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spacing w:after="0" w:line="207"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spacing w:after="0" w:line="19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12"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OP-1250 or future product candidates we may develop and our business, financial condition, results of operations and prospects could be significantly harmed.</w:t>
      </w:r>
    </w:p>
    <w:p>
      <w:pPr>
        <w:spacing w:after="0" w:line="201"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OP-1250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or state fraud and abuse or false claims laws and regulations or healthcare privacy and security laws.</w:t>
      </w:r>
    </w:p>
    <w:p>
      <w:pPr>
        <w:spacing w:after="0" w:line="21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Further, these investigators and CROs are not our employees and we will not be able to control, other than by contract, the amount of resources, including time, which they devote to OP-1250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OP-1250, or if CROs do not successfully carry out their contractual duties or obligations or</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OP-1250. As a result, our results of operations and the commercial prospects for OP-1250 would be harmed, our costs could increase and our ability to generate revenues could be delayed or precluded entirely, and our business, financial condition, results of operations and prospects could be significantly harmed.</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205"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spacing w:after="0" w:line="18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b w:val="1"/>
          <w:bCs w:val="1"/>
          <w:i w:val="1"/>
          <w:iCs w:val="1"/>
          <w:color w:val="auto"/>
        </w:rPr>
        <w:t>We contract with third parties for the manufacture of OP-1250 for nonclinical studies and our ongoing clinical trials, and expect to continue to do so for additional clinical trials and ultimately for commercialization. This reliance on third parties increases the risk that we will not have sufficient quantities of OP-1250 or other drugs necessary for the development or commercialization of OP-1250 or such quantities at an acceptable cost, which could delay, prevent or impair our development or commercialization efforts.</w:t>
      </w:r>
    </w:p>
    <w:p>
      <w:pPr>
        <w:spacing w:after="0" w:line="20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do not currently have the infrastructure or internal capability to manufacture supplies of OP-1250 for use in development and commercialization. We rely, and expect to continue to rely, on third-party manufacturers for the production of OP-1250 for nonclinical studies and clinical trials under the guidance of members of our organization. We do not have long-term supply agreements for OP-1250. Furthermore, the raw materials for OP-1250 are sourced, in some cases, from a single-source supplier. If we were to experience an unexpected loss of supply of OP-1250 for any reason, whether as a result of manufacturing, supply or storage issues or otherwise, we could experience delays, disruptions, suspensions or terminations of, or be required to restart or repeat, any pending or ongoing clinical trials.</w:t>
      </w:r>
    </w:p>
    <w:p>
      <w:pPr>
        <w:spacing w:after="0" w:line="20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expect to continue to rely on third-party manufacturers for the commercial supply of OP-1250,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205" w:lineRule="exact"/>
        <w:rPr>
          <w:sz w:val="20"/>
          <w:szCs w:val="20"/>
          <w:color w:val="auto"/>
        </w:rPr>
      </w:pPr>
    </w:p>
    <w:p>
      <w:pPr>
        <w:jc w:val="both"/>
        <w:ind w:left="720" w:right="79" w:hanging="319"/>
        <w:spacing w:after="0"/>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schedule, or at all, including if our third-party contractors give greater priority to the supply of other products over OP-1250 or otherwise do not satisfactorily perform according to the terms of the agreements between us and them;</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disruptions resulting from the impact of public health pandemics or epidemics (including, for example, the ongoing COVID-19 pandemic;</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39"/>
        </w:numPr>
        <w:rPr>
          <w:rFonts w:ascii="Arial" w:cs="Arial" w:eastAsia="Arial" w:hAnsi="Arial"/>
          <w:sz w:val="18"/>
          <w:szCs w:val="18"/>
          <w:color w:val="auto"/>
        </w:rPr>
      </w:pPr>
      <w:r>
        <w:rPr>
          <w:rFonts w:ascii="Arial" w:cs="Arial" w:eastAsia="Arial" w:hAnsi="Arial"/>
          <w:sz w:val="18"/>
          <w:szCs w:val="18"/>
          <w:color w:val="231F20"/>
        </w:rPr>
        <w:t>the reduction or termination of production or deliveries by suppliers, or the raising of prices or renegotiation of terms;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termination or nonrenewal of arrangements or agreements by our third-party contractors at a time that is costly or inconvenient for us;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breach by the third-party contractors of our agreements with them;</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failure of third-party contractors to comply with applicable regulatory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failure of the third party to manufacture OP-1250 according to our specifications;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mislabeling of clinical supplies, potentially resulting in the wrong dose amounts being supplied or active drug or placebo not being properly identified;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clinical supplies not being delivered to clinical sites on time, leading to clinical trial interruptions, or of drug supplies not being distributed to commercial vendors in a timely manner, resulting in lost sales; and</w:t>
      </w:r>
    </w:p>
    <w:p>
      <w:pPr>
        <w:spacing w:after="0" w:line="202" w:lineRule="exact"/>
        <w:rPr>
          <w:rFonts w:ascii="Arial" w:cs="Arial" w:eastAsia="Arial" w:hAnsi="Arial"/>
          <w:sz w:val="18"/>
          <w:szCs w:val="18"/>
          <w:color w:val="auto"/>
        </w:rPr>
      </w:pPr>
    </w:p>
    <w:p>
      <w:pPr>
        <w:ind w:left="720" w:hanging="319"/>
        <w:spacing w:after="0"/>
        <w:tabs>
          <w:tab w:leader="none" w:pos="720" w:val="left"/>
        </w:tabs>
        <w:numPr>
          <w:ilvl w:val="0"/>
          <w:numId w:val="40"/>
        </w:numPr>
        <w:rPr>
          <w:rFonts w:ascii="Arial" w:cs="Arial" w:eastAsia="Arial" w:hAnsi="Arial"/>
          <w:sz w:val="18"/>
          <w:szCs w:val="18"/>
          <w:color w:val="auto"/>
        </w:rPr>
      </w:pPr>
      <w:r>
        <w:rPr>
          <w:rFonts w:ascii="Arial" w:cs="Arial" w:eastAsia="Arial" w:hAnsi="Arial"/>
          <w:sz w:val="18"/>
          <w:szCs w:val="18"/>
          <w:color w:val="231F20"/>
        </w:rPr>
        <w:t>the misappropriation of our proprietary information, including our trade secrets and know-how.</w:t>
      </w:r>
    </w:p>
    <w:p>
      <w:pPr>
        <w:spacing w:after="0" w:line="22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We do not have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EMA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EMA or a comparable foreign regulatory authority does not approve these facilities for the manufacture of OP-1250, or if it withdraws any such approval in the future, we may need to find alternative manufacturing facilities, which would significantly impact our ability to develop, obtain marketing approval for or market OP-1250,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OP-1250 or other drugs necessary for the development or commercialization of OP-1250 and significantly harm our business, financial condition, results of operations and prospects.</w:t>
      </w:r>
    </w:p>
    <w:p>
      <w:pPr>
        <w:spacing w:after="0" w:line="21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Furthermore, if the third-party providers of therapies or therapies in development used in combination with OP-1250 are unable to produce sufficient quantities for clinical trials or for commercialization of OP-1250, or if the cost of combination therapies are prohibitive, our development and commercialization efforts would be impaired, which would significantly harm our business, financial condition, results of operations and prospects. For example, for our Phase 1b clinical study of OP-1250 in combination with KISQALI® (ribociclib) or PIQRAY® (alpelisib), or the Novartis Study Drugs, in patients with metastatic ER+ breast cancer, we entered into a Clinical Collaboration and Supply Agreement with Novartis Institutes for BioMedical Research, Inc., or Novartis, or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 clinical study may be delayed and the cost to us to conduct this trial may significantly increase, which would significantly harm our business, financial condition, results of operations and prospects. For a description of the Novartis Agreement, see the section titled “Business - Clinical Trial Collaboration and Supply Agreement with Novartis” in our Annual Report on Form 10-K.</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Our current and anticipated future dependence upon others for the manufacture of OP-1250 or other drugs necessary for the development or commercialization of OP-1250 may adversely affect our future profit margins and our ability to commercialize any product candidates that receive marketing approval on a timely and competitive basis.</w:t>
      </w:r>
    </w:p>
    <w:p>
      <w:pPr>
        <w:spacing w:after="0" w:line="183" w:lineRule="exact"/>
        <w:rPr>
          <w:sz w:val="20"/>
          <w:szCs w:val="20"/>
          <w:color w:val="auto"/>
        </w:rPr>
      </w:pPr>
    </w:p>
    <w:p>
      <w:pPr>
        <w:jc w:val="both"/>
        <w:ind w:left="60" w:right="79"/>
        <w:spacing w:after="0" w:line="247" w:lineRule="auto"/>
        <w:rPr>
          <w:sz w:val="20"/>
          <w:szCs w:val="20"/>
          <w:color w:val="auto"/>
        </w:rPr>
      </w:pPr>
      <w:r>
        <w:rPr>
          <w:rFonts w:ascii="Arial" w:cs="Arial" w:eastAsia="Arial" w:hAnsi="Arial"/>
          <w:sz w:val="18"/>
          <w:szCs w:val="18"/>
          <w:b w:val="1"/>
          <w:bCs w:val="1"/>
          <w:i w:val="1"/>
          <w:iCs w:val="1"/>
          <w:color w:val="auto"/>
        </w:rPr>
        <w:t>The manufacture of drugs is complex, and our third-party manufacturers may encounter difficulties in production. If any of our third-party manufacturers encounter such difficulties, our ability to provide adequate supply of OP-1250 for clinical trials or our product for patients, if approved, could be delayed or prevented.</w:t>
      </w:r>
    </w:p>
    <w:p>
      <w:pPr>
        <w:spacing w:after="0" w:line="196"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 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spacing w:after="0" w:line="191" w:lineRule="exact"/>
        <w:rPr>
          <w:sz w:val="20"/>
          <w:szCs w:val="20"/>
          <w:color w:val="auto"/>
        </w:rPr>
      </w:pPr>
    </w:p>
    <w:p>
      <w:pPr>
        <w:jc w:val="both"/>
        <w:ind w:left="60" w:right="259"/>
        <w:spacing w:after="0" w:line="253" w:lineRule="auto"/>
        <w:rPr>
          <w:sz w:val="20"/>
          <w:szCs w:val="20"/>
          <w:color w:val="auto"/>
        </w:rPr>
      </w:pPr>
      <w:r>
        <w:rPr>
          <w:rFonts w:ascii="Arial" w:cs="Arial" w:eastAsia="Arial" w:hAnsi="Arial"/>
          <w:sz w:val="18"/>
          <w:szCs w:val="18"/>
          <w:b w:val="1"/>
          <w:bCs w:val="1"/>
          <w:i w:val="1"/>
          <w:iCs w:val="1"/>
          <w:color w:val="auto"/>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spacing w:after="0" w:line="191" w:lineRule="exact"/>
        <w:rPr>
          <w:sz w:val="20"/>
          <w:szCs w:val="20"/>
          <w:color w:val="auto"/>
        </w:rPr>
      </w:pPr>
    </w:p>
    <w:p>
      <w:pPr>
        <w:jc w:val="both"/>
        <w:ind w:left="60" w:right="79"/>
        <w:spacing w:after="0" w:line="238" w:lineRule="auto"/>
        <w:rPr>
          <w:sz w:val="20"/>
          <w:szCs w:val="20"/>
          <w:color w:val="auto"/>
        </w:rPr>
      </w:pPr>
      <w:r>
        <w:rPr>
          <w:rFonts w:ascii="Arial" w:cs="Arial" w:eastAsia="Arial" w:hAnsi="Arial"/>
          <w:sz w:val="18"/>
          <w:szCs w:val="18"/>
          <w:color w:val="auto"/>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spacing w:after="0" w:line="205" w:lineRule="exact"/>
        <w:rPr>
          <w:sz w:val="20"/>
          <w:szCs w:val="20"/>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increased operating expenses and cash requirements;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assumption of contingent liabilities;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issuance of our equity securities;</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assimilation of operations, intellectual property and products of an acquired company, including difficulties associated with integrating new personnel;</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the diversion of our management’s attention from our existing programs and initiatives in pursuing such a strategic merger or acquisition;</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231F20"/>
        </w:rPr>
        <w:t>retention of key employees, the loss of key personnel and uncertainties in our ability to maintain key business relationships;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risk of delay in receiving or the failure to receive anticipated benefits of any such transactions, or of facing unanticipated challenges;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risks and uncertainties associated with the other party to such a transaction, including the prospects of that party and their existing products or product candidates and marketing approvals;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color w:val="231F20"/>
        </w:rPr>
        <w:t>our inability to generate revenue from acquired technology and/or products sufficient to meet our objectives in undertaking the acquisition or even to offset the associated acquisition and maintenance costs.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We have entered into collaborations with third parties for the development and commercialization of OP-1250. If those collaborations are not successful, we may not be able to capitalize on the market potential of OP-1250.</w:t>
      </w:r>
    </w:p>
    <w:p>
      <w:pPr>
        <w:spacing w:after="0" w:line="191"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 have third-party collaborators for the development and commercialization of OP-1250. Our likely collaborators for any future collaboration arrangements include large and mid-size pharmaceutical companies, regional and national pharmaceutical companies and biotechnology companies.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and will likely continue to have, limited control over the amount and timing of resources that our collaborators dedicate to the development or commercialization of OP-1250. Our ability to generate revenues from these arrangements will depend on our collaborators’ abilities and efforts to successfully perform the functions assigned to them in these arrangements. Collaborations involving OP-1250 could pose numerous risks to us, including the following:</w:t>
      </w:r>
    </w:p>
    <w:p>
      <w:pPr>
        <w:spacing w:after="0" w:line="202" w:lineRule="exact"/>
        <w:rPr>
          <w:sz w:val="20"/>
          <w:szCs w:val="20"/>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collaborators have significant discretion in determining the efforts and resources that they will apply to these collaborations and may not perform their obligations as expected;</w:t>
      </w:r>
    </w:p>
    <w:p>
      <w:pPr>
        <w:spacing w:after="0" w:line="196"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collaborators may deemphasize or not pursue development and commercialization of OP-1250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02"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collaborators could independently develop, or develop with third parties, products that compete directly or indirectly with OP-1250 if the collaborators believe that competitive products are more likely to be successfully developed or can be commercialized under terms that are more economically attractive than ours;</w:t>
      </w:r>
    </w:p>
    <w:p>
      <w:pPr>
        <w:spacing w:after="0" w:line="204"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3"/>
        </w:numPr>
        <w:rPr>
          <w:rFonts w:ascii="Arial" w:cs="Arial" w:eastAsia="Arial" w:hAnsi="Arial"/>
          <w:sz w:val="18"/>
          <w:szCs w:val="18"/>
          <w:color w:val="auto"/>
        </w:rPr>
      </w:pPr>
      <w:r>
        <w:rPr>
          <w:rFonts w:ascii="Arial" w:cs="Arial" w:eastAsia="Arial" w:hAnsi="Arial"/>
          <w:sz w:val="18"/>
          <w:szCs w:val="18"/>
          <w:color w:val="231F20"/>
        </w:rPr>
        <w:t>a collaborator with marketing and distribution rights to multiple products may not commit sufficient resources to the marketing and distribution of our product relative to other products;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line="238"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202"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disputes may arise between the collaborators and us that result in the delay or termination of the research, development or commercialization of OP-1250 or that result in costly litigation or arbitration that diverts management attention and resources;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collaborations may be terminated and, if terminated, may result in a need for additional capital to pursue further development or commercialization of the applicable product candidates;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collaboration agreements may not lead to development or commercialization of product candidates in the most efficient manner or at all; and</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4"/>
        </w:numPr>
        <w:rPr>
          <w:rFonts w:ascii="Arial" w:cs="Arial" w:eastAsia="Arial" w:hAnsi="Arial"/>
          <w:sz w:val="18"/>
          <w:szCs w:val="18"/>
          <w:color w:val="auto"/>
        </w:rPr>
      </w:pPr>
      <w:r>
        <w:rPr>
          <w:rFonts w:ascii="Arial" w:cs="Arial" w:eastAsia="Arial" w:hAnsi="Arial"/>
          <w:sz w:val="18"/>
          <w:szCs w:val="18"/>
          <w:color w:val="231F20"/>
        </w:rPr>
        <w:t>if a collaborator of ours were to be involved in a business combination, the continued pursuit and emphasis on our drug development or commercialization program could be delayed, diminished or terminated.</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If we decide to establish collaborations in the future but are not able to establish those collaborations on commercially reasonable terms, we may have to alter our development and commercialization plans.</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drug development programs and the potential commercialization of OP-1250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205"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color w:val="auto"/>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EMA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OP-1250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spacing w:after="0" w:line="21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OP-1250 or any future product candidates we may develop or bring them to market and generate product revenue.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spacing w:after="0" w:line="183" w:lineRule="exact"/>
        <w:rPr>
          <w:sz w:val="20"/>
          <w:szCs w:val="20"/>
          <w:color w:val="auto"/>
        </w:rPr>
      </w:pPr>
    </w:p>
    <w:p>
      <w:pPr>
        <w:ind w:left="60" w:right="279"/>
        <w:spacing w:after="0" w:line="271" w:lineRule="auto"/>
        <w:rPr>
          <w:sz w:val="20"/>
          <w:szCs w:val="20"/>
          <w:color w:val="auto"/>
        </w:rPr>
      </w:pPr>
      <w:r>
        <w:rPr>
          <w:rFonts w:ascii="Arial" w:cs="Arial" w:eastAsia="Arial" w:hAnsi="Arial"/>
          <w:sz w:val="18"/>
          <w:szCs w:val="18"/>
          <w:b w:val="1"/>
          <w:bCs w:val="1"/>
          <w:i w:val="1"/>
          <w:iCs w:val="1"/>
          <w:color w:val="auto"/>
        </w:rPr>
        <w:t>The price of our stock has been and may continue to be volatile, and you could lose all or part of your investment.</w:t>
      </w:r>
    </w:p>
    <w:p>
      <w:pPr>
        <w:spacing w:after="0" w:line="176"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trading price of our common stock has been and may continue to be highly volatile and subject to wide fluctuations in response to various factors, some of which we cannot control. For example, the closing price of our common stock from January 1, 2022 to May 5, 2023 has ranged from a low of $2.04 to a high of $9.43. The stock market in general, and pharmaceutical and biotechnology companies in particular, have experienced extreme price and volume fluctuations that have often been unrelated or disproportionate to the operating performance of these companies.</w:t>
      </w:r>
    </w:p>
    <w:p>
      <w:pPr>
        <w:spacing w:after="0" w:line="20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spacing w:after="0" w:line="203" w:lineRule="exact"/>
        <w:rPr>
          <w:sz w:val="20"/>
          <w:szCs w:val="20"/>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timing and results of nonclinical studies and clinical trials of OP-1250 or any future product candidates we may develop or those of our competitors;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success of competitive products or announcements by potential competitors of their product development efforts;</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regulatory actions with respect to our product candidate or our competitors’ products;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actual or anticipated changes in our growth rate relative to our competitors;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regulatory or legal developments in the United States and other countries;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developments or disputes concerning patent applications, issued patents or other proprietary rights;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the recruitment or departure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announcements by us or our competitors of significant acquisitions, strategic collaborations, joint ventures, collaborations or capital commitments;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5"/>
        </w:numPr>
        <w:rPr>
          <w:rFonts w:ascii="Arial" w:cs="Arial" w:eastAsia="Arial" w:hAnsi="Arial"/>
          <w:sz w:val="18"/>
          <w:szCs w:val="18"/>
          <w:color w:val="auto"/>
        </w:rPr>
      </w:pPr>
      <w:r>
        <w:rPr>
          <w:rFonts w:ascii="Arial" w:cs="Arial" w:eastAsia="Arial" w:hAnsi="Arial"/>
          <w:sz w:val="18"/>
          <w:szCs w:val="18"/>
          <w:color w:val="231F20"/>
        </w:rPr>
        <w:t>actual or anticipated changes in estimates as to financial results, development timelines or recommendations by securities analysts;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fluctuations in the valuation of companies perceived by investors to be comparable to us;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market conditions in the pharmaceutical and biotechnology sector;</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changes in the structure of healthcare payment systems;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share price and volume fluctuations attributable to inconsistent trading volume levels of our shares;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announcement or expectation of additional financing efforts;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sales of our common stock by us, our insiders or our other stockholders; and</w:t>
      </w:r>
    </w:p>
    <w:p>
      <w:pPr>
        <w:spacing w:after="0" w:line="225"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6"/>
        </w:numPr>
        <w:rPr>
          <w:rFonts w:ascii="Arial" w:cs="Arial" w:eastAsia="Arial" w:hAnsi="Arial"/>
          <w:sz w:val="18"/>
          <w:szCs w:val="18"/>
          <w:color w:val="auto"/>
        </w:rPr>
      </w:pPr>
      <w:r>
        <w:rPr>
          <w:rFonts w:ascii="Arial" w:cs="Arial" w:eastAsia="Arial" w:hAnsi="Arial"/>
          <w:sz w:val="18"/>
          <w:szCs w:val="18"/>
          <w:color w:val="231F20"/>
        </w:rPr>
        <w:t>general geopolitical, macroeconomic, industry and market conditions, including the COVID-19 pandemic, the ongoing conflict between Ukraine and Russia and related sanctions, and recent bank failures and financial instability.</w:t>
      </w:r>
    </w:p>
    <w:p>
      <w:pPr>
        <w:spacing w:after="0" w:line="203"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addition, the trading prices for common stock of other biopharmaceutical companies have been highly volatile as a result of factors unrelated to the specific company or its technology, as well as due to the COVID-19 pandemic.</w:t>
      </w:r>
    </w:p>
    <w:p>
      <w:pPr>
        <w:spacing w:after="0" w:line="203"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76"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97" w:lineRule="exact"/>
        <w:rPr>
          <w:sz w:val="20"/>
          <w:szCs w:val="20"/>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231F20"/>
        </w:rPr>
      </w:pPr>
      <w:r>
        <w:rPr>
          <w:rFonts w:ascii="Arial" w:cs="Arial" w:eastAsia="Arial" w:hAnsi="Arial"/>
          <w:sz w:val="18"/>
          <w:szCs w:val="18"/>
          <w:color w:val="231F20"/>
        </w:rPr>
        <w:t>timing and variations in the level of expense related to the ongoing development of OP-1250 or future development programs;</w:t>
      </w:r>
    </w:p>
    <w:p>
      <w:pPr>
        <w:spacing w:after="0" w:line="196" w:lineRule="exact"/>
        <w:rPr>
          <w:rFonts w:ascii="Arial" w:cs="Arial" w:eastAsia="Arial" w:hAnsi="Arial"/>
          <w:sz w:val="18"/>
          <w:szCs w:val="18"/>
          <w:color w:val="231F20"/>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timing and status of enrollment for our clinical trials;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impacts from geopolitical and macroeconomic events on us or third parties with which we engage;</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results of clinical trials, or the addition or termination of clinical trials or funding support by us or potential future partners;</w:t>
      </w:r>
    </w:p>
    <w:p>
      <w:pPr>
        <w:spacing w:after="0" w:line="196"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our execution of any collaboration, licensing or similar arrangements, and the timing of payments we may make or receive under potential future arrangements or the termination or modification of any such potential future arrangements;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any intellectual property infringement, misappropriation or violation lawsuit or opposition, interference or cancellation proceeding in which we may become involved;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additions and departures of key personnel;</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strategic decisions by us or our competitors, such as acquisitions, divestitures, spin-offs, joint ventures, strategic investments or changes in business strategy;</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7"/>
        </w:numPr>
        <w:rPr>
          <w:rFonts w:ascii="Arial" w:cs="Arial" w:eastAsia="Arial" w:hAnsi="Arial"/>
          <w:sz w:val="18"/>
          <w:szCs w:val="18"/>
          <w:color w:val="auto"/>
        </w:rPr>
      </w:pPr>
      <w:r>
        <w:rPr>
          <w:rFonts w:ascii="Arial" w:cs="Arial" w:eastAsia="Arial" w:hAnsi="Arial"/>
          <w:sz w:val="18"/>
          <w:szCs w:val="18"/>
          <w:color w:val="231F20"/>
        </w:rPr>
        <w:t>if OP-1250 or any future product candidate we may develop receive regulatory approval, the timing and terms of such approval and market acceptance and demand for such product candidates;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720" w:right="79"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the timing and cost to establish a sales, marketing and distribution infrastructure to commercialize any products for which we may obtain marketing approval and intend to commercialize on our own or jointly with current or future collaborators;</w:t>
      </w:r>
    </w:p>
    <w:p>
      <w:pPr>
        <w:spacing w:after="0" w:line="202"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regulatory developments affecting OP-1250 or any future product candidate we may develop or those of our competitors; and</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8"/>
        </w:numPr>
        <w:rPr>
          <w:rFonts w:ascii="Arial" w:cs="Arial" w:eastAsia="Arial" w:hAnsi="Arial"/>
          <w:sz w:val="18"/>
          <w:szCs w:val="18"/>
          <w:color w:val="auto"/>
        </w:rPr>
      </w:pPr>
      <w:r>
        <w:rPr>
          <w:rFonts w:ascii="Arial" w:cs="Arial" w:eastAsia="Arial" w:hAnsi="Arial"/>
          <w:sz w:val="18"/>
          <w:szCs w:val="18"/>
          <w:color w:val="231F20"/>
        </w:rPr>
        <w:t>changes in general market and economic conditions.</w:t>
      </w:r>
    </w:p>
    <w:p>
      <w:pPr>
        <w:spacing w:after="0" w:line="22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8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184"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As of March 31, 2023, we had 40,438,320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spacing w:after="0" w:line="205"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Moreover, certain holders of shares of our common stock, have rights, subject to certain conditions, to require us to file registration statements covering the sale of their shares or to include their shares in registration statements that we may file for ourselves or our other stockholders.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spacing w:after="0" w:line="203"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OP-1250 or future product candidates we may develop on unfavorable terms to us.</w:t>
      </w:r>
    </w:p>
    <w:p>
      <w:pPr>
        <w:spacing w:after="0" w:line="191"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We may seek additional capital through a variety of means, including through public or private equity, debt financings or other sources, including up-front payments and milestone payments from strategic collaborations. To the extent that we raise additional capital through the sale of equity or convertible debt or equity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OP-1250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Because our annual revenue was less than $100.0 million during the most recently completed fiscal year and the market value of our voting and non-voting common stock held by non-affiliates was less than $560.0 million measured on the last business day of our second fiscal quarter for the year ending December 31, 2022, we qualify again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or future changes to tax laws could materially adversely affect our company.</w:t>
      </w:r>
    </w:p>
    <w:p>
      <w:pPr>
        <w:spacing w:after="0" w:line="234"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w:t>
      </w:r>
    </w:p>
    <w:p>
      <w:pPr>
        <w:spacing w:after="0" w:line="18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spacing w:after="0" w:line="191"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7"/>
          <w:szCs w:val="17"/>
          <w:color w:val="auto"/>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202" w:lineRule="exact"/>
        <w:rPr>
          <w:sz w:val="20"/>
          <w:szCs w:val="20"/>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25"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196"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our stockholders from calling a special meeting of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225" w:lineRule="exact"/>
        <w:rPr>
          <w:rFonts w:ascii="Arial" w:cs="Arial" w:eastAsia="Arial" w:hAnsi="Arial"/>
          <w:sz w:val="18"/>
          <w:szCs w:val="18"/>
          <w:color w:val="auto"/>
        </w:rPr>
      </w:pPr>
    </w:p>
    <w:p>
      <w:pPr>
        <w:jc w:val="both"/>
        <w:ind w:left="720" w:right="79" w:hanging="319"/>
        <w:spacing w:after="0" w:line="238" w:lineRule="auto"/>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spacing w:after="0" w:line="204" w:lineRule="exact"/>
        <w:rPr>
          <w:rFonts w:ascii="Arial" w:cs="Arial" w:eastAsia="Arial" w:hAnsi="Arial"/>
          <w:sz w:val="18"/>
          <w:szCs w:val="18"/>
          <w:color w:val="auto"/>
        </w:rPr>
      </w:pPr>
    </w:p>
    <w:p>
      <w:pPr>
        <w:jc w:val="both"/>
        <w:ind w:left="720" w:right="79" w:hanging="319"/>
        <w:spacing w:after="0"/>
        <w:tabs>
          <w:tab w:leader="none" w:pos="7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662⁄3% of the votes that all our stockholders would be entitled to cast to amend or repeal certain provisions of our amended and restated certificate of incorporations or amended and restated bylaws.</w:t>
      </w:r>
    </w:p>
    <w:p>
      <w:pPr>
        <w:spacing w:after="0" w:line="203"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85"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spacing w:after="0" w:line="19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Our amended and restated certificate of incorporation provides that the Court of Chancery of the State of Delaware is the exclusive forum for the following types of actions or proceedings under Delaware statutory or common law:</w:t>
      </w:r>
    </w:p>
    <w:p>
      <w:pPr>
        <w:spacing w:after="0" w:line="203" w:lineRule="exact"/>
        <w:rPr>
          <w:sz w:val="20"/>
          <w:szCs w:val="20"/>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347980</wp:posOffset>
            </wp:positionV>
            <wp:extent cx="5657850"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196" w:lineRule="exact"/>
        <w:rPr>
          <w:rFonts w:ascii="Arial" w:cs="Arial" w:eastAsia="Arial" w:hAnsi="Arial"/>
          <w:sz w:val="18"/>
          <w:szCs w:val="18"/>
          <w:color w:val="auto"/>
        </w:rPr>
      </w:pPr>
    </w:p>
    <w:p>
      <w:pPr>
        <w:ind w:left="720" w:right="79" w:hanging="319"/>
        <w:spacing w:after="0" w:line="246" w:lineRule="auto"/>
        <w:tabs>
          <w:tab w:leader="none" w:pos="7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 or otherwise related to our internal affairs.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spacing w:after="0" w:line="203"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spacing w:after="0" w:line="18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your ability to achieve a return on your investment will depend on appreciation of the value of our common stock.</w:t>
      </w:r>
    </w:p>
    <w:p>
      <w:pPr>
        <w:spacing w:after="0" w:line="176"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Any return to stockholders will therefore be limited to any appreciation in the value of our common stock, which is not certain.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risk factors</w:t>
      </w:r>
    </w:p>
    <w:p>
      <w:pPr>
        <w:spacing w:after="0" w:line="212"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result in more litigation and divert management’s attention.</w:t>
      </w:r>
    </w:p>
    <w:p>
      <w:pPr>
        <w:spacing w:after="0" w:line="17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condition, results of operations and prospects. We may also need to hire additional employees or engage outside consultants to comply with these requirements, which will increase our costs and expenses.</w:t>
      </w:r>
    </w:p>
    <w:p>
      <w:pPr>
        <w:spacing w:after="0" w:line="197"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spacing w:after="0" w:line="204"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02"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Even if the claims do not result in litigation or are resolved in our favor, the time and resources needed to resolve them could divert our management’s resources and seriously harm our business, financial condition, results of operations and prospects.</w:t>
      </w:r>
    </w:p>
    <w:p>
      <w:pPr>
        <w:spacing w:after="0" w:line="183"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96" w:lineRule="exact"/>
        <w:rPr>
          <w:sz w:val="20"/>
          <w:szCs w:val="20"/>
          <w:color w:val="auto"/>
        </w:rPr>
      </w:pPr>
    </w:p>
    <w:p>
      <w:pPr>
        <w:jc w:val="both"/>
        <w:ind w:left="60" w:right="59"/>
        <w:spacing w:after="0" w:line="236"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spacing w:after="0" w:line="18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191" w:lineRule="exact"/>
        <w:rPr>
          <w:sz w:val="20"/>
          <w:szCs w:val="20"/>
          <w:color w:val="auto"/>
        </w:rPr>
      </w:pPr>
    </w:p>
    <w:p>
      <w:pPr>
        <w:jc w:val="both"/>
        <w:ind w:left="60" w:right="79"/>
        <w:spacing w:after="0" w:line="246" w:lineRule="auto"/>
        <w:rPr>
          <w:sz w:val="20"/>
          <w:szCs w:val="20"/>
          <w:color w:val="auto"/>
        </w:rPr>
      </w:pPr>
      <w:r>
        <w:rPr>
          <w:rFonts w:ascii="Arial" w:cs="Arial" w:eastAsia="Arial" w:hAnsi="Arial"/>
          <w:sz w:val="18"/>
          <w:szCs w:val="18"/>
          <w:color w:val="auto"/>
        </w:rPr>
        <w:t>The trading market for our common stock is influenced by the research and reports that securities or industry analysts publish about us, our business or our market. If any of the analysts who cover us issue adverse or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These claims and litigation against us could result in substantial costs and divert our management’s attention from other business concerns, which could seriously harm our business, financial condition, results of operations and prospects.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205"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 from our Initial Public Offering of Common Stock</w:t>
      </w:r>
    </w:p>
    <w:p>
      <w:pPr>
        <w:spacing w:after="0" w:line="234" w:lineRule="exact"/>
        <w:rPr>
          <w:sz w:val="20"/>
          <w:szCs w:val="20"/>
          <w:color w:val="auto"/>
        </w:rPr>
      </w:pPr>
    </w:p>
    <w:p>
      <w:pPr>
        <w:jc w:val="both"/>
        <w:ind w:left="60" w:right="59"/>
        <w:spacing w:after="0" w:line="237" w:lineRule="auto"/>
        <w:rPr>
          <w:sz w:val="20"/>
          <w:szCs w:val="20"/>
          <w:color w:val="auto"/>
        </w:rPr>
      </w:pPr>
      <w:r>
        <w:rPr>
          <w:rFonts w:ascii="Arial" w:cs="Arial" w:eastAsia="Arial" w:hAnsi="Arial"/>
          <w:sz w:val="18"/>
          <w:szCs w:val="18"/>
          <w:color w:val="auto"/>
        </w:rPr>
        <w:t>In November 2020, our Registration Statement on Form S-1 (No. 333-249748)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spacing w:after="0" w:line="203"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 sale and issuance of 12,650,000 shares in the IPO closed on November 23, 2020, J.P. Morgan Securities LLC, Jefferies LLC and Cowen and Company, LLC acted as joint book-running managers for the offering.</w:t>
      </w:r>
    </w:p>
    <w:p>
      <w:pPr>
        <w:spacing w:after="0" w:line="197"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color w:val="auto"/>
        </w:rPr>
        <w:t>There has been no material change in the planned use of proceeds from the IPO from that described in the prospectus filed with the SEC pursuant to Rule 424(b)(4) under the Securities Act on November 19, 2020.</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Repurchase of Shares of Company Equity Securities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5"/>
        </w:trPr>
        <w:tc>
          <w:tcPr>
            <w:tcW w:w="860" w:type="dxa"/>
            <w:vAlign w:val="bottom"/>
            <w:vMerge w:val="restart"/>
          </w:tcPr>
          <w:p>
            <w:pPr>
              <w:jc w:val="right"/>
              <w:ind w:right="51"/>
              <w:spacing w:after="0"/>
              <w:rPr>
                <w:sz w:val="20"/>
                <w:szCs w:val="20"/>
                <w:color w:val="auto"/>
              </w:rPr>
            </w:pPr>
            <w:r>
              <w:rPr>
                <w:rFonts w:ascii="Arial" w:cs="Arial" w:eastAsia="Arial" w:hAnsi="Arial"/>
                <w:sz w:val="18"/>
                <w:szCs w:val="18"/>
                <w:b w:val="1"/>
                <w:bCs w:val="1"/>
                <w:color w:val="auto"/>
              </w:rPr>
              <w:t>Exhibit</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Incorporated by Reference</w:t>
            </w:r>
          </w:p>
        </w:tc>
        <w:tc>
          <w:tcPr>
            <w:tcW w:w="0" w:type="dxa"/>
            <w:vAlign w:val="bottom"/>
          </w:tcPr>
          <w:p>
            <w:pPr>
              <w:spacing w:after="0"/>
              <w:rPr>
                <w:sz w:val="1"/>
                <w:szCs w:val="1"/>
                <w:color w:val="auto"/>
              </w:rPr>
            </w:pPr>
          </w:p>
        </w:tc>
      </w:tr>
      <w:tr>
        <w:trPr>
          <w:trHeight w:val="187"/>
        </w:trPr>
        <w:tc>
          <w:tcPr>
            <w:tcW w:w="86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80" w:type="dxa"/>
            <w:vAlign w:val="bottom"/>
            <w:gridSpan w:val="2"/>
          </w:tcPr>
          <w:p>
            <w:pPr>
              <w:jc w:val="center"/>
              <w:ind w:right="1090"/>
              <w:spacing w:after="0" w:line="187" w:lineRule="exact"/>
              <w:rPr>
                <w:sz w:val="20"/>
                <w:szCs w:val="20"/>
                <w:color w:val="auto"/>
              </w:rPr>
            </w:pPr>
            <w:r>
              <w:rPr>
                <w:rFonts w:ascii="Arial" w:cs="Arial" w:eastAsia="Arial" w:hAnsi="Arial"/>
                <w:sz w:val="18"/>
                <w:szCs w:val="18"/>
                <w:b w:val="1"/>
                <w:bCs w:val="1"/>
                <w:color w:val="auto"/>
                <w:w w:val="99"/>
              </w:rPr>
              <w:t>Schedule</w:t>
            </w:r>
          </w:p>
        </w:tc>
        <w:tc>
          <w:tcPr>
            <w:tcW w:w="680" w:type="dxa"/>
            <w:vAlign w:val="bottom"/>
          </w:tcPr>
          <w:p>
            <w:pPr>
              <w:spacing w:after="0"/>
              <w:rPr>
                <w:sz w:val="16"/>
                <w:szCs w:val="16"/>
                <w:color w:val="auto"/>
              </w:rPr>
            </w:pPr>
          </w:p>
        </w:tc>
        <w:tc>
          <w:tcPr>
            <w:tcW w:w="960" w:type="dxa"/>
            <w:vAlign w:val="bottom"/>
          </w:tcPr>
          <w:p>
            <w:pPr>
              <w:jc w:val="center"/>
              <w:spacing w:after="0" w:line="187" w:lineRule="exact"/>
              <w:rPr>
                <w:sz w:val="20"/>
                <w:szCs w:val="20"/>
                <w:color w:val="auto"/>
              </w:rPr>
            </w:pPr>
            <w:r>
              <w:rPr>
                <w:rFonts w:ascii="Arial" w:cs="Arial" w:eastAsia="Arial" w:hAnsi="Arial"/>
                <w:sz w:val="18"/>
                <w:szCs w:val="18"/>
                <w:b w:val="1"/>
                <w:bCs w:val="1"/>
                <w:color w:val="auto"/>
                <w:w w:val="99"/>
              </w:rPr>
              <w:t>Filing</w:t>
            </w:r>
          </w:p>
        </w:tc>
        <w:tc>
          <w:tcPr>
            <w:tcW w:w="0" w:type="dxa"/>
            <w:vAlign w:val="bottom"/>
          </w:tcPr>
          <w:p>
            <w:pPr>
              <w:spacing w:after="0"/>
              <w:rPr>
                <w:sz w:val="1"/>
                <w:szCs w:val="1"/>
                <w:color w:val="auto"/>
              </w:rPr>
            </w:pPr>
          </w:p>
        </w:tc>
      </w:tr>
      <w:tr>
        <w:trPr>
          <w:trHeight w:val="225"/>
        </w:trPr>
        <w:tc>
          <w:tcPr>
            <w:tcW w:w="8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Number</w:t>
            </w: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15"/>
          </w:tcPr>
          <w:p>
            <w:pPr>
              <w:ind w:left="240"/>
              <w:spacing w:after="0"/>
              <w:rPr>
                <w:sz w:val="20"/>
                <w:szCs w:val="20"/>
                <w:color w:val="auto"/>
              </w:rPr>
            </w:pPr>
            <w:r>
              <w:rPr>
                <w:rFonts w:ascii="Arial" w:cs="Arial" w:eastAsia="Arial" w:hAnsi="Arial"/>
                <w:sz w:val="18"/>
                <w:szCs w:val="18"/>
                <w:b w:val="1"/>
                <w:bCs w:val="1"/>
                <w:color w:val="auto"/>
              </w:rPr>
              <w:t>Description</w:t>
            </w:r>
          </w:p>
        </w:tc>
        <w:tc>
          <w:tcPr>
            <w:tcW w:w="64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rPr>
              <w:t>Form</w:t>
            </w:r>
          </w:p>
        </w:tc>
        <w:tc>
          <w:tcPr>
            <w:tcW w:w="134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9"/>
              </w:rPr>
              <w:t>File Number</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Exhibit</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Date</w:t>
            </w:r>
          </w:p>
        </w:tc>
        <w:tc>
          <w:tcPr>
            <w:tcW w:w="0" w:type="dxa"/>
            <w:vAlign w:val="bottom"/>
          </w:tcPr>
          <w:p>
            <w:pPr>
              <w:spacing w:after="0"/>
              <w:rPr>
                <w:sz w:val="1"/>
                <w:szCs w:val="1"/>
                <w:color w:val="auto"/>
              </w:rPr>
            </w:pPr>
          </w:p>
        </w:tc>
      </w:tr>
      <w:tr>
        <w:trPr>
          <w:trHeight w:val="183"/>
        </w:trPr>
        <w:tc>
          <w:tcPr>
            <w:tcW w:w="860" w:type="dxa"/>
            <w:vAlign w:val="bottom"/>
          </w:tcPr>
          <w:p>
            <w:pPr>
              <w:spacing w:after="0" w:line="182" w:lineRule="exact"/>
              <w:rPr>
                <w:sz w:val="20"/>
                <w:szCs w:val="20"/>
                <w:color w:val="auto"/>
              </w:rPr>
            </w:pPr>
            <w:r>
              <w:rPr>
                <w:rFonts w:ascii="Arial" w:cs="Arial" w:eastAsia="Arial" w:hAnsi="Arial"/>
                <w:sz w:val="18"/>
                <w:szCs w:val="18"/>
                <w:color w:val="auto"/>
              </w:rPr>
              <w:t>3.1</w:t>
            </w:r>
          </w:p>
        </w:tc>
        <w:tc>
          <w:tcPr>
            <w:tcW w:w="4420" w:type="dxa"/>
            <w:vAlign w:val="bottom"/>
            <w:gridSpan w:val="17"/>
          </w:tcPr>
          <w:p>
            <w:pPr>
              <w:spacing w:after="0" w:line="182" w:lineRule="exact"/>
              <w:rPr>
                <w:rFonts w:ascii="Arial" w:cs="Arial" w:eastAsia="Arial" w:hAnsi="Arial"/>
                <w:sz w:val="18"/>
                <w:szCs w:val="18"/>
                <w:color w:val="0000EE"/>
              </w:rPr>
            </w:pPr>
            <w:hyperlink r:id="rId134">
              <w:r>
                <w:rPr>
                  <w:rFonts w:ascii="Arial" w:cs="Arial" w:eastAsia="Arial" w:hAnsi="Arial"/>
                  <w:sz w:val="18"/>
                  <w:szCs w:val="18"/>
                  <w:color w:val="0000EE"/>
                </w:rPr>
                <w:t>Amended and Restated Certificate of Incorporation</w:t>
              </w:r>
            </w:hyperlink>
            <w:r>
              <w:rPr>
                <w:rFonts w:ascii="Arial" w:cs="Arial" w:eastAsia="Arial" w:hAnsi="Arial"/>
                <w:sz w:val="18"/>
                <w:szCs w:val="18"/>
                <w:color w:val="000000"/>
              </w:rPr>
              <w:t>.</w:t>
            </w:r>
          </w:p>
        </w:tc>
        <w:tc>
          <w:tcPr>
            <w:tcW w:w="640" w:type="dxa"/>
            <w:vAlign w:val="bottom"/>
          </w:tcPr>
          <w:p>
            <w:pPr>
              <w:jc w:val="center"/>
              <w:ind w:left="70"/>
              <w:spacing w:after="0" w:line="182"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82"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82" w:lineRule="exact"/>
              <w:rPr>
                <w:sz w:val="20"/>
                <w:szCs w:val="20"/>
                <w:color w:val="auto"/>
              </w:rPr>
            </w:pPr>
            <w:r>
              <w:rPr>
                <w:rFonts w:ascii="Arial" w:cs="Arial" w:eastAsia="Arial" w:hAnsi="Arial"/>
                <w:sz w:val="18"/>
                <w:szCs w:val="18"/>
                <w:color w:val="auto"/>
                <w:w w:val="95"/>
              </w:rPr>
              <w:t>3.1</w:t>
            </w:r>
          </w:p>
        </w:tc>
        <w:tc>
          <w:tcPr>
            <w:tcW w:w="960" w:type="dxa"/>
            <w:vAlign w:val="bottom"/>
          </w:tcPr>
          <w:p>
            <w:pPr>
              <w:jc w:val="center"/>
              <w:spacing w:after="0" w:line="182" w:lineRule="exact"/>
              <w:rPr>
                <w:sz w:val="20"/>
                <w:szCs w:val="20"/>
                <w:color w:val="auto"/>
              </w:rPr>
            </w:pPr>
            <w:r>
              <w:rPr>
                <w:rFonts w:ascii="Arial" w:cs="Arial" w:eastAsia="Arial" w:hAnsi="Arial"/>
                <w:sz w:val="18"/>
                <w:szCs w:val="18"/>
                <w:color w:val="auto"/>
                <w:w w:val="99"/>
              </w:rPr>
              <w:t>11/23/2020</w:t>
            </w: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5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9"/>
              </w:rPr>
            </w:pPr>
            <w:hyperlink r:id="rId135">
              <w:r>
                <w:rPr>
                  <w:rFonts w:ascii="Arial" w:cs="Arial" w:eastAsia="Arial" w:hAnsi="Arial"/>
                  <w:sz w:val="18"/>
                  <w:szCs w:val="18"/>
                  <w:color w:val="0000EE"/>
                  <w:w w:val="99"/>
                </w:rPr>
                <w:t>Amended and Restated Bylaws.</w:t>
              </w:r>
            </w:hyperlink>
          </w:p>
        </w:tc>
        <w:tc>
          <w:tcPr>
            <w:tcW w:w="1480" w:type="dxa"/>
            <w:vAlign w:val="bottom"/>
            <w:tcBorders>
              <w:top w:val="single" w:sz="8" w:color="0000EE"/>
            </w:tcBorders>
            <w:gridSpan w:val="7"/>
          </w:tcPr>
          <w:p>
            <w:pPr>
              <w:spacing w:after="0"/>
              <w:rPr>
                <w:sz w:val="17"/>
                <w:szCs w:val="17"/>
                <w:color w:val="auto"/>
              </w:rPr>
            </w:pPr>
          </w:p>
        </w:tc>
        <w:tc>
          <w:tcPr>
            <w:tcW w:w="380" w:type="dxa"/>
            <w:vAlign w:val="bottom"/>
            <w:gridSpan w:val="7"/>
          </w:tcPr>
          <w:p>
            <w:pPr>
              <w:spacing w:after="0"/>
              <w:rPr>
                <w:sz w:val="17"/>
                <w:szCs w:val="17"/>
                <w:color w:val="auto"/>
              </w:rPr>
            </w:pPr>
          </w:p>
        </w:tc>
        <w:tc>
          <w:tcPr>
            <w:tcW w:w="640" w:type="dxa"/>
            <w:vAlign w:val="bottom"/>
          </w:tcPr>
          <w:p>
            <w:pPr>
              <w:jc w:val="center"/>
              <w:ind w:left="70"/>
              <w:spacing w:after="0" w:line="196" w:lineRule="exact"/>
              <w:rPr>
                <w:sz w:val="20"/>
                <w:szCs w:val="20"/>
                <w:color w:val="auto"/>
              </w:rPr>
            </w:pPr>
            <w:r>
              <w:rPr>
                <w:rFonts w:ascii="Arial" w:cs="Arial" w:eastAsia="Arial" w:hAnsi="Arial"/>
                <w:sz w:val="18"/>
                <w:szCs w:val="18"/>
                <w:color w:val="auto"/>
                <w:w w:val="99"/>
              </w:rPr>
              <w:t>8-K</w:t>
            </w:r>
          </w:p>
        </w:tc>
        <w:tc>
          <w:tcPr>
            <w:tcW w:w="1340" w:type="dxa"/>
            <w:vAlign w:val="bottom"/>
          </w:tcPr>
          <w:p>
            <w:pPr>
              <w:jc w:val="center"/>
              <w:ind w:left="110"/>
              <w:spacing w:after="0" w:line="196" w:lineRule="exact"/>
              <w:rPr>
                <w:sz w:val="20"/>
                <w:szCs w:val="20"/>
                <w:color w:val="auto"/>
              </w:rPr>
            </w:pPr>
            <w:r>
              <w:rPr>
                <w:rFonts w:ascii="Arial" w:cs="Arial" w:eastAsia="Arial" w:hAnsi="Arial"/>
                <w:sz w:val="18"/>
                <w:szCs w:val="18"/>
                <w:color w:val="auto"/>
                <w:w w:val="99"/>
              </w:rPr>
              <w:t>001-39712</w:t>
            </w:r>
          </w:p>
        </w:tc>
        <w:tc>
          <w:tcPr>
            <w:tcW w:w="680" w:type="dxa"/>
            <w:vAlign w:val="bottom"/>
          </w:tcPr>
          <w:p>
            <w:pPr>
              <w:jc w:val="center"/>
              <w:spacing w:after="0" w:line="196" w:lineRule="exact"/>
              <w:rPr>
                <w:sz w:val="20"/>
                <w:szCs w:val="20"/>
                <w:color w:val="auto"/>
              </w:rPr>
            </w:pPr>
            <w:r>
              <w:rPr>
                <w:rFonts w:ascii="Arial" w:cs="Arial" w:eastAsia="Arial" w:hAnsi="Arial"/>
                <w:sz w:val="18"/>
                <w:szCs w:val="18"/>
                <w:color w:val="auto"/>
                <w:w w:val="95"/>
              </w:rPr>
              <w:t>3.1</w:t>
            </w:r>
          </w:p>
        </w:tc>
        <w:tc>
          <w:tcPr>
            <w:tcW w:w="960" w:type="dxa"/>
            <w:vAlign w:val="bottom"/>
          </w:tcPr>
          <w:p>
            <w:pPr>
              <w:jc w:val="center"/>
              <w:spacing w:after="0" w:line="196" w:lineRule="exact"/>
              <w:rPr>
                <w:sz w:val="20"/>
                <w:szCs w:val="20"/>
                <w:color w:val="auto"/>
              </w:rPr>
            </w:pPr>
            <w:r>
              <w:rPr>
                <w:rFonts w:ascii="Arial" w:cs="Arial" w:eastAsia="Arial" w:hAnsi="Arial"/>
                <w:sz w:val="18"/>
                <w:szCs w:val="18"/>
                <w:color w:val="auto"/>
                <w:w w:val="99"/>
              </w:rPr>
              <w:t>12/16/2022</w:t>
            </w:r>
          </w:p>
        </w:tc>
        <w:tc>
          <w:tcPr>
            <w:tcW w:w="0" w:type="dxa"/>
            <w:vAlign w:val="bottom"/>
          </w:tcPr>
          <w:p>
            <w:pPr>
              <w:spacing w:after="0"/>
              <w:rPr>
                <w:sz w:val="1"/>
                <w:szCs w:val="1"/>
                <w:color w:val="auto"/>
              </w:rPr>
            </w:pPr>
          </w:p>
        </w:tc>
      </w:tr>
      <w:tr>
        <w:trPr>
          <w:trHeight w:val="196"/>
        </w:trPr>
        <w:tc>
          <w:tcPr>
            <w:tcW w:w="860" w:type="dxa"/>
            <w:vAlign w:val="bottom"/>
          </w:tcPr>
          <w:p>
            <w:pPr>
              <w:spacing w:after="0" w:line="195" w:lineRule="exact"/>
              <w:rPr>
                <w:sz w:val="20"/>
                <w:szCs w:val="20"/>
                <w:color w:val="auto"/>
              </w:rPr>
            </w:pPr>
            <w:r>
              <w:rPr>
                <w:rFonts w:ascii="Arial" w:cs="Arial" w:eastAsia="Arial" w:hAnsi="Arial"/>
                <w:sz w:val="16"/>
                <w:szCs w:val="16"/>
                <w:color w:val="auto"/>
              </w:rPr>
              <w:t>10.1*</w:t>
            </w:r>
            <w:r>
              <w:rPr>
                <w:rFonts w:ascii="Arial" w:cs="Arial" w:eastAsia="Arial" w:hAnsi="Arial"/>
                <w:sz w:val="22"/>
                <w:szCs w:val="22"/>
                <w:color w:val="auto"/>
                <w:vertAlign w:val="superscript"/>
              </w:rPr>
              <w:t>¥</w:t>
            </w:r>
          </w:p>
        </w:tc>
        <w:tc>
          <w:tcPr>
            <w:tcW w:w="392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7"/>
              </w:rPr>
              <w:t>Amended and Restated Clinical Collaboration and</w:t>
            </w:r>
          </w:p>
        </w:tc>
        <w:tc>
          <w:tcPr>
            <w:tcW w:w="500" w:type="dxa"/>
            <w:vAlign w:val="bottom"/>
            <w:gridSpan w:val="8"/>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60" w:type="dxa"/>
            <w:vAlign w:val="bottom"/>
          </w:tcPr>
          <w:p>
            <w:pPr>
              <w:spacing w:after="0"/>
              <w:rPr>
                <w:sz w:val="15"/>
                <w:szCs w:val="15"/>
                <w:color w:val="auto"/>
              </w:rPr>
            </w:pPr>
          </w:p>
        </w:tc>
        <w:tc>
          <w:tcPr>
            <w:tcW w:w="4420" w:type="dxa"/>
            <w:vAlign w:val="bottom"/>
            <w:gridSpan w:val="17"/>
          </w:tcPr>
          <w:p>
            <w:pPr>
              <w:spacing w:after="0" w:line="182" w:lineRule="exact"/>
              <w:rPr>
                <w:sz w:val="20"/>
                <w:szCs w:val="20"/>
                <w:color w:val="auto"/>
              </w:rPr>
            </w:pPr>
            <w:r>
              <w:rPr>
                <w:rFonts w:ascii="Arial" w:cs="Arial" w:eastAsia="Arial" w:hAnsi="Arial"/>
                <w:sz w:val="18"/>
                <w:szCs w:val="18"/>
                <w:color w:val="0000EE"/>
              </w:rPr>
              <w:t>Supply Agreement, by and between the Registrant and</w:t>
            </w: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4380" w:type="dxa"/>
            <w:vAlign w:val="bottom"/>
            <w:tcBorders>
              <w:bottom w:val="single" w:sz="8" w:color="0000EE"/>
            </w:tcBorders>
            <w:gridSpan w:val="16"/>
          </w:tcPr>
          <w:p>
            <w:pPr>
              <w:spacing w:after="0" w:line="182" w:lineRule="exact"/>
              <w:rPr>
                <w:sz w:val="20"/>
                <w:szCs w:val="20"/>
                <w:color w:val="auto"/>
              </w:rPr>
            </w:pPr>
            <w:r>
              <w:rPr>
                <w:rFonts w:ascii="Arial" w:cs="Arial" w:eastAsia="Arial" w:hAnsi="Arial"/>
                <w:sz w:val="18"/>
                <w:szCs w:val="18"/>
                <w:color w:val="0000EE"/>
                <w:w w:val="99"/>
              </w:rPr>
              <w:t>Novartis Institutes for BioMedical Research, Inc., dated</w:t>
            </w: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20"/>
                <w:szCs w:val="20"/>
                <w:color w:val="auto"/>
              </w:rPr>
            </w:pPr>
            <w:r>
              <w:rPr>
                <w:rFonts w:ascii="Arial" w:cs="Arial" w:eastAsia="Arial" w:hAnsi="Arial"/>
                <w:sz w:val="18"/>
                <w:szCs w:val="18"/>
                <w:color w:val="auto"/>
              </w:rPr>
              <w:t>10.2*</w:t>
            </w:r>
            <w:r>
              <w:rPr>
                <w:rFonts w:ascii="Arial" w:cs="Arial" w:eastAsia="Arial" w:hAnsi="Arial"/>
                <w:sz w:val="26"/>
                <w:szCs w:val="26"/>
                <w:color w:val="auto"/>
                <w:vertAlign w:val="superscript"/>
              </w:rPr>
              <w:t>#</w:t>
            </w:r>
          </w:p>
        </w:tc>
        <w:tc>
          <w:tcPr>
            <w:tcW w:w="4420" w:type="dxa"/>
            <w:vAlign w:val="bottom"/>
            <w:gridSpan w:val="17"/>
          </w:tcPr>
          <w:p>
            <w:pPr>
              <w:spacing w:after="0" w:line="182" w:lineRule="exact"/>
              <w:rPr>
                <w:sz w:val="20"/>
                <w:szCs w:val="20"/>
                <w:color w:val="auto"/>
              </w:rPr>
            </w:pPr>
            <w:r>
              <w:rPr>
                <w:rFonts w:ascii="Arial" w:cs="Arial" w:eastAsia="Arial" w:hAnsi="Arial"/>
                <w:sz w:val="18"/>
                <w:szCs w:val="18"/>
                <w:color w:val="0000EE"/>
              </w:rPr>
              <w:t>January 13, 2022</w:t>
            </w:r>
            <w:r>
              <w:rPr>
                <w:rFonts w:ascii="Arial" w:cs="Arial" w:eastAsia="Arial" w:hAnsi="Arial"/>
                <w:sz w:val="18"/>
                <w:szCs w:val="18"/>
                <w:color w:val="000000"/>
              </w:rPr>
              <w:t>.</w:t>
            </w: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vMerge w:val="continue"/>
          </w:tcPr>
          <w:p>
            <w:pPr>
              <w:spacing w:after="0"/>
              <w:rPr>
                <w:sz w:val="17"/>
                <w:szCs w:val="17"/>
                <w:color w:val="auto"/>
              </w:rPr>
            </w:pPr>
          </w:p>
        </w:tc>
        <w:tc>
          <w:tcPr>
            <w:tcW w:w="4420" w:type="dxa"/>
            <w:vAlign w:val="bottom"/>
            <w:gridSpan w:val="17"/>
          </w:tcPr>
          <w:p>
            <w:pPr>
              <w:spacing w:after="0" w:line="196" w:lineRule="exact"/>
              <w:rPr>
                <w:sz w:val="20"/>
                <w:szCs w:val="20"/>
                <w:color w:val="auto"/>
              </w:rPr>
            </w:pPr>
            <w:r>
              <w:rPr>
                <w:rFonts w:ascii="Arial" w:cs="Arial" w:eastAsia="Arial" w:hAnsi="Arial"/>
                <w:sz w:val="18"/>
                <w:szCs w:val="18"/>
                <w:color w:val="0000EE"/>
              </w:rPr>
              <w:t>Separation Agreement by and between the Registrant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20"/>
                <w:szCs w:val="20"/>
                <w:color w:val="auto"/>
              </w:rPr>
            </w:pPr>
            <w:r>
              <w:rPr>
                <w:rFonts w:ascii="Arial" w:cs="Arial" w:eastAsia="Arial" w:hAnsi="Arial"/>
                <w:sz w:val="18"/>
                <w:szCs w:val="18"/>
                <w:color w:val="auto"/>
              </w:rPr>
              <w:t>10.3*</w:t>
            </w:r>
            <w:r>
              <w:rPr>
                <w:rFonts w:ascii="Arial" w:cs="Arial" w:eastAsia="Arial" w:hAnsi="Arial"/>
                <w:sz w:val="26"/>
                <w:szCs w:val="26"/>
                <w:color w:val="auto"/>
                <w:vertAlign w:val="superscript"/>
              </w:rPr>
              <w:t>#</w:t>
            </w:r>
          </w:p>
        </w:tc>
        <w:tc>
          <w:tcPr>
            <w:tcW w:w="42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and Cyrus Harmon, dated March 21, 2023</w:t>
            </w:r>
            <w:r>
              <w:rPr>
                <w:rFonts w:ascii="Arial" w:cs="Arial" w:eastAsia="Arial" w:hAnsi="Arial"/>
                <w:sz w:val="18"/>
                <w:szCs w:val="18"/>
                <w:color w:val="000000"/>
              </w:rPr>
              <w:t>.</w:t>
            </w: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vMerge w:val="continu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vMerge w:val="continue"/>
          </w:tcPr>
          <w:p>
            <w:pPr>
              <w:spacing w:after="0"/>
              <w:rPr>
                <w:sz w:val="17"/>
                <w:szCs w:val="17"/>
                <w:color w:val="auto"/>
              </w:rPr>
            </w:pPr>
          </w:p>
        </w:tc>
        <w:tc>
          <w:tcPr>
            <w:tcW w:w="4420" w:type="dxa"/>
            <w:vAlign w:val="bottom"/>
            <w:gridSpan w:val="17"/>
          </w:tcPr>
          <w:p>
            <w:pPr>
              <w:spacing w:after="0" w:line="196" w:lineRule="exact"/>
              <w:rPr>
                <w:sz w:val="20"/>
                <w:szCs w:val="20"/>
                <w:color w:val="auto"/>
              </w:rPr>
            </w:pPr>
            <w:r>
              <w:rPr>
                <w:rFonts w:ascii="Arial" w:cs="Arial" w:eastAsia="Arial" w:hAnsi="Arial"/>
                <w:sz w:val="18"/>
                <w:szCs w:val="18"/>
                <w:color w:val="0000EE"/>
              </w:rPr>
              <w:t>Separation Agreement by and between the Registrant</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280" w:type="dxa"/>
            <w:vAlign w:val="bottom"/>
            <w:tcBorders>
              <w:top w:val="single" w:sz="8" w:color="0000EE"/>
            </w:tcBorders>
            <w:gridSpan w:val="14"/>
          </w:tcPr>
          <w:p>
            <w:pPr>
              <w:spacing w:after="0" w:line="182" w:lineRule="exact"/>
              <w:rPr>
                <w:sz w:val="20"/>
                <w:szCs w:val="20"/>
                <w:color w:val="auto"/>
              </w:rPr>
            </w:pPr>
            <w:r>
              <w:rPr>
                <w:rFonts w:ascii="Arial" w:cs="Arial" w:eastAsia="Arial" w:hAnsi="Arial"/>
                <w:sz w:val="18"/>
                <w:szCs w:val="18"/>
                <w:color w:val="0000EE"/>
              </w:rPr>
              <w:t>and Kinney Horn, dated March 8, 2023</w:t>
            </w:r>
            <w:r>
              <w:rPr>
                <w:rFonts w:ascii="Arial" w:cs="Arial" w:eastAsia="Arial" w:hAnsi="Arial"/>
                <w:sz w:val="18"/>
                <w:szCs w:val="18"/>
                <w:color w:val="000000"/>
              </w:rPr>
              <w:t>.</w:t>
            </w:r>
          </w:p>
        </w:tc>
        <w:tc>
          <w:tcPr>
            <w:tcW w:w="140" w:type="dxa"/>
            <w:vAlign w:val="bottom"/>
            <w:gridSpan w:val="3"/>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4420" w:type="dxa"/>
            <w:vAlign w:val="bottom"/>
            <w:gridSpan w:val="17"/>
          </w:tcPr>
          <w:p>
            <w:pPr>
              <w:spacing w:after="0" w:line="196" w:lineRule="exact"/>
              <w:rPr>
                <w:sz w:val="20"/>
                <w:szCs w:val="20"/>
                <w:color w:val="auto"/>
              </w:rPr>
            </w:pPr>
            <w:r>
              <w:rPr>
                <w:rFonts w:ascii="Arial" w:cs="Arial" w:eastAsia="Arial" w:hAnsi="Arial"/>
                <w:sz w:val="18"/>
                <w:szCs w:val="18"/>
                <w:color w:val="0000EE"/>
              </w:rPr>
              <w:t>Certification of Chief Executive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28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412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Rules 13a-14(a) and 15d-14(a) under the Securities</w:t>
            </w:r>
          </w:p>
        </w:tc>
        <w:tc>
          <w:tcPr>
            <w:tcW w:w="3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7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Exchange Act of 1934, as Adopted Pursuant to</w:t>
            </w:r>
          </w:p>
        </w:tc>
        <w:tc>
          <w:tcPr>
            <w:tcW w:w="68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80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Section 302 of the Sarbanes-Oxley Act of 2002.</w:t>
            </w:r>
          </w:p>
        </w:tc>
        <w:tc>
          <w:tcPr>
            <w:tcW w:w="62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4420" w:type="dxa"/>
            <w:vAlign w:val="bottom"/>
            <w:gridSpan w:val="17"/>
          </w:tcPr>
          <w:p>
            <w:pPr>
              <w:spacing w:after="0" w:line="196" w:lineRule="exact"/>
              <w:rPr>
                <w:sz w:val="20"/>
                <w:szCs w:val="20"/>
                <w:color w:val="auto"/>
              </w:rPr>
            </w:pPr>
            <w:r>
              <w:rPr>
                <w:rFonts w:ascii="Arial" w:cs="Arial" w:eastAsia="Arial" w:hAnsi="Arial"/>
                <w:sz w:val="18"/>
                <w:szCs w:val="18"/>
                <w:color w:val="0000EE"/>
              </w:rPr>
              <w:t>Certification of Chief Financial Officer Pursuant to</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38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60" w:type="dxa"/>
            <w:vAlign w:val="bottom"/>
          </w:tcPr>
          <w:p>
            <w:pPr>
              <w:spacing w:after="0"/>
              <w:rPr>
                <w:sz w:val="15"/>
                <w:szCs w:val="15"/>
                <w:color w:val="auto"/>
              </w:rPr>
            </w:pPr>
          </w:p>
        </w:tc>
        <w:tc>
          <w:tcPr>
            <w:tcW w:w="4120" w:type="dxa"/>
            <w:vAlign w:val="bottom"/>
            <w:tcBorders>
              <w:bottom w:val="single" w:sz="8" w:color="0000EE"/>
            </w:tcBorders>
            <w:gridSpan w:val="11"/>
          </w:tcPr>
          <w:p>
            <w:pPr>
              <w:spacing w:after="0" w:line="182" w:lineRule="exact"/>
              <w:rPr>
                <w:sz w:val="20"/>
                <w:szCs w:val="20"/>
                <w:color w:val="auto"/>
              </w:rPr>
            </w:pPr>
            <w:r>
              <w:rPr>
                <w:rFonts w:ascii="Arial" w:cs="Arial" w:eastAsia="Arial" w:hAnsi="Arial"/>
                <w:sz w:val="18"/>
                <w:szCs w:val="18"/>
                <w:color w:val="0000EE"/>
                <w:w w:val="99"/>
              </w:rPr>
              <w:t>Rules 13a-14(a) and 15d-14(a) under the Securities</w:t>
            </w:r>
          </w:p>
        </w:tc>
        <w:tc>
          <w:tcPr>
            <w:tcW w:w="300" w:type="dxa"/>
            <w:vAlign w:val="bottom"/>
            <w:gridSpan w:val="6"/>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3740" w:type="dxa"/>
            <w:vAlign w:val="bottom"/>
            <w:tcBorders>
              <w:bottom w:val="single" w:sz="8" w:color="0000EE"/>
            </w:tcBorders>
            <w:gridSpan w:val="6"/>
          </w:tcPr>
          <w:p>
            <w:pPr>
              <w:spacing w:after="0" w:line="182" w:lineRule="exact"/>
              <w:rPr>
                <w:sz w:val="20"/>
                <w:szCs w:val="20"/>
                <w:color w:val="auto"/>
              </w:rPr>
            </w:pPr>
            <w:r>
              <w:rPr>
                <w:rFonts w:ascii="Arial" w:cs="Arial" w:eastAsia="Arial" w:hAnsi="Arial"/>
                <w:sz w:val="18"/>
                <w:szCs w:val="18"/>
                <w:color w:val="0000EE"/>
                <w:w w:val="99"/>
              </w:rPr>
              <w:t>Exchange Act of 1934, as Adopted Pursuant to</w:t>
            </w:r>
          </w:p>
        </w:tc>
        <w:tc>
          <w:tcPr>
            <w:tcW w:w="680" w:type="dxa"/>
            <w:vAlign w:val="bottom"/>
            <w:gridSpan w:val="11"/>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vMerge w:val="restart"/>
          </w:tcPr>
          <w:p>
            <w:pPr>
              <w:spacing w:after="0"/>
              <w:rPr>
                <w:sz w:val="20"/>
                <w:szCs w:val="20"/>
                <w:color w:val="auto"/>
              </w:rPr>
            </w:pPr>
            <w:r>
              <w:rPr>
                <w:rFonts w:ascii="Arial" w:cs="Arial" w:eastAsia="Arial" w:hAnsi="Arial"/>
                <w:sz w:val="18"/>
                <w:szCs w:val="18"/>
                <w:color w:val="auto"/>
              </w:rPr>
              <w:t>32.1*</w:t>
            </w:r>
            <w:r>
              <w:rPr>
                <w:rFonts w:ascii="Arial" w:cs="Arial" w:eastAsia="Arial" w:hAnsi="Arial"/>
                <w:sz w:val="26"/>
                <w:szCs w:val="26"/>
                <w:color w:val="auto"/>
                <w:vertAlign w:val="superscript"/>
              </w:rPr>
              <w:t>†</w:t>
            </w:r>
          </w:p>
        </w:tc>
        <w:tc>
          <w:tcPr>
            <w:tcW w:w="3800" w:type="dxa"/>
            <w:vAlign w:val="bottom"/>
            <w:tcBorders>
              <w:bottom w:val="single" w:sz="8" w:color="0000EE"/>
            </w:tcBorders>
            <w:gridSpan w:val="7"/>
          </w:tcPr>
          <w:p>
            <w:pPr>
              <w:spacing w:after="0" w:line="182" w:lineRule="exact"/>
              <w:rPr>
                <w:sz w:val="20"/>
                <w:szCs w:val="20"/>
                <w:color w:val="auto"/>
              </w:rPr>
            </w:pPr>
            <w:r>
              <w:rPr>
                <w:rFonts w:ascii="Arial" w:cs="Arial" w:eastAsia="Arial" w:hAnsi="Arial"/>
                <w:sz w:val="18"/>
                <w:szCs w:val="18"/>
                <w:color w:val="0000EE"/>
                <w:w w:val="99"/>
              </w:rPr>
              <w:t>Section 302 of the Sarbanes-Oxley Act of 2002.</w:t>
            </w:r>
          </w:p>
        </w:tc>
        <w:tc>
          <w:tcPr>
            <w:tcW w:w="620" w:type="dxa"/>
            <w:vAlign w:val="bottom"/>
            <w:gridSpan w:val="10"/>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60" w:type="dxa"/>
            <w:vAlign w:val="bottom"/>
            <w:vMerge w:val="continue"/>
          </w:tcPr>
          <w:p>
            <w:pPr>
              <w:spacing w:after="0"/>
              <w:rPr>
                <w:sz w:val="17"/>
                <w:szCs w:val="17"/>
                <w:color w:val="auto"/>
              </w:rPr>
            </w:pPr>
          </w:p>
        </w:tc>
        <w:tc>
          <w:tcPr>
            <w:tcW w:w="384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99"/>
              </w:rPr>
              <w:t>Certification of Chief Executive Officer and Chief</w:t>
            </w:r>
          </w:p>
        </w:tc>
        <w:tc>
          <w:tcPr>
            <w:tcW w:w="58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240" w:type="dxa"/>
            <w:vAlign w:val="bottom"/>
            <w:tcBorders>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Financial Officer Pursuant to 18 U.S.C. Section 1350,</w:t>
            </w:r>
          </w:p>
        </w:tc>
        <w:tc>
          <w:tcPr>
            <w:tcW w:w="180" w:type="dxa"/>
            <w:vAlign w:val="bottom"/>
            <w:gridSpan w:val="5"/>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260" w:type="dxa"/>
            <w:vAlign w:val="bottom"/>
            <w:tcBorders>
              <w:bottom w:val="single" w:sz="8" w:color="0000EE"/>
            </w:tcBorders>
            <w:gridSpan w:val="13"/>
          </w:tcPr>
          <w:p>
            <w:pPr>
              <w:spacing w:after="0" w:line="182" w:lineRule="exact"/>
              <w:rPr>
                <w:sz w:val="20"/>
                <w:szCs w:val="20"/>
                <w:color w:val="auto"/>
              </w:rPr>
            </w:pPr>
            <w:r>
              <w:rPr>
                <w:rFonts w:ascii="Arial" w:cs="Arial" w:eastAsia="Arial" w:hAnsi="Arial"/>
                <w:sz w:val="18"/>
                <w:szCs w:val="18"/>
                <w:color w:val="0000EE"/>
                <w:w w:val="99"/>
              </w:rPr>
              <w:t>as Adopted Pursuant to Section 906 of the Sarbanes-</w:t>
            </w:r>
          </w:p>
        </w:tc>
        <w:tc>
          <w:tcPr>
            <w:tcW w:w="160" w:type="dxa"/>
            <w:vAlign w:val="bottom"/>
            <w:gridSpan w:val="4"/>
          </w:tcPr>
          <w:p>
            <w:pPr>
              <w:spacing w:after="0"/>
              <w:rPr>
                <w:sz w:val="15"/>
                <w:szCs w:val="15"/>
                <w:color w:val="auto"/>
              </w:rPr>
            </w:pP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60" w:type="dxa"/>
            <w:vAlign w:val="bottom"/>
          </w:tcPr>
          <w:p>
            <w:pPr>
              <w:spacing w:after="0"/>
              <w:rPr>
                <w:sz w:val="15"/>
                <w:szCs w:val="15"/>
                <w:color w:val="auto"/>
              </w:rPr>
            </w:pPr>
          </w:p>
        </w:tc>
        <w:tc>
          <w:tcPr>
            <w:tcW w:w="4420" w:type="dxa"/>
            <w:vAlign w:val="bottom"/>
            <w:gridSpan w:val="17"/>
          </w:tcPr>
          <w:p>
            <w:pPr>
              <w:spacing w:after="0" w:line="182" w:lineRule="exact"/>
              <w:rPr>
                <w:sz w:val="20"/>
                <w:szCs w:val="20"/>
                <w:color w:val="auto"/>
              </w:rPr>
            </w:pPr>
            <w:r>
              <w:rPr>
                <w:rFonts w:ascii="Arial" w:cs="Arial" w:eastAsia="Arial" w:hAnsi="Arial"/>
                <w:sz w:val="18"/>
                <w:szCs w:val="18"/>
                <w:color w:val="0000EE"/>
              </w:rPr>
              <w:t>Oxley Act of 2002.</w:t>
            </w:r>
          </w:p>
        </w:tc>
        <w:tc>
          <w:tcPr>
            <w:tcW w:w="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960" w:type="dxa"/>
            <w:vAlign w:val="bottom"/>
            <w:gridSpan w:val="1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60" w:type="dxa"/>
            <w:vAlign w:val="bottom"/>
          </w:tcPr>
          <w:p>
            <w:pPr>
              <w:jc w:val="right"/>
              <w:ind w:right="51"/>
              <w:spacing w:after="0"/>
              <w:rPr>
                <w:sz w:val="20"/>
                <w:szCs w:val="20"/>
                <w:color w:val="auto"/>
              </w:rPr>
            </w:pPr>
            <w:r>
              <w:rPr>
                <w:rFonts w:ascii="Arial" w:cs="Arial" w:eastAsia="Arial" w:hAnsi="Arial"/>
                <w:sz w:val="18"/>
                <w:szCs w:val="18"/>
                <w:color w:val="auto"/>
                <w:w w:val="97"/>
              </w:rPr>
              <w:t>101.INS*</w:t>
            </w:r>
          </w:p>
        </w:tc>
        <w:tc>
          <w:tcPr>
            <w:tcW w:w="4420" w:type="dxa"/>
            <w:vAlign w:val="bottom"/>
            <w:gridSpan w:val="17"/>
          </w:tcPr>
          <w:p>
            <w:pPr>
              <w:spacing w:after="0"/>
              <w:rPr>
                <w:sz w:val="20"/>
                <w:szCs w:val="20"/>
                <w:color w:val="auto"/>
              </w:rPr>
            </w:pPr>
            <w:r>
              <w:rPr>
                <w:rFonts w:ascii="Arial" w:cs="Arial" w:eastAsia="Arial" w:hAnsi="Arial"/>
                <w:sz w:val="18"/>
                <w:szCs w:val="18"/>
                <w:color w:val="auto"/>
              </w:rPr>
              <w:t>Inline XBRL Instance Document – the instance</w:t>
            </w:r>
          </w:p>
        </w:tc>
        <w:tc>
          <w:tcPr>
            <w:tcW w:w="6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420" w:type="dxa"/>
            <w:vAlign w:val="bottom"/>
            <w:gridSpan w:val="17"/>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0" w:type="dxa"/>
            <w:vAlign w:val="bottom"/>
          </w:tcPr>
          <w:p>
            <w:pPr>
              <w:spacing w:after="0"/>
              <w:rPr>
                <w:sz w:val="17"/>
                <w:szCs w:val="17"/>
                <w:color w:val="auto"/>
              </w:rPr>
            </w:pPr>
          </w:p>
        </w:tc>
        <w:tc>
          <w:tcPr>
            <w:tcW w:w="4420" w:type="dxa"/>
            <w:vAlign w:val="bottom"/>
            <w:gridSpan w:val="17"/>
          </w:tcPr>
          <w:p>
            <w:pPr>
              <w:spacing w:after="0" w:line="202" w:lineRule="exact"/>
              <w:rPr>
                <w:sz w:val="20"/>
                <w:szCs w:val="20"/>
                <w:color w:val="auto"/>
              </w:rPr>
            </w:pPr>
            <w:r>
              <w:rPr>
                <w:rFonts w:ascii="Arial" w:cs="Arial" w:eastAsia="Arial" w:hAnsi="Arial"/>
                <w:sz w:val="18"/>
                <w:szCs w:val="18"/>
                <w:color w:val="auto"/>
              </w:rPr>
              <w:t>because its XBRL tags are embedded within the Inline</w:t>
            </w:r>
          </w:p>
        </w:tc>
        <w:tc>
          <w:tcPr>
            <w:tcW w:w="6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4420" w:type="dxa"/>
            <w:vAlign w:val="bottom"/>
            <w:gridSpan w:val="17"/>
          </w:tcPr>
          <w:p>
            <w:pPr>
              <w:spacing w:after="0"/>
              <w:rPr>
                <w:sz w:val="20"/>
                <w:szCs w:val="20"/>
                <w:color w:val="auto"/>
              </w:rPr>
            </w:pPr>
            <w:r>
              <w:rPr>
                <w:rFonts w:ascii="Arial" w:cs="Arial" w:eastAsia="Arial" w:hAnsi="Arial"/>
                <w:sz w:val="18"/>
                <w:szCs w:val="18"/>
                <w:color w:val="auto"/>
              </w:rPr>
              <w:t>XBRL Document</w:t>
            </w:r>
          </w:p>
        </w:tc>
        <w:tc>
          <w:tcPr>
            <w:tcW w:w="6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0"/>
        <w:spacing w:after="0"/>
        <w:rPr>
          <w:sz w:val="20"/>
          <w:szCs w:val="20"/>
          <w:color w:val="auto"/>
        </w:rPr>
      </w:pPr>
      <w:r>
        <w:rPr>
          <w:rFonts w:ascii="Arial" w:cs="Arial" w:eastAsia="Arial" w:hAnsi="Arial"/>
          <w:sz w:val="18"/>
          <w:szCs w:val="18"/>
          <w:color w:val="auto"/>
        </w:rPr>
        <w:t>101.SCH* Inline XBRL Taxonomy Extension Schema 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Inline XBRL Taxonomy Extension Calculation Linkbase</w:t>
      </w:r>
    </w:p>
    <w:p>
      <w:pPr>
        <w:ind w:left="92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Inline XBRL Taxonomy Extension Definition Linkbase</w:t>
      </w:r>
    </w:p>
    <w:p>
      <w:pPr>
        <w:ind w:left="920"/>
        <w:spacing w:after="0"/>
        <w:rPr>
          <w:sz w:val="20"/>
          <w:szCs w:val="20"/>
          <w:color w:val="auto"/>
        </w:rPr>
      </w:pPr>
      <w:r>
        <w:rPr>
          <w:rFonts w:ascii="Arial" w:cs="Arial" w:eastAsia="Arial" w:hAnsi="Arial"/>
          <w:sz w:val="18"/>
          <w:szCs w:val="18"/>
          <w:color w:val="auto"/>
        </w:rPr>
        <w:t>Document</w:t>
      </w:r>
    </w:p>
    <w:p>
      <w:pPr>
        <w:spacing w:after="0" w:line="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Inline XBRL Taxonomy Extension Label Linkbase</w:t>
      </w:r>
    </w:p>
    <w:p>
      <w:pPr>
        <w:ind w:left="920"/>
        <w:spacing w:after="0"/>
        <w:rPr>
          <w:sz w:val="20"/>
          <w:szCs w:val="20"/>
          <w:color w:val="auto"/>
        </w:rPr>
      </w:pPr>
      <w:r>
        <w:rPr>
          <w:rFonts w:ascii="Arial" w:cs="Arial" w:eastAsia="Arial" w:hAnsi="Arial"/>
          <w:sz w:val="18"/>
          <w:szCs w:val="18"/>
          <w:color w:val="auto"/>
        </w:rPr>
        <w:t>Document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Inline XBRL Taxonomy Extension Presentation</w:t>
      </w:r>
    </w:p>
    <w:p>
      <w:pPr>
        <w:ind w:left="920"/>
        <w:spacing w:after="0"/>
        <w:rPr>
          <w:sz w:val="20"/>
          <w:szCs w:val="20"/>
          <w:color w:val="auto"/>
        </w:rPr>
      </w:pPr>
      <w:r>
        <w:rPr>
          <w:rFonts w:ascii="Arial" w:cs="Arial" w:eastAsia="Arial" w:hAnsi="Arial"/>
          <w:sz w:val="18"/>
          <w:szCs w:val="18"/>
          <w:color w:val="auto"/>
        </w:rPr>
        <w:t>Linkbase Document</w:t>
      </w:r>
    </w:p>
    <w:p>
      <w:pPr>
        <w:spacing w:after="0" w:line="9" w:lineRule="exact"/>
        <w:rPr>
          <w:sz w:val="20"/>
          <w:szCs w:val="20"/>
          <w:color w:val="auto"/>
        </w:rPr>
      </w:pPr>
    </w:p>
    <w:p>
      <w:pPr>
        <w:ind w:left="920" w:right="3799" w:hanging="860"/>
        <w:spacing w:after="0" w:line="238" w:lineRule="auto"/>
        <w:tabs>
          <w:tab w:leader="none" w:pos="9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w:t>
      </w:r>
    </w:p>
    <w:p>
      <w:pPr>
        <w:spacing w:after="0" w:line="389"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Filed herewith.</w:t>
      </w:r>
    </w:p>
    <w:p>
      <w:pPr>
        <w:ind w:left="440" w:hanging="390"/>
        <w:spacing w:after="0" w:line="234" w:lineRule="auto"/>
        <w:tabs>
          <w:tab w:leader="none" w:pos="4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1" w:lineRule="exact"/>
        <w:rPr>
          <w:sz w:val="20"/>
          <w:szCs w:val="20"/>
          <w:color w:val="auto"/>
        </w:rPr>
      </w:pPr>
    </w:p>
    <w:p>
      <w:pPr>
        <w:jc w:val="both"/>
        <w:ind w:left="440" w:right="79" w:hanging="390"/>
        <w:spacing w:after="0" w:line="234" w:lineRule="auto"/>
        <w:tabs>
          <w:tab w:leader="none" w:pos="4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certification attached as Exhibit 32.1 that accompanies this Quarterly Report on Form 10-Q is not deemed filed with the Securities and Exchange Commission and is not to be incorporated by reference into any filing of the Registrant under the Securities Act or the Exchange Act, whether made before or after the date of this Quarterly Report on Form 10-Q, irrespective of any general incorporation language contained in such filing.</w:t>
      </w:r>
    </w:p>
    <w:p>
      <w:pPr>
        <w:spacing w:after="0" w:line="3" w:lineRule="exact"/>
        <w:rPr>
          <w:sz w:val="20"/>
          <w:szCs w:val="20"/>
          <w:color w:val="auto"/>
        </w:rPr>
      </w:pPr>
    </w:p>
    <w:p>
      <w:pPr>
        <w:jc w:val="both"/>
        <w:ind w:left="440" w:right="79" w:hanging="390"/>
        <w:spacing w:after="0"/>
        <w:tabs>
          <w:tab w:leader="none" w:pos="4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Pursuant to Item 601(b)(10) of Regulation S-K, portions of this exhibit have been omitted as the Registrant has determined that the omitted information is the type that the Registrant customarily and actually treats as private or confidential and is not material.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ind w:left="60" w:right="59"/>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2960" w:type="dxa"/>
            <w:vAlign w:val="bottom"/>
          </w:tcPr>
          <w:p>
            <w:pPr>
              <w:spacing w:after="0"/>
              <w:rPr>
                <w:sz w:val="17"/>
                <w:szCs w:val="17"/>
                <w:color w:val="auto"/>
              </w:rPr>
            </w:pPr>
          </w:p>
        </w:tc>
        <w:tc>
          <w:tcPr>
            <w:tcW w:w="5940" w:type="dxa"/>
            <w:vAlign w:val="bottom"/>
            <w:gridSpan w:val="2"/>
          </w:tcPr>
          <w:p>
            <w:pPr>
              <w:ind w:left="1480"/>
              <w:spacing w:after="0"/>
              <w:rPr>
                <w:sz w:val="20"/>
                <w:szCs w:val="20"/>
                <w:color w:val="auto"/>
              </w:rPr>
            </w:pPr>
            <w:r>
              <w:rPr>
                <w:rFonts w:ascii="Arial" w:cs="Arial" w:eastAsia="Arial" w:hAnsi="Arial"/>
                <w:sz w:val="18"/>
                <w:szCs w:val="18"/>
                <w:color w:val="auto"/>
              </w:rPr>
              <w:t>Olema Pharmaceuticals, Inc.</w:t>
            </w:r>
          </w:p>
        </w:tc>
      </w:tr>
      <w:tr>
        <w:trPr>
          <w:trHeight w:val="203"/>
        </w:trPr>
        <w:tc>
          <w:tcPr>
            <w:tcW w:w="2960" w:type="dxa"/>
            <w:vAlign w:val="bottom"/>
          </w:tcPr>
          <w:p>
            <w:pPr>
              <w:spacing w:after="0" w:line="203" w:lineRule="exact"/>
              <w:rPr>
                <w:sz w:val="20"/>
                <w:szCs w:val="20"/>
                <w:color w:val="auto"/>
              </w:rPr>
            </w:pPr>
            <w:r>
              <w:rPr>
                <w:rFonts w:ascii="Arial" w:cs="Arial" w:eastAsia="Arial" w:hAnsi="Arial"/>
                <w:sz w:val="18"/>
                <w:szCs w:val="18"/>
                <w:color w:val="auto"/>
              </w:rPr>
              <w:t>Date: May 9, 2023</w:t>
            </w:r>
          </w:p>
        </w:tc>
        <w:tc>
          <w:tcPr>
            <w:tcW w:w="1760" w:type="dxa"/>
            <w:vAlign w:val="bottom"/>
          </w:tcPr>
          <w:p>
            <w:pPr>
              <w:ind w:left="1480"/>
              <w:spacing w:after="0" w:line="203" w:lineRule="exact"/>
              <w:rPr>
                <w:sz w:val="20"/>
                <w:szCs w:val="20"/>
                <w:color w:val="auto"/>
              </w:rPr>
            </w:pPr>
            <w:r>
              <w:rPr>
                <w:rFonts w:ascii="Arial" w:cs="Arial" w:eastAsia="Arial" w:hAnsi="Arial"/>
                <w:sz w:val="18"/>
                <w:szCs w:val="18"/>
                <w:color w:val="auto"/>
                <w:w w:val="99"/>
              </w:rPr>
              <w:t>By:</w:t>
            </w:r>
          </w:p>
        </w:tc>
        <w:tc>
          <w:tcPr>
            <w:tcW w:w="4180" w:type="dxa"/>
            <w:vAlign w:val="bottom"/>
            <w:tcBorders>
              <w:bottom w:val="single" w:sz="8" w:color="auto"/>
            </w:tcBorders>
          </w:tcPr>
          <w:p>
            <w:pPr>
              <w:jc w:val="center"/>
              <w:spacing w:after="0" w:line="203" w:lineRule="exact"/>
              <w:rPr>
                <w:sz w:val="20"/>
                <w:szCs w:val="20"/>
                <w:color w:val="auto"/>
              </w:rPr>
            </w:pPr>
            <w:r>
              <w:rPr>
                <w:rFonts w:ascii="Arial" w:cs="Arial" w:eastAsia="Arial" w:hAnsi="Arial"/>
                <w:sz w:val="18"/>
                <w:szCs w:val="18"/>
                <w:color w:val="auto"/>
              </w:rPr>
              <w:t>/s/ Sean Bohen, M.D., Ph.D.</w:t>
            </w:r>
          </w:p>
        </w:tc>
      </w:tr>
      <w:tr>
        <w:trPr>
          <w:trHeight w:val="200"/>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80" w:type="dxa"/>
            <w:vAlign w:val="bottom"/>
          </w:tcPr>
          <w:p>
            <w:pPr>
              <w:jc w:val="center"/>
              <w:spacing w:after="0" w:line="201" w:lineRule="exact"/>
              <w:rPr>
                <w:sz w:val="20"/>
                <w:szCs w:val="20"/>
                <w:color w:val="auto"/>
              </w:rPr>
            </w:pPr>
            <w:r>
              <w:rPr>
                <w:rFonts w:ascii="Arial" w:cs="Arial" w:eastAsia="Arial" w:hAnsi="Arial"/>
                <w:sz w:val="18"/>
                <w:szCs w:val="18"/>
                <w:color w:val="auto"/>
                <w:w w:val="99"/>
              </w:rPr>
              <w:t>Sean Bohen, M.D., Ph.D.</w:t>
            </w:r>
          </w:p>
        </w:tc>
      </w:tr>
      <w:tr>
        <w:trPr>
          <w:trHeight w:val="206"/>
        </w:trPr>
        <w:tc>
          <w:tcPr>
            <w:tcW w:w="2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4180" w:type="dxa"/>
            <w:vAlign w:val="bottom"/>
          </w:tcPr>
          <w:p>
            <w:pPr>
              <w:jc w:val="center"/>
              <w:spacing w:after="0"/>
              <w:rPr>
                <w:sz w:val="20"/>
                <w:szCs w:val="20"/>
                <w:color w:val="auto"/>
              </w:rPr>
            </w:pPr>
            <w:r>
              <w:rPr>
                <w:rFonts w:ascii="Arial" w:cs="Arial" w:eastAsia="Arial" w:hAnsi="Arial"/>
                <w:sz w:val="18"/>
                <w:szCs w:val="18"/>
                <w:b w:val="1"/>
                <w:bCs w:val="1"/>
                <w:color w:val="auto"/>
                <w:w w:val="99"/>
              </w:rPr>
              <w:t>President and Chief Executive Officer</w:t>
            </w:r>
          </w:p>
        </w:tc>
      </w:tr>
      <w:tr>
        <w:trPr>
          <w:trHeight w:val="221"/>
        </w:trPr>
        <w:tc>
          <w:tcPr>
            <w:tcW w:w="29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w:t>
            </w:r>
            <w:r>
              <w:rPr>
                <w:rFonts w:ascii="Arial" w:cs="Arial" w:eastAsia="Arial" w:hAnsi="Arial"/>
                <w:sz w:val="18"/>
                <w:szCs w:val="18"/>
                <w:i w:val="1"/>
                <w:iCs w:val="1"/>
                <w:color w:val="auto"/>
                <w:w w:val="99"/>
              </w:rPr>
              <w:t>Principal Executive Officer</w:t>
            </w:r>
            <w:r>
              <w:rPr>
                <w:rFonts w:ascii="Arial" w:cs="Arial" w:eastAsia="Arial" w:hAnsi="Arial"/>
                <w:sz w:val="18"/>
                <w:szCs w:val="18"/>
                <w:color w:val="auto"/>
                <w:w w:val="99"/>
              </w:rPr>
              <w:t>)</w:t>
            </w:r>
          </w:p>
        </w:tc>
      </w:tr>
      <w:tr>
        <w:trPr>
          <w:trHeight w:val="217"/>
        </w:trPr>
        <w:tc>
          <w:tcPr>
            <w:tcW w:w="2960" w:type="dxa"/>
            <w:vAlign w:val="bottom"/>
          </w:tcPr>
          <w:p>
            <w:pPr>
              <w:spacing w:after="0"/>
              <w:rPr>
                <w:sz w:val="20"/>
                <w:szCs w:val="20"/>
                <w:color w:val="auto"/>
              </w:rPr>
            </w:pPr>
            <w:r>
              <w:rPr>
                <w:rFonts w:ascii="Arial" w:cs="Arial" w:eastAsia="Arial" w:hAnsi="Arial"/>
                <w:sz w:val="18"/>
                <w:szCs w:val="18"/>
                <w:color w:val="auto"/>
              </w:rPr>
              <w:t>Date: May 9, 2023</w:t>
            </w:r>
          </w:p>
        </w:tc>
        <w:tc>
          <w:tcPr>
            <w:tcW w:w="1760" w:type="dxa"/>
            <w:vAlign w:val="bottom"/>
          </w:tcPr>
          <w:p>
            <w:pPr>
              <w:ind w:left="1480"/>
              <w:spacing w:after="0"/>
              <w:rPr>
                <w:sz w:val="20"/>
                <w:szCs w:val="20"/>
                <w:color w:val="auto"/>
              </w:rPr>
            </w:pPr>
            <w:r>
              <w:rPr>
                <w:rFonts w:ascii="Arial" w:cs="Arial" w:eastAsia="Arial" w:hAnsi="Arial"/>
                <w:sz w:val="18"/>
                <w:szCs w:val="18"/>
                <w:color w:val="auto"/>
                <w:w w:val="99"/>
              </w:rPr>
              <w:t>By:</w:t>
            </w:r>
          </w:p>
        </w:tc>
        <w:tc>
          <w:tcPr>
            <w:tcW w:w="4180" w:type="dxa"/>
            <w:vAlign w:val="bottom"/>
          </w:tcPr>
          <w:p>
            <w:pPr>
              <w:jc w:val="center"/>
              <w:spacing w:after="0"/>
              <w:rPr>
                <w:sz w:val="20"/>
                <w:szCs w:val="20"/>
                <w:color w:val="auto"/>
              </w:rPr>
            </w:pPr>
            <w:r>
              <w:rPr>
                <w:rFonts w:ascii="Arial" w:cs="Arial" w:eastAsia="Arial" w:hAnsi="Arial"/>
                <w:sz w:val="18"/>
                <w:szCs w:val="18"/>
                <w:color w:val="auto"/>
                <w:w w:val="99"/>
              </w:rPr>
              <w:t>/s/ Shane Kovacs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-7620</wp:posOffset>
            </wp:positionV>
            <wp:extent cx="26574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2" w:lineRule="exact"/>
        <w:rPr>
          <w:sz w:val="20"/>
          <w:szCs w:val="20"/>
          <w:color w:val="auto"/>
        </w:rPr>
      </w:pPr>
    </w:p>
    <w:p>
      <w:pPr>
        <w:jc w:val="center"/>
        <w:ind w:left="4700"/>
        <w:spacing w:after="0"/>
        <w:rPr>
          <w:sz w:val="20"/>
          <w:szCs w:val="20"/>
          <w:color w:val="auto"/>
        </w:rPr>
      </w:pPr>
      <w:r>
        <w:rPr>
          <w:rFonts w:ascii="Arial" w:cs="Arial" w:eastAsia="Arial" w:hAnsi="Arial"/>
          <w:sz w:val="18"/>
          <w:szCs w:val="18"/>
          <w:color w:val="auto"/>
        </w:rPr>
        <w:t>Shane Kovacs</w:t>
      </w:r>
    </w:p>
    <w:p>
      <w:pPr>
        <w:jc w:val="center"/>
        <w:ind w:left="4700"/>
        <w:spacing w:after="0" w:line="234" w:lineRule="auto"/>
        <w:rPr>
          <w:sz w:val="20"/>
          <w:szCs w:val="20"/>
          <w:color w:val="auto"/>
        </w:rPr>
      </w:pPr>
      <w:r>
        <w:rPr>
          <w:rFonts w:ascii="Arial" w:cs="Arial" w:eastAsia="Arial" w:hAnsi="Arial"/>
          <w:sz w:val="18"/>
          <w:szCs w:val="18"/>
          <w:b w:val="1"/>
          <w:bCs w:val="1"/>
          <w:color w:val="auto"/>
        </w:rPr>
        <w:t>Chief Operating and Financial Officer</w:t>
      </w:r>
    </w:p>
    <w:p>
      <w:pPr>
        <w:jc w:val="center"/>
        <w:ind w:left="4700"/>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 and Principal Accounting</w:t>
      </w:r>
    </w:p>
    <w:p>
      <w:pPr>
        <w:spacing w:after="0" w:line="1" w:lineRule="exact"/>
        <w:rPr>
          <w:sz w:val="20"/>
          <w:szCs w:val="20"/>
          <w:color w:val="auto"/>
        </w:rPr>
      </w:pPr>
    </w:p>
    <w:p>
      <w:pPr>
        <w:jc w:val="center"/>
        <w:ind w:left="4700"/>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340360</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8900"/>
        <w:spacing w:after="0"/>
        <w:rPr>
          <w:sz w:val="20"/>
          <w:szCs w:val="20"/>
          <w:color w:val="auto"/>
        </w:rPr>
      </w:pPr>
      <w:r>
        <w:rPr>
          <w:rFonts w:ascii="Arial" w:cs="Arial" w:eastAsia="Arial" w:hAnsi="Arial"/>
          <w:sz w:val="18"/>
          <w:szCs w:val="18"/>
          <w:b w:val="1"/>
          <w:bCs w:val="1"/>
          <w:color w:val="auto"/>
        </w:rPr>
        <w:t>Exhibit 10.1</w:t>
      </w:r>
    </w:p>
    <w:p>
      <w:pPr>
        <w:spacing w:after="0" w:line="244"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Certain confidential information contained in this document, marked by [***], has been omitted because it is both (i) not material and (ii) would be competitively harmful if publicly disclosed.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AMENDED AND RESTATED CLINICAL COLLABORATION AND SUPPLY AGREEMENT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This </w:t>
      </w:r>
      <w:r>
        <w:rPr>
          <w:rFonts w:ascii="Arial" w:cs="Arial" w:eastAsia="Arial" w:hAnsi="Arial"/>
          <w:sz w:val="21"/>
          <w:szCs w:val="21"/>
          <w:b w:val="1"/>
          <w:bCs w:val="1"/>
          <w:color w:val="auto"/>
        </w:rPr>
        <w:t>AMENDED AND RESTATED</w:t>
      </w:r>
      <w:r>
        <w:rPr>
          <w:rFonts w:ascii="Arial" w:cs="Arial" w:eastAsia="Arial" w:hAnsi="Arial"/>
          <w:sz w:val="20"/>
          <w:szCs w:val="20"/>
          <w:color w:val="auto"/>
        </w:rPr>
        <w:t xml:space="preserve"> </w:t>
      </w:r>
      <w:r>
        <w:rPr>
          <w:rFonts w:ascii="Arial" w:cs="Arial" w:eastAsia="Arial" w:hAnsi="Arial"/>
          <w:sz w:val="20"/>
          <w:szCs w:val="20"/>
          <w:b w:val="1"/>
          <w:bCs w:val="1"/>
          <w:color w:val="auto"/>
        </w:rPr>
        <w:t>CLINICAL COLLABORATION AND SUPPLY AGREEMENT</w:t>
      </w:r>
      <w:r>
        <w:rPr>
          <w:rFonts w:ascii="Arial" w:cs="Arial" w:eastAsia="Arial" w:hAnsi="Arial"/>
          <w:sz w:val="20"/>
          <w:szCs w:val="20"/>
          <w:color w:val="auto"/>
        </w:rPr>
        <w:t xml:space="preserve"> (the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xml:space="preserve">”) is made and entered into effective as of </w:t>
      </w:r>
      <w:r>
        <w:rPr>
          <w:rFonts w:ascii="Arial" w:cs="Arial" w:eastAsia="Arial" w:hAnsi="Arial"/>
          <w:sz w:val="18"/>
          <w:szCs w:val="18"/>
          <w:b w:val="1"/>
          <w:bCs w:val="1"/>
          <w:color w:val="auto"/>
        </w:rPr>
        <w:t>January 13, 2022</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Olema</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Pharmaceuticals, Inc., </w:t>
      </w:r>
      <w:r>
        <w:rPr>
          <w:rFonts w:ascii="Arial" w:cs="Arial" w:eastAsia="Arial" w:hAnsi="Arial"/>
          <w:sz w:val="19"/>
          <w:szCs w:val="19"/>
          <w:color w:val="auto"/>
        </w:rPr>
        <w:t>a Delaware corporation, having a place of business at</w:t>
      </w:r>
      <w:r>
        <w:rPr>
          <w:rFonts w:ascii="Arial" w:cs="Arial" w:eastAsia="Arial" w:hAnsi="Arial"/>
          <w:sz w:val="19"/>
          <w:szCs w:val="19"/>
          <w:b w:val="1"/>
          <w:bCs w:val="1"/>
          <w:color w:val="auto"/>
        </w:rPr>
        <w:t xml:space="preserve"> </w:t>
      </w:r>
      <w:r>
        <w:rPr>
          <w:rFonts w:ascii="Arial" w:cs="Arial" w:eastAsia="Arial" w:hAnsi="Arial"/>
          <w:sz w:val="17"/>
          <w:szCs w:val="17"/>
          <w:color w:val="222222"/>
        </w:rPr>
        <w:t>665 3rd St, San Francisco, CA 94107</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Olema</w:t>
      </w:r>
      <w:r>
        <w:rPr>
          <w:rFonts w:ascii="Arial" w:cs="Arial" w:eastAsia="Arial" w:hAnsi="Arial"/>
          <w:sz w:val="18"/>
          <w:szCs w:val="18"/>
          <w:color w:val="auto"/>
        </w:rPr>
        <w:t xml:space="preserve">”), and </w:t>
      </w:r>
      <w:r>
        <w:rPr>
          <w:rFonts w:ascii="Arial" w:cs="Arial" w:eastAsia="Arial" w:hAnsi="Arial"/>
          <w:sz w:val="18"/>
          <w:szCs w:val="18"/>
          <w:b w:val="1"/>
          <w:bCs w:val="1"/>
          <w:color w:val="auto"/>
        </w:rPr>
        <w:t>Novartis Institutes for BioMedical Research, Inc.</w:t>
      </w:r>
      <w:r>
        <w:rPr>
          <w:rFonts w:ascii="Arial" w:cs="Arial" w:eastAsia="Arial" w:hAnsi="Arial"/>
          <w:sz w:val="18"/>
          <w:szCs w:val="18"/>
          <w:color w:val="auto"/>
        </w:rPr>
        <w:t>, a Delaware corporation, having a place of business 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181 Massachusetts Avenue, Cambridge, MA 02139 (“</w:t>
      </w:r>
      <w:r>
        <w:rPr>
          <w:rFonts w:ascii="Arial" w:cs="Arial" w:eastAsia="Arial" w:hAnsi="Arial"/>
          <w:sz w:val="18"/>
          <w:szCs w:val="18"/>
          <w:b w:val="1"/>
          <w:bCs w:val="1"/>
          <w:i w:val="1"/>
          <w:iCs w:val="1"/>
          <w:color w:val="auto"/>
        </w:rPr>
        <w:t>Novartis</w:t>
      </w:r>
      <w:r>
        <w:rPr>
          <w:rFonts w:ascii="Arial" w:cs="Arial" w:eastAsia="Arial" w:hAnsi="Arial"/>
          <w:sz w:val="18"/>
          <w:szCs w:val="18"/>
          <w:color w:val="auto"/>
        </w:rPr>
        <w:t>”). Olema and Novartis are sometimes individually referred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to in this Agreement as a “</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and collectively as the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PRELIMINARY STATEMENTS</w:t>
      </w:r>
    </w:p>
    <w:p>
      <w:pPr>
        <w:spacing w:after="0" w:line="222"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20"/>
          <w:szCs w:val="20"/>
          <w:color w:val="auto"/>
        </w:rPr>
        <w:t>A</w:t>
      </w:r>
      <w:r>
        <w:rPr>
          <w:rFonts w:ascii="Arial" w:cs="Arial" w:eastAsia="Arial" w:hAnsi="Arial"/>
          <w:sz w:val="20"/>
          <w:szCs w:val="20"/>
          <w:i w:val="1"/>
          <w:iCs w:val="1"/>
          <w:color w:val="auto"/>
        </w:rPr>
        <w:t>.</w:t>
      </w:r>
      <w:r>
        <w:rPr>
          <w:sz w:val="20"/>
          <w:szCs w:val="20"/>
          <w:color w:val="auto"/>
        </w:rPr>
        <w:tab/>
      </w:r>
      <w:r>
        <w:rPr>
          <w:rFonts w:ascii="Arial" w:cs="Arial" w:eastAsia="Arial" w:hAnsi="Arial"/>
          <w:sz w:val="19"/>
          <w:szCs w:val="19"/>
          <w:color w:val="auto"/>
        </w:rPr>
        <w:t>Olema desires to conduct, and Novartis desires to supply the Novartis Study Drugs (as defined below) for the conduct of, a Combined Therapy Clinical Trial(s) (as defined below) in accordance with the Development Plan and applicable Protocol(s) (as defined below) and in accordance with the terms of this Agreement.</w:t>
      </w:r>
    </w:p>
    <w:p>
      <w:pPr>
        <w:spacing w:after="0" w:line="129" w:lineRule="exact"/>
        <w:rPr>
          <w:sz w:val="20"/>
          <w:szCs w:val="20"/>
          <w:color w:val="auto"/>
        </w:rPr>
      </w:pPr>
    </w:p>
    <w:p>
      <w:pPr>
        <w:jc w:val="both"/>
        <w:ind w:left="660" w:right="20" w:hanging="652"/>
        <w:spacing w:after="0" w:line="244"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Parties are parties to that certain Clinical Collaboration and Supply Agreement, dated as of July 22, 2020 (the “Effective Date”), pursuant to which the Parties are collaborating with respect to the desire to agree on various terms and conditions to govern the Parties’ respective rights and obligations in connection with the performance of the Combined Therapy Clinical Trials (the “Original Agreement”) and the ownership and use of the results of such trial.</w:t>
      </w:r>
    </w:p>
    <w:p>
      <w:pPr>
        <w:spacing w:after="0" w:line="153" w:lineRule="exact"/>
        <w:rPr>
          <w:rFonts w:ascii="Arial" w:cs="Arial" w:eastAsia="Arial" w:hAnsi="Arial"/>
          <w:sz w:val="20"/>
          <w:szCs w:val="20"/>
          <w:color w:val="auto"/>
        </w:rPr>
      </w:pPr>
    </w:p>
    <w:p>
      <w:pPr>
        <w:ind w:left="660" w:hanging="652"/>
        <w:spacing w:after="0" w:line="260" w:lineRule="auto"/>
        <w:tabs>
          <w:tab w:leader="none" w:pos="660"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Parties now desire to amend and restate the Original Agreement to cover the Novartis Alpelisib Metabolite (as defined below).</w:t>
      </w:r>
    </w:p>
    <w:p>
      <w:pPr>
        <w:spacing w:after="0" w:line="13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foregoing premises and the mutual promises and covenants contained</w:t>
      </w:r>
      <w:r>
        <w:rPr>
          <w:rFonts w:ascii="Arial" w:cs="Arial" w:eastAsia="Arial" w:hAnsi="Arial"/>
          <w:sz w:val="20"/>
          <w:szCs w:val="20"/>
          <w:b w:val="1"/>
          <w:bCs w:val="1"/>
          <w:color w:val="auto"/>
        </w:rPr>
        <w:t xml:space="preserve"> </w:t>
      </w:r>
      <w:r>
        <w:rPr>
          <w:rFonts w:ascii="Arial" w:cs="Arial" w:eastAsia="Arial" w:hAnsi="Arial"/>
          <w:sz w:val="20"/>
          <w:szCs w:val="20"/>
          <w:color w:val="auto"/>
        </w:rPr>
        <w:t>herein, the Parties agree as follows:</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18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The following terms in this Agreement with initial letters capitalized, whether used in the singular or the plural, shall have the meanings set forth below. If not listed below, terms with initial letters capitalized and defined elsewhere in places throughout this Agreement shall have the meanings designated in such definitions.</w:t>
      </w:r>
    </w:p>
    <w:p>
      <w:pPr>
        <w:spacing w:after="0" w:line="145" w:lineRule="exact"/>
        <w:rPr>
          <w:sz w:val="20"/>
          <w:szCs w:val="20"/>
          <w:color w:val="auto"/>
        </w:rPr>
      </w:pPr>
    </w:p>
    <w:p>
      <w:pPr>
        <w:jc w:val="both"/>
        <w:ind w:firstLine="724"/>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Adverse Event</w:t>
      </w:r>
      <w:r>
        <w:rPr>
          <w:rFonts w:ascii="Arial" w:cs="Arial" w:eastAsia="Arial" w:hAnsi="Arial"/>
          <w:sz w:val="19"/>
          <w:szCs w:val="19"/>
          <w:color w:val="auto"/>
        </w:rPr>
        <w:t>” (“AE”), “</w:t>
      </w:r>
      <w:r>
        <w:rPr>
          <w:rFonts w:ascii="Arial" w:cs="Arial" w:eastAsia="Arial" w:hAnsi="Arial"/>
          <w:sz w:val="19"/>
          <w:szCs w:val="19"/>
          <w:b w:val="1"/>
          <w:bCs w:val="1"/>
          <w:i w:val="1"/>
          <w:iCs w:val="1"/>
          <w:color w:val="auto"/>
        </w:rPr>
        <w:t>Serious Adverse Event</w:t>
      </w:r>
      <w:r>
        <w:rPr>
          <w:rFonts w:ascii="Arial" w:cs="Arial" w:eastAsia="Arial" w:hAnsi="Arial"/>
          <w:sz w:val="19"/>
          <w:szCs w:val="19"/>
          <w:color w:val="auto"/>
        </w:rPr>
        <w:t>” (“SAE”) and “</w:t>
      </w:r>
      <w:r>
        <w:rPr>
          <w:rFonts w:ascii="Arial" w:cs="Arial" w:eastAsia="Arial" w:hAnsi="Arial"/>
          <w:sz w:val="19"/>
          <w:szCs w:val="19"/>
          <w:b w:val="1"/>
          <w:bCs w:val="1"/>
          <w:i w:val="1"/>
          <w:iCs w:val="1"/>
          <w:color w:val="auto"/>
        </w:rPr>
        <w:t>Serious Adverse Drug Reaction</w:t>
      </w:r>
      <w:r>
        <w:rPr>
          <w:rFonts w:ascii="Arial" w:cs="Arial" w:eastAsia="Arial" w:hAnsi="Arial"/>
          <w:sz w:val="19"/>
          <w:szCs w:val="19"/>
          <w:color w:val="auto"/>
        </w:rPr>
        <w:t>” (“SADR”) shall have the meanings provided to such terms in the International Conference on Harmonization (“ICH”) guideline for industry on Clinical Safety Data Management (E2A, Definitions and Standards for Expedited Reporting).</w:t>
      </w:r>
    </w:p>
    <w:p>
      <w:pPr>
        <w:spacing w:after="0" w:line="14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Affiliate</w:t>
      </w:r>
      <w:r>
        <w:rPr>
          <w:rFonts w:ascii="Arial" w:cs="Arial" w:eastAsia="Arial" w:hAnsi="Arial"/>
          <w:sz w:val="20"/>
          <w:szCs w:val="20"/>
          <w:color w:val="auto"/>
        </w:rPr>
        <w:t>” means, with respect to a particular Party, an entity that, directly or indirectly, through one or more intermediaries, controls, is controlled by, or is under common control with such Party. As used in this definition, the term “controls” (with correlative meanings for the terms “controlled by” or “under common control with”) means: (a) that the applicable entity owns, directly or indirectly, more than fifty percent (50%) of the voting stock of the applicable Party, or (b) that the applicable entity otherwise has the actual ability to control and direct the management of the applicable Party, whether by contract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02" w:name="page103"/>
    <w:bookmarkEnd w:id="102"/>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Agreement</w:t>
      </w:r>
      <w:r>
        <w:rPr>
          <w:rFonts w:ascii="Arial" w:cs="Arial" w:eastAsia="Arial" w:hAnsi="Arial"/>
          <w:sz w:val="20"/>
          <w:szCs w:val="20"/>
          <w:color w:val="auto"/>
        </w:rPr>
        <w:t>” means this Agreement, and includes the Appendices attached hereto, the Quality Documentation and any and all written amendments of any of the foregoing hereafter executed by the Parties with reference to this Agreement and made part hereof.</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Applicable Law</w:t>
      </w:r>
      <w:r>
        <w:rPr>
          <w:rFonts w:ascii="Arial" w:cs="Arial" w:eastAsia="Arial" w:hAnsi="Arial"/>
          <w:sz w:val="20"/>
          <w:szCs w:val="20"/>
          <w:color w:val="auto"/>
        </w:rPr>
        <w:t>” means all applicable laws, rules and regulations (whether federal, state or local) that may be in effect from time to time, including current Good Clinical Practices (GCP), Good Laboratory Practices (GLP) and Good Manufacturing Practices (GMP).</w:t>
      </w:r>
    </w:p>
    <w:p>
      <w:pPr>
        <w:spacing w:after="0" w:line="15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Breaching Party</w:t>
      </w:r>
      <w:r>
        <w:rPr>
          <w:rFonts w:ascii="Arial" w:cs="Arial" w:eastAsia="Arial" w:hAnsi="Arial"/>
          <w:sz w:val="20"/>
          <w:szCs w:val="20"/>
          <w:color w:val="auto"/>
        </w:rPr>
        <w:t>” shall have the meaning set forth in Section 11.2(a).</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Budget</w:t>
      </w:r>
      <w:r>
        <w:rPr>
          <w:rFonts w:ascii="Arial" w:cs="Arial" w:eastAsia="Arial" w:hAnsi="Arial"/>
          <w:sz w:val="20"/>
          <w:szCs w:val="20"/>
          <w:color w:val="auto"/>
        </w:rPr>
        <w:t>” means the mutually agreed estimated and anticipated costs for the Combined Therapy Clinical Trials as set forth on Appendix B.</w:t>
      </w:r>
    </w:p>
    <w:p>
      <w:pPr>
        <w:spacing w:after="0" w:line="13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Business Day</w:t>
      </w:r>
      <w:r>
        <w:rPr>
          <w:rFonts w:ascii="Arial" w:cs="Arial" w:eastAsia="Arial" w:hAnsi="Arial"/>
          <w:sz w:val="19"/>
          <w:szCs w:val="19"/>
          <w:color w:val="auto"/>
        </w:rPr>
        <w:t>” means a day other than Saturday, Sunday or a Federal holiday on which commercial banks located in New York, NY, Cambridge, MA, or Basel, Switzerland are authorized or obligated by law to be closed.</w:t>
      </w:r>
    </w:p>
    <w:p>
      <w:pPr>
        <w:spacing w:after="0" w:line="12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CDA</w:t>
      </w:r>
      <w:r>
        <w:rPr>
          <w:rFonts w:ascii="Arial" w:cs="Arial" w:eastAsia="Arial" w:hAnsi="Arial"/>
          <w:sz w:val="20"/>
          <w:szCs w:val="20"/>
          <w:color w:val="auto"/>
        </w:rPr>
        <w:t>” shall have the meaning set forth in Section 8.1(a).</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Clinical Hold</w:t>
      </w:r>
      <w:r>
        <w:rPr>
          <w:rFonts w:ascii="Arial" w:cs="Arial" w:eastAsia="Arial" w:hAnsi="Arial"/>
          <w:sz w:val="20"/>
          <w:szCs w:val="20"/>
          <w:color w:val="auto"/>
        </w:rPr>
        <w:t>” means that (a) the FDA has issued an order to a Party pursuant to 21 CFR §312.42 to delay a proposed clinical investigation or to suspend an ongoing clinical investigation of the Combined Therapy or such Party’s Single Agent Compound in the United States or (b) a Regulatory Authority other than the FDA has issued an equivalent order to that set forth in (a) in any other country or group of countries.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Combined Therapy</w:t>
      </w:r>
      <w:r>
        <w:rPr>
          <w:rFonts w:ascii="Arial" w:cs="Arial" w:eastAsia="Arial" w:hAnsi="Arial"/>
          <w:sz w:val="18"/>
          <w:szCs w:val="18"/>
          <w:color w:val="auto"/>
        </w:rPr>
        <w:t>” means a therapy using Olema Study Drug and the Novartis Study Drugs in combination.</w:t>
      </w:r>
    </w:p>
    <w:p>
      <w:pPr>
        <w:spacing w:after="0" w:line="212"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Combined Therapy Clinical Trials</w:t>
      </w:r>
      <w:r>
        <w:rPr>
          <w:rFonts w:ascii="Arial" w:cs="Arial" w:eastAsia="Arial" w:hAnsi="Arial"/>
          <w:sz w:val="19"/>
          <w:szCs w:val="19"/>
          <w:color w:val="auto"/>
        </w:rPr>
        <w:t>” means any and all human clinical trials of the Combined Therapy to be conducted by Olema pursuant to this Agreement, the Development Plan, and the applicable Protocol, and for clarity including specifically but limited to only separate clinical trials directed solely to the Combined Therapy.</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Clinical Trial IND</w:t>
      </w:r>
      <w:r>
        <w:rPr>
          <w:rFonts w:ascii="Arial" w:cs="Arial" w:eastAsia="Arial" w:hAnsi="Arial"/>
          <w:sz w:val="20"/>
          <w:szCs w:val="20"/>
          <w:color w:val="auto"/>
        </w:rPr>
        <w:t>” shall have the meaning set forth in Section 2.1(c).</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Invention</w:t>
      </w:r>
      <w:r>
        <w:rPr>
          <w:rFonts w:ascii="Arial" w:cs="Arial" w:eastAsia="Arial" w:hAnsi="Arial"/>
          <w:sz w:val="20"/>
          <w:szCs w:val="20"/>
          <w:color w:val="auto"/>
        </w:rPr>
        <w:t>” means any Study Invention that is not a Olema Study Invention or a Novartis Study Invention.</w:t>
      </w:r>
    </w:p>
    <w:p>
      <w:pPr>
        <w:spacing w:after="0" w:line="150"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Patent Right</w:t>
      </w:r>
      <w:r>
        <w:rPr>
          <w:rFonts w:ascii="Arial" w:cs="Arial" w:eastAsia="Arial" w:hAnsi="Arial"/>
          <w:sz w:val="20"/>
          <w:szCs w:val="20"/>
          <w:color w:val="auto"/>
        </w:rPr>
        <w:t>” means any Patent Right that Covers a Combined Therapy Invention or Combined Therapy Study Data. For clarity, the Novartis Background Patent Rights and Olema Background Patent Rights are excluded from the term Combined Therapy Patent Right.</w:t>
      </w:r>
    </w:p>
    <w:p>
      <w:pPr>
        <w:spacing w:after="0" w:line="14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Clinical Trial Regulatory Documentation</w:t>
      </w:r>
      <w:r>
        <w:rPr>
          <w:rFonts w:ascii="Arial" w:cs="Arial" w:eastAsia="Arial" w:hAnsi="Arial"/>
          <w:sz w:val="20"/>
          <w:szCs w:val="20"/>
          <w:color w:val="auto"/>
        </w:rPr>
        <w:t>” means any Regulatory Documentation submitted by or on behalf of Olema for the conduct of the Combined Therapy Clinical Trials, but excluding (a) any Olema Regulatory Documentation and (b) any Novartis Regulatory Documentation.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Combined Therapy Study Data</w:t>
      </w:r>
      <w:r>
        <w:rPr>
          <w:rFonts w:ascii="Arial" w:cs="Arial" w:eastAsia="Arial" w:hAnsi="Arial"/>
          <w:sz w:val="20"/>
          <w:szCs w:val="20"/>
          <w:color w:val="auto"/>
        </w:rPr>
        <w:t>” shall have the meaning set forth in Section 7.2.</w:t>
      </w:r>
    </w:p>
    <w:p>
      <w:pPr>
        <w:spacing w:after="0" w:line="1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Commercially Reasonable Efforts</w:t>
      </w:r>
      <w:r>
        <w:rPr>
          <w:rFonts w:ascii="Arial" w:cs="Arial" w:eastAsia="Arial" w:hAnsi="Arial"/>
          <w:sz w:val="20"/>
          <w:szCs w:val="20"/>
          <w:color w:val="auto"/>
        </w:rPr>
        <w:t xml:space="preserve">” means, with respect to a Party, the level of effort and resources normally devoted by </w:t>
      </w:r>
      <w:r>
        <w:rPr>
          <w:rFonts w:ascii="Arial" w:cs="Arial" w:eastAsia="Arial" w:hAnsi="Arial"/>
          <w:sz w:val="17"/>
          <w:szCs w:val="17"/>
          <w:color w:val="auto"/>
        </w:rPr>
        <w:t>[***]</w:t>
      </w:r>
      <w:r>
        <w:rPr>
          <w:rFonts w:ascii="Arial" w:cs="Arial" w:eastAsia="Arial" w:hAnsi="Arial"/>
          <w:sz w:val="20"/>
          <w:szCs w:val="20"/>
          <w:color w:val="auto"/>
        </w:rPr>
        <w:t xml:space="preserve"> to conduct or support the conduct (including manufacturing and supply of clinical materials) of a clinical trial for a biopharmaceutical product or compound that is owned by </w:t>
      </w:r>
      <w:r>
        <w:rPr>
          <w:rFonts w:ascii="Arial" w:cs="Arial" w:eastAsia="Arial" w:hAnsi="Arial"/>
          <w:sz w:val="17"/>
          <w:szCs w:val="17"/>
          <w:color w:val="auto"/>
        </w:rPr>
        <w:t>[***]</w:t>
      </w:r>
      <w:r>
        <w:rPr>
          <w:rFonts w:ascii="Arial" w:cs="Arial" w:eastAsia="Arial" w:hAnsi="Arial"/>
          <w:sz w:val="20"/>
          <w:szCs w:val="20"/>
          <w:color w:val="auto"/>
        </w:rPr>
        <w:t xml:space="preserve"> or to which </w:t>
      </w:r>
      <w:r>
        <w:rPr>
          <w:rFonts w:ascii="Arial" w:cs="Arial" w:eastAsia="Arial" w:hAnsi="Arial"/>
          <w:sz w:val="17"/>
          <w:szCs w:val="17"/>
          <w:color w:val="auto"/>
        </w:rPr>
        <w:t>[***]</w:t>
      </w:r>
      <w:r>
        <w:rPr>
          <w:rFonts w:ascii="Arial" w:cs="Arial" w:eastAsia="Arial" w:hAnsi="Arial"/>
          <w:sz w:val="20"/>
          <w:szCs w:val="20"/>
          <w:color w:val="auto"/>
        </w:rPr>
        <w:t xml:space="preserve"> has rights, which is of similar market potential, profit potential and strategic value and at a similar stage in its development or product life, based on conditions then prevailing.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Confidential Information</w:t>
      </w:r>
      <w:r>
        <w:rPr>
          <w:rFonts w:ascii="Arial" w:cs="Arial" w:eastAsia="Arial" w:hAnsi="Arial"/>
          <w:sz w:val="20"/>
          <w:szCs w:val="20"/>
          <w:color w:val="auto"/>
        </w:rPr>
        <w:t>” shall have the meaning set forth in Section 8.1(a).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3" w:name="page104"/>
    <w:bookmarkEnd w:id="103"/>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or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means, with respect to particular Technology or intellectual property, that the applicable Party owns or has a license to such Technology or intellectual property (</w:t>
      </w:r>
      <w:r>
        <w:rPr>
          <w:rFonts w:ascii="Arial" w:cs="Arial" w:eastAsia="Arial" w:hAnsi="Arial"/>
          <w:sz w:val="18"/>
          <w:szCs w:val="18"/>
          <w:i w:val="1"/>
          <w:iCs w:val="1"/>
          <w:color w:val="auto"/>
        </w:rPr>
        <w:t>other than</w:t>
      </w:r>
      <w:r>
        <w:rPr>
          <w:rFonts w:ascii="Arial" w:cs="Arial" w:eastAsia="Arial" w:hAnsi="Arial"/>
          <w:sz w:val="18"/>
          <w:szCs w:val="18"/>
          <w:color w:val="auto"/>
        </w:rPr>
        <w:t xml:space="preserve"> solely by a license granted to such Party by the other Party under this Agreement) and has the ability to grant a right, license or sublicense to the other Party as provided for herein without violating the terms of any agreement or other arrangement with any Third Party.</w:t>
      </w:r>
    </w:p>
    <w:p>
      <w:pPr>
        <w:spacing w:after="0" w:line="121" w:lineRule="exact"/>
        <w:rPr>
          <w:sz w:val="20"/>
          <w:szCs w:val="20"/>
          <w:color w:val="auto"/>
        </w:rPr>
      </w:pPr>
    </w:p>
    <w:p>
      <w:pPr>
        <w:jc w:val="both"/>
        <w:ind w:right="20"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Cover</w:t>
      </w:r>
      <w:r>
        <w:rPr>
          <w:rFonts w:ascii="Arial" w:cs="Arial" w:eastAsia="Arial" w:hAnsi="Arial"/>
          <w:sz w:val="20"/>
          <w:szCs w:val="20"/>
          <w:color w:val="auto"/>
        </w:rPr>
        <w:t>” means, with respect to a particular Patent Right and a particular Technology, that the practice by an unauthorized Person of such Technology (including the manufacture, use or sale of such Technology) would infringe a claim included in such Patent Right, or in the case of a Patent Right that is a patent application (i.e., that has not issued as a patent), would infringe a claim in such patent application if it were to issue as a patent. “</w:t>
      </w:r>
      <w:r>
        <w:rPr>
          <w:rFonts w:ascii="Arial" w:cs="Arial" w:eastAsia="Arial" w:hAnsi="Arial"/>
          <w:sz w:val="20"/>
          <w:szCs w:val="20"/>
          <w:b w:val="1"/>
          <w:bCs w:val="1"/>
          <w:i w:val="1"/>
          <w:iCs w:val="1"/>
          <w:color w:val="auto"/>
        </w:rPr>
        <w:t>Covered</w:t>
      </w:r>
      <w:r>
        <w:rPr>
          <w:rFonts w:ascii="Arial" w:cs="Arial" w:eastAsia="Arial" w:hAnsi="Arial"/>
          <w:sz w:val="20"/>
          <w:szCs w:val="20"/>
          <w:color w:val="auto"/>
        </w:rPr>
        <w:t>” or “</w:t>
      </w:r>
      <w:r>
        <w:rPr>
          <w:rFonts w:ascii="Arial" w:cs="Arial" w:eastAsia="Arial" w:hAnsi="Arial"/>
          <w:sz w:val="20"/>
          <w:szCs w:val="20"/>
          <w:b w:val="1"/>
          <w:bCs w:val="1"/>
          <w:i w:val="1"/>
          <w:iCs w:val="1"/>
          <w:color w:val="auto"/>
        </w:rPr>
        <w:t>Covering</w:t>
      </w:r>
      <w:r>
        <w:rPr>
          <w:rFonts w:ascii="Arial" w:cs="Arial" w:eastAsia="Arial" w:hAnsi="Arial"/>
          <w:sz w:val="20"/>
          <w:szCs w:val="20"/>
          <w:color w:val="auto"/>
        </w:rPr>
        <w:t>” shall have correlative meanings.</w:t>
      </w:r>
    </w:p>
    <w:p>
      <w:pPr>
        <w:spacing w:after="0" w:line="16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CRO</w:t>
      </w:r>
      <w:r>
        <w:rPr>
          <w:rFonts w:ascii="Arial" w:cs="Arial" w:eastAsia="Arial" w:hAnsi="Arial"/>
          <w:sz w:val="20"/>
          <w:szCs w:val="20"/>
          <w:color w:val="auto"/>
        </w:rPr>
        <w:t>” means any Third Party contract research organization used to conduct or assist in the conduct of the Combined Therapy Clinical Trials, including laboratories and Third Parties used to maintain the safety database from the Combined Therapy Clinical Trials, but, for clarity, excluding the Trial Sites.</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shall have the meaning set forth in Section 11.2(a).</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Date of First Receipt</w:t>
      </w:r>
      <w:r>
        <w:rPr>
          <w:rFonts w:ascii="Arial" w:cs="Arial" w:eastAsia="Arial" w:hAnsi="Arial"/>
          <w:sz w:val="20"/>
          <w:szCs w:val="20"/>
          <w:color w:val="auto"/>
        </w:rPr>
        <w:t>” means, with respect to a Party, the date on which any employee of such Party, its Affiliates or its Third Party subcontractors first becomes aware of applicable safety-related information.</w:t>
      </w:r>
    </w:p>
    <w:p>
      <w:pPr>
        <w:spacing w:after="0" w:line="15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Development Plan</w:t>
      </w:r>
      <w:r>
        <w:rPr>
          <w:rFonts w:ascii="Arial" w:cs="Arial" w:eastAsia="Arial" w:hAnsi="Arial"/>
          <w:sz w:val="20"/>
          <w:szCs w:val="20"/>
          <w:color w:val="auto"/>
        </w:rPr>
        <w:t>” means the plan specifying each Party’s general tasks and activities for the conduct of the Combination Therapy Clinical Trials, as agreed by the Parties, and as such plan may be amended or modified by the Parties in writing; a copy of the agreed Development Plan will be attached as Appendix A of this Agreement in accordance with Section 2.2.</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Clinical Contact</w:t>
      </w:r>
      <w:r>
        <w:rPr>
          <w:rFonts w:ascii="Arial" w:cs="Arial" w:eastAsia="Arial" w:hAnsi="Arial"/>
          <w:sz w:val="20"/>
          <w:szCs w:val="20"/>
          <w:color w:val="auto"/>
        </w:rPr>
        <w:t>” shall have the meaning set forth in Section 2.4.</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Supply Contact</w:t>
      </w:r>
      <w:r>
        <w:rPr>
          <w:rFonts w:ascii="Arial" w:cs="Arial" w:eastAsia="Arial" w:hAnsi="Arial"/>
          <w:sz w:val="20"/>
          <w:szCs w:val="20"/>
          <w:color w:val="auto"/>
        </w:rPr>
        <w:t>” shall have the meaning set forth in Section 4.7.</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Direct Outside Costs</w:t>
      </w:r>
      <w:r>
        <w:rPr>
          <w:rFonts w:ascii="Arial" w:cs="Arial" w:eastAsia="Arial" w:hAnsi="Arial"/>
          <w:sz w:val="19"/>
          <w:szCs w:val="19"/>
          <w:color w:val="auto"/>
        </w:rPr>
        <w:t xml:space="preserve">” means the direct costs set forth in the Budget incurred by Olema in conducting activities under the Development Plan to conduct the Combined Therapy Clinical Trials, such costs to include </w:t>
      </w:r>
      <w:r>
        <w:rPr>
          <w:rFonts w:ascii="Arial" w:cs="Arial" w:eastAsia="Arial" w:hAnsi="Arial"/>
          <w:sz w:val="16"/>
          <w:szCs w:val="16"/>
          <w:color w:val="auto"/>
        </w:rPr>
        <w:t>[***]</w:t>
      </w:r>
      <w:r>
        <w:rPr>
          <w:rFonts w:ascii="Arial" w:cs="Arial" w:eastAsia="Arial" w:hAnsi="Arial"/>
          <w:sz w:val="19"/>
          <w:szCs w:val="19"/>
          <w:color w:val="auto"/>
        </w:rPr>
        <w: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Dispute</w:t>
      </w:r>
      <w:r>
        <w:rPr>
          <w:rFonts w:ascii="Arial" w:cs="Arial" w:eastAsia="Arial" w:hAnsi="Arial"/>
          <w:sz w:val="20"/>
          <w:szCs w:val="20"/>
          <w:color w:val="auto"/>
        </w:rPr>
        <w:t>” shall have the meaning set forth in Section 12.3(b).</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shall have the meaning set forth in the preamble to this Agreement.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Executive Officers</w:t>
      </w:r>
      <w:r>
        <w:rPr>
          <w:rFonts w:ascii="Arial" w:cs="Arial" w:eastAsia="Arial" w:hAnsi="Arial"/>
          <w:sz w:val="20"/>
          <w:szCs w:val="20"/>
          <w:color w:val="auto"/>
        </w:rPr>
        <w:t xml:space="preserve">” means the </w:t>
      </w:r>
      <w:r>
        <w:rPr>
          <w:rFonts w:ascii="Arial" w:cs="Arial" w:eastAsia="Arial" w:hAnsi="Arial"/>
          <w:sz w:val="17"/>
          <w:szCs w:val="17"/>
          <w:color w:val="auto"/>
        </w:rPr>
        <w:t>[***]</w:t>
      </w:r>
      <w:r>
        <w:rPr>
          <w:rFonts w:ascii="Arial" w:cs="Arial" w:eastAsia="Arial" w:hAnsi="Arial"/>
          <w:sz w:val="20"/>
          <w:szCs w:val="20"/>
          <w:color w:val="auto"/>
        </w:rPr>
        <w:t xml:space="preserve"> of Olema and the </w:t>
      </w:r>
      <w:r>
        <w:rPr>
          <w:rFonts w:ascii="Arial" w:cs="Arial" w:eastAsia="Arial" w:hAnsi="Arial"/>
          <w:sz w:val="17"/>
          <w:szCs w:val="17"/>
          <w:color w:val="auto"/>
        </w:rPr>
        <w:t>[***]</w:t>
      </w:r>
      <w:r>
        <w:rPr>
          <w:rFonts w:ascii="Arial" w:cs="Arial" w:eastAsia="Arial" w:hAnsi="Arial"/>
          <w:sz w:val="20"/>
          <w:szCs w:val="20"/>
          <w:color w:val="auto"/>
        </w:rPr>
        <w:t xml:space="preserve"> of Novartis (or their respective designees).</w:t>
      </w:r>
    </w:p>
    <w:p>
      <w:pPr>
        <w:spacing w:after="0" w:line="17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FDA</w:t>
      </w:r>
      <w:r>
        <w:rPr>
          <w:rFonts w:ascii="Arial" w:cs="Arial" w:eastAsia="Arial" w:hAnsi="Arial"/>
          <w:sz w:val="20"/>
          <w:szCs w:val="20"/>
          <w:color w:val="auto"/>
        </w:rPr>
        <w:t>” means the United States Food and Drug Administration, or any successor agency having the same or similar authority.</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Final Study Report</w:t>
      </w:r>
      <w:r>
        <w:rPr>
          <w:rFonts w:ascii="Arial" w:cs="Arial" w:eastAsia="Arial" w:hAnsi="Arial"/>
          <w:sz w:val="20"/>
          <w:szCs w:val="20"/>
          <w:color w:val="auto"/>
        </w:rPr>
        <w:t>” shall have the meaning ascribed to such term in Section 2.1.</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Final Results Date</w:t>
      </w:r>
      <w:r>
        <w:rPr>
          <w:rFonts w:ascii="Arial" w:cs="Arial" w:eastAsia="Arial" w:hAnsi="Arial"/>
          <w:sz w:val="20"/>
          <w:szCs w:val="20"/>
          <w:color w:val="auto"/>
        </w:rPr>
        <w:t>” means the date that the Results have been delivered to Novartis hereunder.</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Global Safety Database</w:t>
      </w:r>
      <w:r>
        <w:rPr>
          <w:rFonts w:ascii="Arial" w:cs="Arial" w:eastAsia="Arial" w:hAnsi="Arial"/>
          <w:sz w:val="19"/>
          <w:szCs w:val="19"/>
          <w:color w:val="auto"/>
        </w:rPr>
        <w:t>” means the database containing Adverse Events, Serious Adverse Events, Serious Adverse Drug Reactions and pregnancy reports for the Combined Therapy, and shall be the authoritative data source for regulatory reporting and responding to regulatory queries with respect to the Combined Therapy Clinical Trials.</w:t>
      </w:r>
    </w:p>
    <w:p>
      <w:pPr>
        <w:spacing w:after="0" w:line="12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Clinical Practices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GCP</w:t>
      </w:r>
      <w:r>
        <w:rPr>
          <w:rFonts w:ascii="Arial" w:cs="Arial" w:eastAsia="Arial" w:hAnsi="Arial"/>
          <w:sz w:val="20"/>
          <w:szCs w:val="20"/>
          <w:color w:val="auto"/>
        </w:rPr>
        <w:t>” means, as to the United States and the European Union, applicable good clinical practices as in effect in the United States and the European Union,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4" w:name="page105"/>
    <w:bookmarkEnd w:id="104"/>
    <w:p>
      <w:pPr>
        <w:jc w:val="both"/>
        <w:spacing w:after="0" w:line="260" w:lineRule="auto"/>
        <w:rPr>
          <w:sz w:val="20"/>
          <w:szCs w:val="20"/>
          <w:color w:val="auto"/>
        </w:rPr>
      </w:pPr>
      <w:r>
        <w:rPr>
          <w:rFonts w:ascii="Arial" w:cs="Arial" w:eastAsia="Arial" w:hAnsi="Arial"/>
          <w:sz w:val="20"/>
          <w:szCs w:val="20"/>
          <w:color w:val="auto"/>
        </w:rPr>
        <w:t>during the Term and, with respect to any other jurisdiction, clinical practices equivalent to good clinical practices as then in effect in the United States or the European Union.</w:t>
      </w:r>
    </w:p>
    <w:p>
      <w:pPr>
        <w:spacing w:after="0" w:line="13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Laboratory Practices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GLP</w:t>
      </w:r>
      <w:r>
        <w:rPr>
          <w:rFonts w:ascii="Arial" w:cs="Arial" w:eastAsia="Arial" w:hAnsi="Arial"/>
          <w:sz w:val="20"/>
          <w:szCs w:val="20"/>
          <w:color w:val="auto"/>
        </w:rPr>
        <w:t>” means, as to the United States and the European Union, applicable good laboratory practices as in effect in the United States and the European Union, respectively, during the Term and, with respect to any other jurisdiction, laboratory practices equivalent to good laboratory practices as then in effect in the United States or the European Union.</w:t>
      </w:r>
    </w:p>
    <w:p>
      <w:pPr>
        <w:spacing w:after="0" w:line="16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Good Manufacturing Practices</w:t>
      </w:r>
      <w:r>
        <w:rPr>
          <w:rFonts w:ascii="Arial" w:cs="Arial" w:eastAsia="Arial" w:hAnsi="Arial"/>
          <w:sz w:val="20"/>
          <w:szCs w:val="20"/>
          <w:color w:val="auto"/>
        </w:rPr>
        <w:t>” or “</w:t>
      </w:r>
      <w:r>
        <w:rPr>
          <w:rFonts w:ascii="Arial" w:cs="Arial" w:eastAsia="Arial" w:hAnsi="Arial"/>
          <w:sz w:val="20"/>
          <w:szCs w:val="20"/>
          <w:b w:val="1"/>
          <w:bCs w:val="1"/>
          <w:i w:val="1"/>
          <w:iCs w:val="1"/>
          <w:color w:val="auto"/>
        </w:rPr>
        <w:t>GMP</w:t>
      </w:r>
      <w:r>
        <w:rPr>
          <w:rFonts w:ascii="Arial" w:cs="Arial" w:eastAsia="Arial" w:hAnsi="Arial"/>
          <w:sz w:val="20"/>
          <w:szCs w:val="20"/>
          <w:color w:val="auto"/>
        </w:rPr>
        <w:t>” means, as to the United States and the European Union, applicable good manufacturing practices as in effect in the United States and the European Union, respectively, during the Term and, with respect to any other jurisdiction, manufacturing practices equivalent to good manufacturing practices as then in effect in the United States or the European Union.</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ICF</w:t>
      </w:r>
      <w:r>
        <w:rPr>
          <w:rFonts w:ascii="Arial" w:cs="Arial" w:eastAsia="Arial" w:hAnsi="Arial"/>
          <w:sz w:val="20"/>
          <w:szCs w:val="20"/>
          <w:color w:val="auto"/>
        </w:rPr>
        <w:t>” shall have the meaning set forth in Section 5.1(f).</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w:t>
      </w:r>
      <w:r>
        <w:rPr>
          <w:rFonts w:ascii="Arial" w:cs="Arial" w:eastAsia="Arial" w:hAnsi="Arial"/>
          <w:sz w:val="20"/>
          <w:szCs w:val="20"/>
          <w:color w:val="auto"/>
        </w:rPr>
        <w:t>” means (a) an Investigational New Drug Application as defined in the United States Food, Drug and Cosmetic Act, as amended, and regulations promulgated thereunder, or any successor application or procedure required to initiate clinical testing of a drug in humans in the United States, (b) a counterpart of such an Investigational New Drug Application that is required in any other country before beginning clinical testing of a drug in humans in such country, including, for clarity, a “</w:t>
      </w:r>
      <w:r>
        <w:rPr>
          <w:rFonts w:ascii="Arial" w:cs="Arial" w:eastAsia="Arial" w:hAnsi="Arial"/>
          <w:sz w:val="20"/>
          <w:szCs w:val="20"/>
          <w:b w:val="1"/>
          <w:bCs w:val="1"/>
          <w:i w:val="1"/>
          <w:iCs w:val="1"/>
          <w:color w:val="auto"/>
        </w:rPr>
        <w:t>Clinical Trial Application</w:t>
      </w:r>
      <w:r>
        <w:rPr>
          <w:rFonts w:ascii="Arial" w:cs="Arial" w:eastAsia="Arial" w:hAnsi="Arial"/>
          <w:sz w:val="20"/>
          <w:szCs w:val="20"/>
          <w:color w:val="auto"/>
        </w:rPr>
        <w:t>” in the European Union, and (c) all supplements and amendments to any of the foregoing.</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Indemnify</w:t>
      </w:r>
      <w:r>
        <w:rPr>
          <w:rFonts w:ascii="Arial" w:cs="Arial" w:eastAsia="Arial" w:hAnsi="Arial"/>
          <w:sz w:val="20"/>
          <w:szCs w:val="20"/>
          <w:color w:val="auto"/>
        </w:rPr>
        <w:t>” shall have the meaning set forth in Section 10.1.</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Infringe</w:t>
      </w:r>
      <w:r>
        <w:rPr>
          <w:rFonts w:ascii="Arial" w:cs="Arial" w:eastAsia="Arial" w:hAnsi="Arial"/>
          <w:sz w:val="20"/>
          <w:szCs w:val="20"/>
          <w:color w:val="auto"/>
        </w:rPr>
        <w:t>” and “</w:t>
      </w:r>
      <w:r>
        <w:rPr>
          <w:rFonts w:ascii="Arial" w:cs="Arial" w:eastAsia="Arial" w:hAnsi="Arial"/>
          <w:sz w:val="20"/>
          <w:szCs w:val="20"/>
          <w:b w:val="1"/>
          <w:bCs w:val="1"/>
          <w:i w:val="1"/>
          <w:iCs w:val="1"/>
          <w:color w:val="auto"/>
        </w:rPr>
        <w:t>Infringement</w:t>
      </w:r>
      <w:r>
        <w:rPr>
          <w:rFonts w:ascii="Arial" w:cs="Arial" w:eastAsia="Arial" w:hAnsi="Arial"/>
          <w:sz w:val="20"/>
          <w:szCs w:val="20"/>
          <w:color w:val="auto"/>
        </w:rPr>
        <w:t>” means any infringement, or written allegation of infringement, by a Third Party, of applicable Patent Rights.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b w:val="1"/>
          <w:bCs w:val="1"/>
          <w:i w:val="1"/>
          <w:iCs w:val="1"/>
          <w:color w:val="auto"/>
        </w:rPr>
        <w:t xml:space="preserve">“Invoice” </w:t>
      </w:r>
      <w:r>
        <w:rPr>
          <w:rFonts w:ascii="Arial" w:cs="Arial" w:eastAsia="Arial" w:hAnsi="Arial"/>
          <w:sz w:val="20"/>
          <w:szCs w:val="20"/>
          <w:color w:val="auto"/>
        </w:rPr>
        <w:t>shall have the meaning set forth in Section 5.3.</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IRB</w:t>
      </w:r>
      <w:r>
        <w:rPr>
          <w:rFonts w:ascii="Arial" w:cs="Arial" w:eastAsia="Arial" w:hAnsi="Arial"/>
          <w:sz w:val="20"/>
          <w:szCs w:val="20"/>
          <w:color w:val="auto"/>
        </w:rPr>
        <w:t>” means an Investigational Review Board or Ethics Committee (or similar body in a given country).</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Losses</w:t>
      </w:r>
      <w:r>
        <w:rPr>
          <w:rFonts w:ascii="Arial" w:cs="Arial" w:eastAsia="Arial" w:hAnsi="Arial"/>
          <w:sz w:val="20"/>
          <w:szCs w:val="20"/>
          <w:color w:val="auto"/>
        </w:rPr>
        <w:t>” shall have the meaning set forth in Section 10.1.</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Manufacture”</w:t>
      </w:r>
      <w:r>
        <w:rPr>
          <w:rFonts w:ascii="Arial" w:cs="Arial" w:eastAsia="Arial" w:hAnsi="Arial"/>
          <w:sz w:val="20"/>
          <w:szCs w:val="20"/>
          <w:color w:val="auto"/>
        </w:rPr>
        <w:t xml:space="preserve"> or “</w:t>
      </w:r>
      <w:r>
        <w:rPr>
          <w:rFonts w:ascii="Arial" w:cs="Arial" w:eastAsia="Arial" w:hAnsi="Arial"/>
          <w:sz w:val="20"/>
          <w:szCs w:val="20"/>
          <w:b w:val="1"/>
          <w:bCs w:val="1"/>
          <w:i w:val="1"/>
          <w:iCs w:val="1"/>
          <w:color w:val="auto"/>
        </w:rPr>
        <w:t>Manufacturing</w:t>
      </w:r>
      <w:r>
        <w:rPr>
          <w:rFonts w:ascii="Arial" w:cs="Arial" w:eastAsia="Arial" w:hAnsi="Arial"/>
          <w:sz w:val="20"/>
          <w:szCs w:val="20"/>
          <w:color w:val="auto"/>
        </w:rPr>
        <w:t>” means manufacturing, processing, formulating, packaging, labeling, holding (including storage), and quality control testing of a Single Agent Compound or the Combined Therapy, in each case so as to be suitable for use in the Combined Therapy Clinical Trials under Applicable Law.</w:t>
      </w:r>
    </w:p>
    <w:p>
      <w:pPr>
        <w:spacing w:after="0" w:line="15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Material Safety Issue</w:t>
      </w:r>
      <w:r>
        <w:rPr>
          <w:rFonts w:ascii="Arial" w:cs="Arial" w:eastAsia="Arial" w:hAnsi="Arial"/>
          <w:sz w:val="20"/>
          <w:szCs w:val="20"/>
          <w:color w:val="auto"/>
        </w:rPr>
        <w:t xml:space="preserve">” means a Party’s reasonable, good faith belief that there is an unacceptable risk for harm in humans based upon: (a) </w:t>
      </w:r>
      <w:r>
        <w:rPr>
          <w:rFonts w:ascii="Arial" w:cs="Arial" w:eastAsia="Arial" w:hAnsi="Arial"/>
          <w:sz w:val="17"/>
          <w:szCs w:val="17"/>
          <w:color w:val="auto"/>
        </w:rPr>
        <w:t>[***]</w:t>
      </w:r>
      <w:r>
        <w:rPr>
          <w:rFonts w:ascii="Arial" w:cs="Arial" w:eastAsia="Arial" w:hAnsi="Arial"/>
          <w:sz w:val="20"/>
          <w:szCs w:val="20"/>
          <w:color w:val="auto"/>
        </w:rPr>
        <w:t xml:space="preserve">, or (b) </w:t>
      </w:r>
      <w:r>
        <w:rPr>
          <w:rFonts w:ascii="Arial" w:cs="Arial" w:eastAsia="Arial" w:hAnsi="Arial"/>
          <w:sz w:val="17"/>
          <w:szCs w:val="17"/>
          <w:color w:val="auto"/>
        </w:rPr>
        <w:t>[***]</w:t>
      </w:r>
      <w:r>
        <w:rPr>
          <w:rFonts w:ascii="Arial" w:cs="Arial" w:eastAsia="Arial" w:hAnsi="Arial"/>
          <w:sz w:val="20"/>
          <w:szCs w:val="20"/>
          <w:color w:val="auto"/>
        </w:rPr>
        <w:t>.</w:t>
      </w:r>
    </w:p>
    <w:p>
      <w:pPr>
        <w:spacing w:after="0" w:line="13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NDA</w:t>
      </w:r>
      <w:r>
        <w:rPr>
          <w:rFonts w:ascii="Arial" w:cs="Arial" w:eastAsia="Arial" w:hAnsi="Arial"/>
          <w:sz w:val="20"/>
          <w:szCs w:val="20"/>
          <w:color w:val="auto"/>
        </w:rPr>
        <w:t>” means (a) any new drug application or biologics license application filed with the FDA, or any successor application or procedure required to introduce a drug or biologic into commerce in the United States, (b) a counterpart of such a new drug application or biologics license application that is required in any other country before beginning the commercialization of a drug or a biologic in humans in such country, and (c) all supplements and amendments to any of the foregoing.</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Non-Breaching Party</w:t>
      </w:r>
      <w:r>
        <w:rPr>
          <w:rFonts w:ascii="Arial" w:cs="Arial" w:eastAsia="Arial" w:hAnsi="Arial"/>
          <w:sz w:val="20"/>
          <w:szCs w:val="20"/>
          <w:color w:val="auto"/>
        </w:rPr>
        <w:t>” shall have the meaning set forth in Section 11.2(a).</w:t>
      </w:r>
    </w:p>
    <w:p>
      <w:pPr>
        <w:spacing w:after="0" w:line="18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b w:val="1"/>
          <w:bCs w:val="1"/>
          <w:i w:val="1"/>
          <w:iCs w:val="1"/>
          <w:color w:val="auto"/>
        </w:rPr>
        <w:t xml:space="preserve">“Novartis Alpelisib Metabolite” </w:t>
      </w:r>
      <w:r>
        <w:rPr>
          <w:rFonts w:ascii="Arial" w:cs="Arial" w:eastAsia="Arial" w:hAnsi="Arial"/>
          <w:sz w:val="20"/>
          <w:szCs w:val="20"/>
          <w:color w:val="auto"/>
        </w:rPr>
        <w:t>means Novartis’ proprietary metabolite or derivative compound BZG791, and any</w:t>
      </w:r>
      <w:r>
        <w:rPr>
          <w:rFonts w:ascii="Arial" w:cs="Arial" w:eastAsia="Arial" w:hAnsi="Arial"/>
          <w:sz w:val="20"/>
          <w:szCs w:val="20"/>
          <w:b w:val="1"/>
          <w:bCs w:val="1"/>
          <w:i w:val="1"/>
          <w:iCs w:val="1"/>
          <w:color w:val="auto"/>
        </w:rPr>
        <w:t xml:space="preserve"> </w:t>
      </w:r>
      <w:r>
        <w:rPr>
          <w:rFonts w:ascii="Arial" w:cs="Arial" w:eastAsia="Arial" w:hAnsi="Arial"/>
          <w:sz w:val="20"/>
          <w:szCs w:val="20"/>
          <w:color w:val="auto"/>
        </w:rPr>
        <w:t>drug candidate or product containing BZG791.</w:t>
      </w:r>
    </w:p>
    <w:p>
      <w:pPr>
        <w:spacing w:after="0" w:line="13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Background Patent Right</w:t>
      </w:r>
      <w:r>
        <w:rPr>
          <w:rFonts w:ascii="Arial" w:cs="Arial" w:eastAsia="Arial" w:hAnsi="Arial"/>
          <w:sz w:val="20"/>
          <w:szCs w:val="20"/>
          <w:color w:val="auto"/>
        </w:rPr>
        <w:t>” means a Patent Right that: (a) is Controlled by Novartis (or any of its Affiliates) (i) as of the Effective Date, or (ii) during the Term that claims an invention that was conceived or first reduced to practice through activities other than those performed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5" w:name="page106"/>
    <w:bookmarkEnd w:id="105"/>
    <w:p>
      <w:pPr>
        <w:jc w:val="both"/>
        <w:spacing w:after="0" w:line="260" w:lineRule="auto"/>
        <w:rPr>
          <w:sz w:val="20"/>
          <w:szCs w:val="20"/>
          <w:color w:val="auto"/>
        </w:rPr>
      </w:pPr>
      <w:r>
        <w:rPr>
          <w:rFonts w:ascii="Arial" w:cs="Arial" w:eastAsia="Arial" w:hAnsi="Arial"/>
          <w:sz w:val="20"/>
          <w:szCs w:val="20"/>
          <w:color w:val="auto"/>
        </w:rPr>
        <w:t>Agreement, and (b) Covers the use (whether alone or in combination with other agents), manufacture, formulation or composition of matter of the Novartis Study Drugs or the Novartis Alpelisib Metabolite.</w:t>
      </w:r>
    </w:p>
    <w:p>
      <w:pPr>
        <w:spacing w:after="0" w:line="13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Novartis Background Technology</w:t>
      </w:r>
      <w:r>
        <w:rPr>
          <w:rFonts w:ascii="Arial" w:cs="Arial" w:eastAsia="Arial" w:hAnsi="Arial"/>
          <w:sz w:val="19"/>
          <w:szCs w:val="19"/>
          <w:color w:val="auto"/>
        </w:rPr>
        <w:t>” means all Technology that is (a) Controlled by Novartis (or its Affiliates) (i) as of the Effective Date, or (ii) during the Term and created through efforts outside of this Agreement, (b) related to the Novartis Study Drugs, the Novartis Alpelisib Metabolite or the Combined Therapy, and (c) reasonably needed for the conduct of the Combined Therapy Clinical Trials and/or for Olema to exercise the rights that are granted to Olema under this Agreement. For clarity, all Study Inventions, Study Data, and Combined Therapy Clinical Trials Regulatory Documentation are excluded from the term Novartis Background Technology.</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Indemnitees</w:t>
      </w:r>
      <w:r>
        <w:rPr>
          <w:rFonts w:ascii="Arial" w:cs="Arial" w:eastAsia="Arial" w:hAnsi="Arial"/>
          <w:sz w:val="20"/>
          <w:szCs w:val="20"/>
          <w:color w:val="auto"/>
        </w:rPr>
        <w:t>” shall have the meaning set forth in Section 10.2.</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Regulatory Documentation</w:t>
      </w:r>
      <w:r>
        <w:rPr>
          <w:rFonts w:ascii="Arial" w:cs="Arial" w:eastAsia="Arial" w:hAnsi="Arial"/>
          <w:sz w:val="20"/>
          <w:szCs w:val="20"/>
          <w:color w:val="auto"/>
        </w:rPr>
        <w:t>” means any Regulatory Documentation of Novartis (or its Affiliate) pertaining to the Novartis Study Drugs or the Novartis Alpelisib Metabolite that exists as of the Effective Date or that is created during the Term through efforts outside this Agreement.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Study Data</w:t>
      </w:r>
      <w:r>
        <w:rPr>
          <w:rFonts w:ascii="Arial" w:cs="Arial" w:eastAsia="Arial" w:hAnsi="Arial"/>
          <w:sz w:val="20"/>
          <w:szCs w:val="20"/>
          <w:color w:val="auto"/>
        </w:rPr>
        <w:t>” shall have the meaning set forth in Section 7.2.</w:t>
      </w:r>
    </w:p>
    <w:p>
      <w:pPr>
        <w:spacing w:after="0" w:line="18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Study Drugs</w:t>
      </w:r>
      <w:r>
        <w:rPr>
          <w:rFonts w:ascii="Arial" w:cs="Arial" w:eastAsia="Arial" w:hAnsi="Arial"/>
          <w:sz w:val="20"/>
          <w:szCs w:val="20"/>
          <w:color w:val="auto"/>
        </w:rPr>
        <w:t>” means Novartis’ proprietary CDK4/6 inhibitor Kisqali® (ribociclib, also known as LEE001), and/or Novartis’ proprietary phosphatidylinositol 3-kinase inhibitor Piqray® (alpelisib, also known as BYL719), and any drug candidate or product containing Kisqali® and/or Piqray®.</w:t>
      </w:r>
    </w:p>
    <w:p>
      <w:pPr>
        <w:spacing w:after="0" w:line="14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Novartis Study Invention</w:t>
      </w:r>
      <w:r>
        <w:rPr>
          <w:rFonts w:ascii="Arial" w:cs="Arial" w:eastAsia="Arial" w:hAnsi="Arial"/>
          <w:sz w:val="18"/>
          <w:szCs w:val="18"/>
          <w:color w:val="auto"/>
        </w:rPr>
        <w:t>” means any Study Invention that pertains to: (a) the composition of matter of the Novartis Study Drugs or the Novartis Alpelisib Metabolite (and, in each case, not Olema Study Drug), (b) a method of manufacture or formulation or administration, including dosing, of the Novartis Study Drugs (and not Olema Study Drug) or the Novartis Alpelisib Metabolite as a Single Agent Compound (and for clarity, not with respect to the Combined Therapy),</w:t>
      </w:r>
    </w:p>
    <w:p>
      <w:pPr>
        <w:spacing w:after="0" w:line="3" w:lineRule="exact"/>
        <w:rPr>
          <w:sz w:val="20"/>
          <w:szCs w:val="20"/>
          <w:color w:val="auto"/>
        </w:rPr>
      </w:pPr>
    </w:p>
    <w:p>
      <w:pPr>
        <w:jc w:val="both"/>
        <w:ind w:firstLine="8"/>
        <w:spacing w:after="0" w:line="241" w:lineRule="auto"/>
        <w:tabs>
          <w:tab w:leader="none" w:pos="271" w:val="left"/>
        </w:tabs>
        <w:numPr>
          <w:ilvl w:val="0"/>
          <w:numId w:val="57"/>
        </w:numPr>
        <w:rPr>
          <w:rFonts w:ascii="Arial" w:cs="Arial" w:eastAsia="Arial" w:hAnsi="Arial"/>
          <w:sz w:val="20"/>
          <w:szCs w:val="20"/>
          <w:color w:val="auto"/>
        </w:rPr>
      </w:pPr>
      <w:r>
        <w:rPr>
          <w:rFonts w:ascii="Arial" w:cs="Arial" w:eastAsia="Arial" w:hAnsi="Arial"/>
          <w:sz w:val="20"/>
          <w:szCs w:val="20"/>
          <w:color w:val="auto"/>
        </w:rPr>
        <w:t>a method of use of the Novartis Study Drugs (and not Olema Study Drug) as a monotherapy or as used with other agents, antibodies or compounds (other than a Study Invention pertaining to use with Olema Study Drug), and/or (d) a method of use of the Novartis Alpelisib Metabolite as as a sole agent or as used with other agents, antibodies or compounds (other than a Study Invention pertaining to use with Olema Study Drug ).</w:t>
      </w:r>
    </w:p>
    <w:p>
      <w:pPr>
        <w:spacing w:after="0" w:line="1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Novartis Study Patent Right</w:t>
      </w:r>
      <w:r>
        <w:rPr>
          <w:rFonts w:ascii="Arial" w:cs="Arial" w:eastAsia="Arial" w:hAnsi="Arial"/>
          <w:sz w:val="20"/>
          <w:szCs w:val="20"/>
          <w:color w:val="auto"/>
        </w:rPr>
        <w:t>” means any Patent Right that Covers a Novartis Study Invention (and not an Olema Study Invention or Combined Therapy Invention), excluding Novartis Background Patent Rights and Novartis Background Technology. For avoidance of doubt, any Patent Rights that Cover both (a) a Novartis Study Invention and (b) any other type of Study Invention is included within the Combined Therapy Patent Rights and is not within the Novartis Study Patent Rights.</w:t>
      </w:r>
    </w:p>
    <w:p>
      <w:pPr>
        <w:spacing w:after="0" w:line="167" w:lineRule="exact"/>
        <w:rPr>
          <w:sz w:val="20"/>
          <w:szCs w:val="20"/>
          <w:color w:val="auto"/>
        </w:rPr>
      </w:pPr>
    </w:p>
    <w:p>
      <w:pPr>
        <w:ind w:left="7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Officials</w:t>
      </w:r>
      <w:r>
        <w:rPr>
          <w:rFonts w:ascii="Arial" w:cs="Arial" w:eastAsia="Arial" w:hAnsi="Arial"/>
          <w:sz w:val="20"/>
          <w:szCs w:val="20"/>
          <w:color w:val="auto"/>
        </w:rPr>
        <w:t>” shall have the meaning set forth in Section 9.9.</w:t>
      </w:r>
    </w:p>
    <w:p>
      <w:pPr>
        <w:spacing w:after="0" w:line="17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Olema Background Patent Right</w:t>
      </w:r>
      <w:r>
        <w:rPr>
          <w:rFonts w:ascii="Arial" w:cs="Arial" w:eastAsia="Arial" w:hAnsi="Arial"/>
          <w:sz w:val="18"/>
          <w:szCs w:val="18"/>
          <w:color w:val="auto"/>
        </w:rPr>
        <w:t>” means any Patent Right (a) that is Controlled by Olema or a Olema Affiliate (i) as of the Effective Date, or (ii) during the Term that claims an invention that was conceived or first reduced to practice through activities other than those performed pursuant to this Agreement, and (b) that Covers the use (either alone or in combination with other agents), manufacture, formulation or composition of matter of Olema Study Drug.</w:t>
      </w:r>
    </w:p>
    <w:p>
      <w:pPr>
        <w:spacing w:after="0" w:line="121"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Olema Background Technology</w:t>
      </w:r>
      <w:r>
        <w:rPr>
          <w:rFonts w:ascii="Arial" w:cs="Arial" w:eastAsia="Arial" w:hAnsi="Arial"/>
          <w:sz w:val="20"/>
          <w:szCs w:val="20"/>
          <w:color w:val="auto"/>
        </w:rPr>
        <w:t>” means all Technology (a) that is Controlled by Olema (or its Affiliates) (i) as of the Effective Date, or (ii) during the Term and created through efforts outside of this Agreement, and (b) that is related directly to Olema Study Drug or the Combined Therapy, and (c) that is reasonably needed for the conduct of the Combined Therapy Clinical Trials and/or for Novartis to exercise the rights granted to Novartis under this Agreement. For clarity, all Study Inventions, Study Data, and Combined Therapy Clinical Trials Regulatory Documentation are excluded from the term Olema Background Technology.</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Olema Indemnitees</w:t>
      </w:r>
      <w:r>
        <w:rPr>
          <w:rFonts w:ascii="Arial" w:cs="Arial" w:eastAsia="Arial" w:hAnsi="Arial"/>
          <w:sz w:val="20"/>
          <w:szCs w:val="20"/>
          <w:color w:val="auto"/>
        </w:rPr>
        <w:t>” shall have the meaning set forth in Section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6" w:name="page107"/>
    <w:bookmarkEnd w:id="106"/>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Olema Regulatory Documentation</w:t>
      </w:r>
      <w:r>
        <w:rPr>
          <w:rFonts w:ascii="Arial" w:cs="Arial" w:eastAsia="Arial" w:hAnsi="Arial"/>
          <w:sz w:val="18"/>
          <w:szCs w:val="18"/>
          <w:color w:val="auto"/>
        </w:rPr>
        <w:t>” means any and all Regulatory Documentation of Olema pertaining to Olema Study Drug that exists as of the Effective Date or that is created during the Term through efforts outside this Agreement.</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Olema Study Data</w:t>
      </w:r>
      <w:r>
        <w:rPr>
          <w:rFonts w:ascii="Arial" w:cs="Arial" w:eastAsia="Arial" w:hAnsi="Arial"/>
          <w:sz w:val="20"/>
          <w:szCs w:val="20"/>
          <w:color w:val="auto"/>
        </w:rPr>
        <w:t>” shall have the meaning set forth in Section 7.2.</w:t>
      </w:r>
    </w:p>
    <w:p>
      <w:pPr>
        <w:spacing w:after="0" w:line="189"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Olema Study Drug</w:t>
      </w:r>
      <w:r>
        <w:rPr>
          <w:rFonts w:ascii="Arial" w:cs="Arial" w:eastAsia="Arial" w:hAnsi="Arial"/>
          <w:sz w:val="18"/>
          <w:szCs w:val="18"/>
          <w:color w:val="auto"/>
        </w:rPr>
        <w:t>” means Olema’s proprietary OP-1250 compound, or metabolite thereof, which inhibits estrogen receptor, including salts thereof, and any drug candidate or product containing such compound or the metabolite.</w:t>
      </w:r>
    </w:p>
    <w:p>
      <w:pPr>
        <w:spacing w:after="0" w:line="89" w:lineRule="exact"/>
        <w:rPr>
          <w:sz w:val="20"/>
          <w:szCs w:val="20"/>
          <w:color w:val="auto"/>
        </w:rPr>
      </w:pPr>
    </w:p>
    <w:p>
      <w:pPr>
        <w:jc w:val="both"/>
        <w:ind w:firstLine="711"/>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Olema Study Invention</w:t>
      </w:r>
      <w:r>
        <w:rPr>
          <w:rFonts w:ascii="Arial" w:cs="Arial" w:eastAsia="Arial" w:hAnsi="Arial"/>
          <w:sz w:val="20"/>
          <w:szCs w:val="20"/>
          <w:color w:val="auto"/>
        </w:rPr>
        <w:t>” means any Study Invention that pertains to: (a) the composition of matter of Olema Study Drug (and not the Novartis Study Drugs or the Novartis Alpelisib Metabolite), (b) method of manufacture or formulation or administration, including dosing, of Olema Study Drug (and not the Novartis Study Drugs or the Novartis Alpelisib Metabolite) as a Single Agent Compound (and for clarity, not with respect to the Combined Therapy or in combination with the Novartis Alpelisib Metabolite), or (c) a method of use of Olema Study Drug (and not the Novartis Study Drugs or the Novartis Alpelisib Metabolite) as a monotherapy or as used in combination with other agents, antibodies or compounds (other than a Study Invention pertaining to use with the Novartis Study Drugs or the Novartis Alpelisib Metabolite).</w:t>
      </w:r>
    </w:p>
    <w:p>
      <w:pPr>
        <w:spacing w:after="0" w:line="15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Olema Study Patent Right</w:t>
      </w:r>
      <w:r>
        <w:rPr>
          <w:rFonts w:ascii="Arial" w:cs="Arial" w:eastAsia="Arial" w:hAnsi="Arial"/>
          <w:sz w:val="18"/>
          <w:szCs w:val="18"/>
          <w:color w:val="auto"/>
        </w:rPr>
        <w:t>” means any Patent Right that Covers a Olema Study Invention (and not a Novartis Study Invention or a Combined Therapy Invention), excluding Olema Background Patent Rights and Olema Background Technology. For avoidance of doubt, any Patent Right that Covers both (a) an Olema Study Invention and (b) any other type of Study Invention is included within the Combined Therapy Patent Rights and is not within the Olema Study Patent Rights.</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Operational Matters</w:t>
      </w:r>
      <w:r>
        <w:rPr>
          <w:rFonts w:ascii="Arial" w:cs="Arial" w:eastAsia="Arial" w:hAnsi="Arial"/>
          <w:sz w:val="20"/>
          <w:szCs w:val="20"/>
          <w:color w:val="auto"/>
        </w:rPr>
        <w:t>” shall have the meaning set forth in Section 5.1.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Party</w:t>
      </w:r>
      <w:r>
        <w:rPr>
          <w:rFonts w:ascii="Arial" w:cs="Arial" w:eastAsia="Arial" w:hAnsi="Arial"/>
          <w:sz w:val="20"/>
          <w:szCs w:val="20"/>
          <w:color w:val="auto"/>
        </w:rPr>
        <w:t>” or “</w:t>
      </w:r>
      <w:r>
        <w:rPr>
          <w:rFonts w:ascii="Arial" w:cs="Arial" w:eastAsia="Arial" w:hAnsi="Arial"/>
          <w:sz w:val="20"/>
          <w:szCs w:val="20"/>
          <w:b w:val="1"/>
          <w:bCs w:val="1"/>
          <w:i w:val="1"/>
          <w:iCs w:val="1"/>
          <w:color w:val="auto"/>
        </w:rPr>
        <w:t>Parties</w:t>
      </w:r>
      <w:r>
        <w:rPr>
          <w:rFonts w:ascii="Arial" w:cs="Arial" w:eastAsia="Arial" w:hAnsi="Arial"/>
          <w:sz w:val="20"/>
          <w:szCs w:val="20"/>
          <w:color w:val="auto"/>
        </w:rPr>
        <w:t>” shall have the meaning set forth in the preamble to this Agreement.</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Patent Right</w:t>
      </w:r>
      <w:r>
        <w:rPr>
          <w:rFonts w:ascii="Arial" w:cs="Arial" w:eastAsia="Arial" w:hAnsi="Arial"/>
          <w:sz w:val="19"/>
          <w:szCs w:val="19"/>
          <w:color w:val="auto"/>
        </w:rPr>
        <w:t xml:space="preserve">” means any (a) United States or foreign patent, (b) United States or foreign patent application, including all provisional applications, substitutions, continuations, continuations-in-part, divisions, and renewals (and all foreign equivalents of any of the foregoing), and all patents issued or granted on any such patent application, (c) United States or foreign patents-of-addition, reissues, reexaminations (including </w:t>
      </w:r>
      <w:r>
        <w:rPr>
          <w:rFonts w:ascii="Arial" w:cs="Arial" w:eastAsia="Arial" w:hAnsi="Arial"/>
          <w:sz w:val="19"/>
          <w:szCs w:val="19"/>
          <w:i w:val="1"/>
          <w:iCs w:val="1"/>
          <w:color w:val="auto"/>
        </w:rPr>
        <w:t>ex parte</w:t>
      </w:r>
      <w:r>
        <w:rPr>
          <w:rFonts w:ascii="Arial" w:cs="Arial" w:eastAsia="Arial" w:hAnsi="Arial"/>
          <w:sz w:val="19"/>
          <w:szCs w:val="19"/>
          <w:color w:val="auto"/>
        </w:rPr>
        <w:t xml:space="preserve"> reexaminations, </w:t>
      </w:r>
      <w:r>
        <w:rPr>
          <w:rFonts w:ascii="Arial" w:cs="Arial" w:eastAsia="Arial" w:hAnsi="Arial"/>
          <w:sz w:val="19"/>
          <w:szCs w:val="19"/>
          <w:i w:val="1"/>
          <w:iCs w:val="1"/>
          <w:color w:val="auto"/>
        </w:rPr>
        <w:t>inter partes</w:t>
      </w:r>
      <w:r>
        <w:rPr>
          <w:rFonts w:ascii="Arial" w:cs="Arial" w:eastAsia="Arial" w:hAnsi="Arial"/>
          <w:sz w:val="19"/>
          <w:szCs w:val="19"/>
          <w:color w:val="auto"/>
        </w:rPr>
        <w:t xml:space="preserve"> reviews, </w:t>
      </w:r>
      <w:r>
        <w:rPr>
          <w:rFonts w:ascii="Arial" w:cs="Arial" w:eastAsia="Arial" w:hAnsi="Arial"/>
          <w:sz w:val="19"/>
          <w:szCs w:val="19"/>
          <w:i w:val="1"/>
          <w:iCs w:val="1"/>
          <w:color w:val="auto"/>
        </w:rPr>
        <w:t>inter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partes </w:t>
      </w:r>
      <w:r>
        <w:rPr>
          <w:rFonts w:ascii="Arial" w:cs="Arial" w:eastAsia="Arial" w:hAnsi="Arial"/>
          <w:sz w:val="19"/>
          <w:szCs w:val="19"/>
          <w:color w:val="auto"/>
        </w:rPr>
        <w:t>reexaminations, post grant reviews and supplemental examinations) and extensions or restorations by existing or</w:t>
      </w:r>
      <w:r>
        <w:rPr>
          <w:rFonts w:ascii="Arial" w:cs="Arial" w:eastAsia="Arial" w:hAnsi="Arial"/>
          <w:sz w:val="19"/>
          <w:szCs w:val="19"/>
          <w:i w:val="1"/>
          <w:iCs w:val="1"/>
          <w:color w:val="auto"/>
        </w:rPr>
        <w:t xml:space="preserve"> </w:t>
      </w:r>
      <w:r>
        <w:rPr>
          <w:rFonts w:ascii="Arial" w:cs="Arial" w:eastAsia="Arial" w:hAnsi="Arial"/>
          <w:sz w:val="19"/>
          <w:szCs w:val="19"/>
          <w:color w:val="auto"/>
        </w:rPr>
        <w:t>future extension or restoration mechanisms, including supplementary protection certificates, patent term extensions and adjustments, or the equivalents thereof, and all foreign equivalents thereof, and (d) any other form of government-issued right substantially similar to any of the foregoing.</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Payment</w:t>
      </w:r>
      <w:r>
        <w:rPr>
          <w:rFonts w:ascii="Arial" w:cs="Arial" w:eastAsia="Arial" w:hAnsi="Arial"/>
          <w:sz w:val="20"/>
          <w:szCs w:val="20"/>
          <w:color w:val="auto"/>
        </w:rPr>
        <w:t>” shall have the meaning set forth in Section 9.9.</w:t>
      </w:r>
    </w:p>
    <w:p>
      <w:pPr>
        <w:spacing w:after="0" w:line="17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any individual, sole proprietorship, partnership, limited partnership, limited liability partnership, corporation, limited liability company, business trust, joint stock company, trust, unincorporated association, joint venture or other similar entity or organization, including a government or political subdivision, department or agency of a government.</w:t>
      </w:r>
    </w:p>
    <w:p>
      <w:pPr>
        <w:spacing w:after="0" w:line="11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Personal Data</w:t>
      </w:r>
      <w:r>
        <w:rPr>
          <w:rFonts w:ascii="Arial" w:cs="Arial" w:eastAsia="Arial" w:hAnsi="Arial"/>
          <w:sz w:val="20"/>
          <w:szCs w:val="20"/>
          <w:color w:val="auto"/>
        </w:rPr>
        <w:t>” means any information relating to an identified or identifiable natural person.</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POTV</w:t>
      </w:r>
      <w:r>
        <w:rPr>
          <w:rFonts w:ascii="Arial" w:cs="Arial" w:eastAsia="Arial" w:hAnsi="Arial"/>
          <w:sz w:val="20"/>
          <w:szCs w:val="20"/>
          <w:color w:val="auto"/>
        </w:rPr>
        <w:t>” shall have the meaning set forth in Section 8.5(a).</w:t>
      </w:r>
    </w:p>
    <w:p>
      <w:pPr>
        <w:spacing w:after="0" w:line="16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Prosecute</w:t>
      </w:r>
      <w:r>
        <w:rPr>
          <w:rFonts w:ascii="Arial" w:cs="Arial" w:eastAsia="Arial" w:hAnsi="Arial"/>
          <w:sz w:val="20"/>
          <w:szCs w:val="20"/>
          <w:b w:val="1"/>
          <w:bCs w:val="1"/>
          <w:color w:val="auto"/>
        </w:rPr>
        <w:t xml:space="preserve">” </w:t>
      </w:r>
      <w:r>
        <w:rPr>
          <w:rFonts w:ascii="Arial" w:cs="Arial" w:eastAsia="Arial" w:hAnsi="Arial"/>
          <w:sz w:val="20"/>
          <w:szCs w:val="20"/>
          <w:color w:val="auto"/>
        </w:rPr>
        <w:t>means to prepare, file and prosecute any and all applications for Patent Rights (and including any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proceedings relating to such prosecution, including reissues, reexaminations, protests, interferences, oppositions, post-grant reviews or similar proceedings and requests for patent extensions, and all foreign equivalents of any of the foregoing). The term </w:t>
      </w:r>
      <w:r>
        <w:rPr>
          <w:rFonts w:ascii="Arial" w:cs="Arial" w:eastAsia="Arial" w:hAnsi="Arial"/>
          <w:sz w:val="20"/>
          <w:szCs w:val="20"/>
          <w:b w:val="1"/>
          <w:bCs w:val="1"/>
          <w:i w:val="1"/>
          <w:iCs w:val="1"/>
          <w:color w:val="auto"/>
        </w:rPr>
        <w:t>“Prosecution</w:t>
      </w:r>
      <w:r>
        <w:rPr>
          <w:rFonts w:ascii="Arial" w:cs="Arial" w:eastAsia="Arial" w:hAnsi="Arial"/>
          <w:sz w:val="20"/>
          <w:szCs w:val="20"/>
          <w:b w:val="1"/>
          <w:bCs w:val="1"/>
          <w:color w:val="auto"/>
        </w:rPr>
        <w:t>”</w:t>
      </w:r>
      <w:r>
        <w:rPr>
          <w:rFonts w:ascii="Arial" w:cs="Arial" w:eastAsia="Arial" w:hAnsi="Arial"/>
          <w:sz w:val="20"/>
          <w:szCs w:val="20"/>
          <w:color w:val="auto"/>
        </w:rPr>
        <w:t xml:space="preserve"> shall have the corresponding meaning.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7" w:name="page108"/>
    <w:bookmarkEnd w:id="107"/>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Protocol</w:t>
      </w:r>
      <w:r>
        <w:rPr>
          <w:rFonts w:ascii="Arial" w:cs="Arial" w:eastAsia="Arial" w:hAnsi="Arial"/>
          <w:sz w:val="20"/>
          <w:szCs w:val="20"/>
          <w:color w:val="auto"/>
        </w:rPr>
        <w:t>” means the clinical trial protocol, for any Combined Therapy Clinical Trial to be conducted by Olema under this Agreement, prepared by Olema as provided in this Agreement, and as such protocol may be amended, updated or modified by Olema from time to time in accordance with this Agreement.</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Publication Dispute</w:t>
      </w:r>
      <w:r>
        <w:rPr>
          <w:rFonts w:ascii="Arial" w:cs="Arial" w:eastAsia="Arial" w:hAnsi="Arial"/>
          <w:sz w:val="20"/>
          <w:szCs w:val="20"/>
          <w:color w:val="auto"/>
        </w:rPr>
        <w:t>” shall have the meaning set forth in Section 8.4(b).</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Quarter</w:t>
      </w:r>
      <w:r>
        <w:rPr>
          <w:rFonts w:ascii="Arial" w:cs="Arial" w:eastAsia="Arial" w:hAnsi="Arial"/>
          <w:sz w:val="20"/>
          <w:szCs w:val="20"/>
          <w:color w:val="auto"/>
        </w:rPr>
        <w:t>” means a calendar quarter.</w:t>
      </w:r>
    </w:p>
    <w:p>
      <w:pPr>
        <w:spacing w:after="0" w:line="175" w:lineRule="exact"/>
        <w:rPr>
          <w:sz w:val="20"/>
          <w:szCs w:val="20"/>
          <w:color w:val="auto"/>
        </w:rPr>
      </w:pPr>
    </w:p>
    <w:p>
      <w:pPr>
        <w:jc w:val="both"/>
        <w:ind w:firstLine="751"/>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Regulatory Authority</w:t>
      </w:r>
      <w:r>
        <w:rPr>
          <w:rFonts w:ascii="Arial" w:cs="Arial" w:eastAsia="Arial" w:hAnsi="Arial"/>
          <w:sz w:val="20"/>
          <w:szCs w:val="20"/>
          <w:color w:val="auto"/>
        </w:rPr>
        <w:t>” means the FDA or any governmental authority outside the United States (whether supranational, national, federal, provincial and/or local) that is the counterpart to the FDA, including the European Medicines Agency for the European Union.</w:t>
      </w:r>
    </w:p>
    <w:p>
      <w:pPr>
        <w:spacing w:after="0" w:line="14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Regulatory Documentation</w:t>
      </w:r>
      <w:r>
        <w:rPr>
          <w:rFonts w:ascii="Arial" w:cs="Arial" w:eastAsia="Arial" w:hAnsi="Arial"/>
          <w:sz w:val="20"/>
          <w:szCs w:val="20"/>
          <w:color w:val="auto"/>
        </w:rPr>
        <w:t>” means, with respect to a Party’s Single Agent Compound, all submissions to Regulatory Authorities in connection with the development (including seeking regulatory approval or registration) of such Single Agent Compound, as applicable, including all INDs and amendments thereto, IBs, NDAs and amendments thereto, drug master files, correspondence with regulatory agencies, periodic safety update reports, adverse event files, complaint files, inspection reports and manufacturing records, in each case together with all supporting documents (including documents that include clinical data).</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Results</w:t>
      </w:r>
      <w:r>
        <w:rPr>
          <w:rFonts w:ascii="Arial" w:cs="Arial" w:eastAsia="Arial" w:hAnsi="Arial"/>
          <w:sz w:val="20"/>
          <w:szCs w:val="20"/>
          <w:color w:val="auto"/>
        </w:rPr>
        <w:t>” shall have the meaning set forth in Section 8.4(b).</w:t>
      </w:r>
    </w:p>
    <w:p>
      <w:pPr>
        <w:spacing w:after="0" w:line="18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Right of Cross-Reference</w:t>
      </w:r>
      <w:r>
        <w:rPr>
          <w:rFonts w:ascii="Arial" w:cs="Arial" w:eastAsia="Arial" w:hAnsi="Arial"/>
          <w:sz w:val="19"/>
          <w:szCs w:val="19"/>
          <w:color w:val="auto"/>
        </w:rPr>
        <w:t>” means, with regard to a Party, a grant of rights (including to or through another party) that allows the applicable Regulatory Authority in a country to have access to relevant information (by cross-reference, incorporation by reference or otherwise) contained in Regulatory Documentation (and any data contained therein) filed with such Regulatory Authority by or on behalf of the other Party (or its Affiliate) with respect to the other Party’s Single Agent Compound (and, in the case of Novartis, the Right of Cross-Reference to the Combined Therapy Clinical Trial IND), only to the extent reasonably needed for the conduct of the Combined Therapy Clinical Trials in such country or as otherwise expressly permitted or required under this Agreement to enable a Party to exercise its rights or perform its obligations hereunder, and, except as to information contained in the Combined Therapy Clinical Trial IND pertaining to the Combined Therapy, without the disclosure of such information to such Party.</w:t>
      </w:r>
    </w:p>
    <w:p>
      <w:pPr>
        <w:spacing w:after="0" w:line="14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Safety Issue</w:t>
      </w:r>
      <w:r>
        <w:rPr>
          <w:rFonts w:ascii="Arial" w:cs="Arial" w:eastAsia="Arial" w:hAnsi="Arial"/>
          <w:sz w:val="18"/>
          <w:szCs w:val="18"/>
          <w:color w:val="auto"/>
        </w:rPr>
        <w:t>” means any information suggesting an emerging safety concern or possible change in the risk-benefit balance for the Novartis Study Drugs or Olema Study Drug, including information on a possible causal relationship between an Adverse Event and a drug, the relationship being unknown or incompletely documented previously.</w:t>
      </w:r>
    </w:p>
    <w:p>
      <w:pPr>
        <w:spacing w:after="0" w:line="111"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Safety Signal</w:t>
      </w:r>
      <w:r>
        <w:rPr>
          <w:rFonts w:ascii="Arial" w:cs="Arial" w:eastAsia="Arial" w:hAnsi="Arial"/>
          <w:sz w:val="20"/>
          <w:szCs w:val="20"/>
          <w:color w:val="auto"/>
        </w:rPr>
        <w:t>” means information arising from one or multiple sources, including observations and experiments, which suggests a new potentially causal association, or a new aspect of a known association between an intervention and an event or set of related events, either adverse or beneficial, that is judged to be of sufficient likelihood to justify verificatory action.</w:t>
      </w:r>
    </w:p>
    <w:p>
      <w:pPr>
        <w:spacing w:after="0" w:line="16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Sample</w:t>
      </w:r>
      <w:r>
        <w:rPr>
          <w:rFonts w:ascii="Arial" w:cs="Arial" w:eastAsia="Arial" w:hAnsi="Arial"/>
          <w:sz w:val="20"/>
          <w:szCs w:val="20"/>
          <w:color w:val="auto"/>
        </w:rPr>
        <w:t>” means a biological specimen collected under the Combined Therapy Clinical Trials from a study subject in such trial (including fresh and/or archived tumor samples, serum, peripheral blood mononuclear cells, plasma, and whole blood for RNA and DNA sample isolation).</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Shortage</w:t>
      </w:r>
      <w:r>
        <w:rPr>
          <w:rFonts w:ascii="Arial" w:cs="Arial" w:eastAsia="Arial" w:hAnsi="Arial"/>
          <w:sz w:val="20"/>
          <w:szCs w:val="20"/>
          <w:color w:val="auto"/>
        </w:rPr>
        <w:t>” shall have meaning set forth in Section 4.5.</w:t>
      </w:r>
    </w:p>
    <w:p>
      <w:pPr>
        <w:spacing w:after="0" w:line="17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Single Agent Compound</w:t>
      </w:r>
      <w:r>
        <w:rPr>
          <w:rFonts w:ascii="Arial" w:cs="Arial" w:eastAsia="Arial" w:hAnsi="Arial"/>
          <w:sz w:val="20"/>
          <w:szCs w:val="20"/>
          <w:color w:val="auto"/>
        </w:rPr>
        <w:t>” or “</w:t>
      </w:r>
      <w:r>
        <w:rPr>
          <w:rFonts w:ascii="Arial" w:cs="Arial" w:eastAsia="Arial" w:hAnsi="Arial"/>
          <w:sz w:val="20"/>
          <w:szCs w:val="20"/>
          <w:b w:val="1"/>
          <w:bCs w:val="1"/>
          <w:i w:val="1"/>
          <w:iCs w:val="1"/>
          <w:color w:val="auto"/>
        </w:rPr>
        <w:t>Compound</w:t>
      </w:r>
      <w:r>
        <w:rPr>
          <w:rFonts w:ascii="Arial" w:cs="Arial" w:eastAsia="Arial" w:hAnsi="Arial"/>
          <w:sz w:val="20"/>
          <w:szCs w:val="20"/>
          <w:color w:val="auto"/>
        </w:rPr>
        <w:t>” means: (a) with respect to Olema, the Olema Study Drug, as monotherapy, and (b) with respect to Novartis, the Novartis Study Drugs, as monotherapy.</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Sponsor</w:t>
      </w:r>
      <w:r>
        <w:rPr>
          <w:rFonts w:ascii="Arial" w:cs="Arial" w:eastAsia="Arial" w:hAnsi="Arial"/>
          <w:sz w:val="20"/>
          <w:szCs w:val="20"/>
          <w:color w:val="auto"/>
        </w:rPr>
        <w:t>” means an applicant or holder of clinical studies applications/notifications.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8" w:name="page109"/>
    <w:bookmarkEnd w:id="108"/>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Study Data</w:t>
      </w:r>
      <w:r>
        <w:rPr>
          <w:rFonts w:ascii="Arial" w:cs="Arial" w:eastAsia="Arial" w:hAnsi="Arial"/>
          <w:sz w:val="18"/>
          <w:szCs w:val="18"/>
          <w:color w:val="auto"/>
        </w:rPr>
        <w:t>” means: (a) the actual raw results, records and data of the Combined Therapy Clinical Trials, including the case report forms (CRFs) for such study and all raw data as recorded in such CRFs; (b) all information relating to adverse events resulting from the Combined Therapy Clinical Trials, including all reports of Adverse Events, Serious Adverse Events, and Serious Adverse Drug Reactions; (c) all analyses of the raw results of the Combined Therapy Clinical Trials conducted using the statistical analysis plan and any bioanalysis plan pursuant to or set forth in the applicable Protocol (or as otherwise agreed to by the Parties); and (d) the Final Study Report, the periodic reports (e.g. quarterly), and all other reports of the results of the Combined Therapy Clinical Trials or the analyses of such results prepared under this Agreement in accordance with the applicable Protocol prior to the completion of the Final Study Report.</w:t>
      </w:r>
    </w:p>
    <w:p>
      <w:pPr>
        <w:spacing w:after="0" w:line="12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Study Invention</w:t>
      </w:r>
      <w:r>
        <w:rPr>
          <w:rFonts w:ascii="Arial" w:cs="Arial" w:eastAsia="Arial" w:hAnsi="Arial"/>
          <w:sz w:val="19"/>
          <w:szCs w:val="19"/>
          <w:color w:val="auto"/>
        </w:rPr>
        <w:t xml:space="preserve">” means any Technology, whether or not patentable, that is made, conceived, or first actually reduced to practice by, for or on behalf of a Party, or by, for or on behalf of the Parties together, including by or with a Third Party in the performance of the Combined Therapy Clinical Trials, pursuant to, in relation to, or in connection with the conduct of the Combined Therapy Clinical Trials (including the analysis of the Study Data in connection with preparing the final study report for such trial, </w:t>
      </w:r>
      <w:r>
        <w:rPr>
          <w:rFonts w:ascii="Arial" w:cs="Arial" w:eastAsia="Arial" w:hAnsi="Arial"/>
          <w:sz w:val="19"/>
          <w:szCs w:val="19"/>
          <w:i w:val="1"/>
          <w:iCs w:val="1"/>
          <w:color w:val="auto"/>
        </w:rPr>
        <w:t>but excluding</w:t>
      </w:r>
      <w:r>
        <w:rPr>
          <w:rFonts w:ascii="Arial" w:cs="Arial" w:eastAsia="Arial" w:hAnsi="Arial"/>
          <w:sz w:val="19"/>
          <w:szCs w:val="19"/>
          <w:color w:val="auto"/>
        </w:rPr>
        <w:t xml:space="preserve"> in each case all Study Data).</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Sunshine Laws</w:t>
      </w:r>
      <w:r>
        <w:rPr>
          <w:rFonts w:ascii="Arial" w:cs="Arial" w:eastAsia="Arial" w:hAnsi="Arial"/>
          <w:sz w:val="20"/>
          <w:szCs w:val="20"/>
          <w:color w:val="auto"/>
        </w:rPr>
        <w:t>” shall have the meaning set forth in Section 8.5(c).</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Quality Documentation</w:t>
      </w:r>
      <w:r>
        <w:rPr>
          <w:rFonts w:ascii="Arial" w:cs="Arial" w:eastAsia="Arial" w:hAnsi="Arial"/>
          <w:sz w:val="20"/>
          <w:szCs w:val="20"/>
          <w:color w:val="auto"/>
        </w:rPr>
        <w:t>” shall have the meaning set forth in Section 4.3.</w:t>
      </w:r>
    </w:p>
    <w:p>
      <w:pPr>
        <w:spacing w:after="0" w:line="17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Technology</w:t>
      </w:r>
      <w:r>
        <w:rPr>
          <w:rFonts w:ascii="Arial" w:cs="Arial" w:eastAsia="Arial" w:hAnsi="Arial"/>
          <w:sz w:val="19"/>
          <w:szCs w:val="19"/>
          <w:color w:val="auto"/>
        </w:rPr>
        <w:t>” means know-how, inventions, discoveries, trade secrets, knowledge, technology, methods, processes, practices, formulae, instructions, skills, techniques, procedures, experiences, ideas, technical assistance, designs, drawings, assembly procedures, computer programs, specifications, data and results not generally known to the public (including biological, chemical, pharmacological, toxicological, pharmaceutical, physical and analytical, pre-clinical, clinical, safety, manufacturing and quality control data and know-how, including study designs and protocols), and all other information, in all cases, whether or not patentable, in written, electronic or any other form now known or hereafter developed, and materials, including Regulatory Documentation.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Term</w:t>
      </w:r>
      <w:r>
        <w:rPr>
          <w:rFonts w:ascii="Arial" w:cs="Arial" w:eastAsia="Arial" w:hAnsi="Arial"/>
          <w:sz w:val="20"/>
          <w:szCs w:val="20"/>
          <w:color w:val="auto"/>
        </w:rPr>
        <w:t>” shall have the meaning set forth in Section 11.1.</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Territory</w:t>
      </w:r>
      <w:r>
        <w:rPr>
          <w:rFonts w:ascii="Arial" w:cs="Arial" w:eastAsia="Arial" w:hAnsi="Arial"/>
          <w:sz w:val="20"/>
          <w:szCs w:val="20"/>
          <w:i w:val="1"/>
          <w:iCs w:val="1"/>
          <w:color w:val="auto"/>
        </w:rPr>
        <w:t>”</w:t>
      </w:r>
      <w:r>
        <w:rPr>
          <w:rFonts w:ascii="Arial" w:cs="Arial" w:eastAsia="Arial" w:hAnsi="Arial"/>
          <w:sz w:val="20"/>
          <w:szCs w:val="20"/>
          <w:color w:val="auto"/>
        </w:rPr>
        <w:t xml:space="preserve"> means all countries and territories in the world.</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w:t>
      </w:r>
      <w:r>
        <w:rPr>
          <w:rFonts w:ascii="Arial" w:cs="Arial" w:eastAsia="Arial" w:hAnsi="Arial"/>
          <w:sz w:val="20"/>
          <w:szCs w:val="20"/>
          <w:color w:val="auto"/>
        </w:rPr>
        <w:t>” means any Person or entity other than Olema and Novartis and their respective Affiliates.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Claim</w:t>
      </w:r>
      <w:r>
        <w:rPr>
          <w:rFonts w:ascii="Arial" w:cs="Arial" w:eastAsia="Arial" w:hAnsi="Arial"/>
          <w:sz w:val="20"/>
          <w:szCs w:val="20"/>
          <w:color w:val="auto"/>
        </w:rPr>
        <w:t>” shall have the meaning set forth in Section 10.1.</w:t>
      </w:r>
    </w:p>
    <w:p>
      <w:pPr>
        <w:spacing w:after="0" w:line="17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Third Party License Payments</w:t>
      </w:r>
      <w:r>
        <w:rPr>
          <w:rFonts w:ascii="Arial" w:cs="Arial" w:eastAsia="Arial" w:hAnsi="Arial"/>
          <w:sz w:val="20"/>
          <w:szCs w:val="20"/>
          <w:color w:val="auto"/>
        </w:rPr>
        <w:t>” means any payments (e.g., upfront payments, milestones, royalties) due to any Third Party under license agreements or other written agreements granting rights to intellectual property owned or controlled by such Third Party to the extent that such rights are necessary for (a) the making, using or importing of a Party’s Single Agent Compound for the conduct of the Combined Therapy Clinical Trials, or (b) the conduct of the Combined Therapy Clinical Trials.</w:t>
      </w:r>
    </w:p>
    <w:p>
      <w:pPr>
        <w:spacing w:after="0" w:line="15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i w:val="1"/>
          <w:iCs w:val="1"/>
          <w:color w:val="auto"/>
        </w:rPr>
        <w:t>Trial Site</w:t>
      </w:r>
      <w:r>
        <w:rPr>
          <w:rFonts w:ascii="Arial" w:cs="Arial" w:eastAsia="Arial" w:hAnsi="Arial"/>
          <w:sz w:val="20"/>
          <w:szCs w:val="20"/>
          <w:color w:val="auto"/>
        </w:rPr>
        <w:t>” means a clinical site selected by Olema upon written notice to Novartis at which a Combined Therapy Clinical Trial is conducted on study subjects in such trial.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09" w:name="page110"/>
    <w:bookmarkEnd w:id="109"/>
    <w:p>
      <w:pPr>
        <w:jc w:val="center"/>
        <w:spacing w:after="0"/>
        <w:rPr>
          <w:sz w:val="20"/>
          <w:szCs w:val="20"/>
          <w:color w:val="auto"/>
        </w:rPr>
      </w:pPr>
      <w:r>
        <w:rPr>
          <w:rFonts w:ascii="Arial" w:cs="Arial" w:eastAsia="Arial" w:hAnsi="Arial"/>
          <w:sz w:val="20"/>
          <w:szCs w:val="20"/>
          <w:b w:val="1"/>
          <w:bCs w:val="1"/>
          <w:color w:val="auto"/>
        </w:rPr>
        <w:t>ARTICLE 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SCOPE</w:t>
      </w:r>
    </w:p>
    <w:p>
      <w:pPr>
        <w:spacing w:after="0" w:line="18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2.1</w:t>
      </w:r>
      <w:r>
        <w:rPr>
          <w:sz w:val="20"/>
          <w:szCs w:val="20"/>
          <w:color w:val="auto"/>
        </w:rPr>
        <w:tab/>
      </w:r>
      <w:r>
        <w:rPr>
          <w:rFonts w:ascii="Arial" w:cs="Arial" w:eastAsia="Arial" w:hAnsi="Arial"/>
          <w:sz w:val="16"/>
          <w:szCs w:val="16"/>
          <w:b w:val="1"/>
          <w:bCs w:val="1"/>
          <w:color w:val="auto"/>
        </w:rPr>
        <w:t>Scope.</w:t>
      </w:r>
    </w:p>
    <w:p>
      <w:pPr>
        <w:spacing w:after="0" w:line="181" w:lineRule="exact"/>
        <w:rPr>
          <w:sz w:val="20"/>
          <w:szCs w:val="20"/>
          <w:color w:val="auto"/>
        </w:rPr>
      </w:pPr>
    </w:p>
    <w:p>
      <w:pPr>
        <w:jc w:val="both"/>
        <w:ind w:firstLine="1304"/>
        <w:spacing w:after="0" w:line="254" w:lineRule="auto"/>
        <w:tabs>
          <w:tab w:leader="none" w:pos="2005" w:val="left"/>
        </w:tabs>
        <w:numPr>
          <w:ilvl w:val="0"/>
          <w:numId w:val="58"/>
        </w:numPr>
        <w:rPr>
          <w:rFonts w:ascii="Arial" w:cs="Arial" w:eastAsia="Arial" w:hAnsi="Arial"/>
          <w:sz w:val="19"/>
          <w:szCs w:val="19"/>
          <w:b w:val="1"/>
          <w:bCs w:val="1"/>
          <w:color w:val="auto"/>
        </w:rPr>
      </w:pPr>
      <w:r>
        <w:rPr>
          <w:rFonts w:ascii="Arial" w:cs="Arial" w:eastAsia="Arial" w:hAnsi="Arial"/>
          <w:sz w:val="19"/>
          <w:szCs w:val="19"/>
          <w:color w:val="auto"/>
        </w:rPr>
        <w:t xml:space="preserve">Olema and Novartis will collaborate with respect to the conduct of certain activities relating to the Combined Therapy Clinical Trials as outlined in the Development Plan in Appendix A. Olema will be responsible for using Commercially Reasonable Efforts to conduct the Combined Therapy Clinical Trials in accordance with the Development Plan, the applicable Protocol, all Applicable Law, and the terms of this Agreement. The Parties agree to the Protocol Synopsis set forth in Appendix D. Olema shall be responsible for creating the first draft of each Protocol and provide it to Novartis for review and comment. To the extent any changes need to be made to a Protocol, Olema will have the final decision regarding the contents of the Protocol;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(i) Olema will notify Novartis of any proposed amendments to the applicable Protocol (including any amendments to any final Protocol initially approved by an IRB) and Olema will consider any comments provided by Novartis regarding the proposed amendments (it being understood that the Parties will endeavor to set forth in writing the circumstances (e.g., administrative matters) where Olema may make specific Protocol amendments without the need for Novartis to review and comment), and (ii) any changes to the applicable Protocol that pertain to the administration of the Novartis Study Drugs must be reviewed and expressly approved by Novartis in writing (such approval not to be unreasonably withheld) or the change may not be implemented. Novartis shall have </w:t>
      </w:r>
      <w:r>
        <w:rPr>
          <w:rFonts w:ascii="Arial" w:cs="Arial" w:eastAsia="Arial" w:hAnsi="Arial"/>
          <w:sz w:val="16"/>
          <w:szCs w:val="16"/>
          <w:color w:val="auto"/>
        </w:rPr>
        <w:t>[***]</w:t>
      </w:r>
      <w:r>
        <w:rPr>
          <w:rFonts w:ascii="Arial" w:cs="Arial" w:eastAsia="Arial" w:hAnsi="Arial"/>
          <w:sz w:val="19"/>
          <w:szCs w:val="19"/>
          <w:color w:val="auto"/>
        </w:rPr>
        <w:t xml:space="preserve"> from the date on which Olema provides the applicable Protocol amendment to Novartis to provide any comments to Olema concerning the proposed amendment, and, as to changes covered by subsection (ii) above, to approve or reject approval of such proposed change (and if such change is not expressly disapproved by Novartis within such period, such change shall be deemed approved).</w:t>
      </w:r>
    </w:p>
    <w:p>
      <w:pPr>
        <w:spacing w:after="0" w:line="146" w:lineRule="exact"/>
        <w:rPr>
          <w:rFonts w:ascii="Arial" w:cs="Arial" w:eastAsia="Arial" w:hAnsi="Arial"/>
          <w:sz w:val="19"/>
          <w:szCs w:val="19"/>
          <w:b w:val="1"/>
          <w:bCs w:val="1"/>
          <w:color w:val="auto"/>
        </w:rPr>
      </w:pPr>
    </w:p>
    <w:p>
      <w:pPr>
        <w:jc w:val="both"/>
        <w:ind w:firstLine="1304"/>
        <w:spacing w:after="0" w:line="246" w:lineRule="auto"/>
        <w:tabs>
          <w:tab w:leader="none" w:pos="2005" w:val="left"/>
        </w:tabs>
        <w:numPr>
          <w:ilvl w:val="0"/>
          <w:numId w:val="58"/>
        </w:numPr>
        <w:rPr>
          <w:rFonts w:ascii="Arial" w:cs="Arial" w:eastAsia="Arial" w:hAnsi="Arial"/>
          <w:sz w:val="20"/>
          <w:szCs w:val="20"/>
          <w:b w:val="1"/>
          <w:bCs w:val="1"/>
          <w:color w:val="auto"/>
        </w:rPr>
      </w:pPr>
      <w:r>
        <w:rPr>
          <w:rFonts w:ascii="Arial" w:cs="Arial" w:eastAsia="Arial" w:hAnsi="Arial"/>
          <w:sz w:val="20"/>
          <w:szCs w:val="20"/>
          <w:color w:val="auto"/>
        </w:rPr>
        <w:t>The Parties shall discuss the Development Plan and the conduct of the Combined Therapy Clinical Trials from time to time and shall discuss and approve amendments to the Development Plan as appropriate. Any such amendments shall be in writing, and shall be effective upon execution of such written amendments by the authorized senior officer of each Party.</w:t>
      </w:r>
    </w:p>
    <w:p>
      <w:pPr>
        <w:spacing w:after="0" w:line="164" w:lineRule="exact"/>
        <w:rPr>
          <w:rFonts w:ascii="Arial" w:cs="Arial" w:eastAsia="Arial" w:hAnsi="Arial"/>
          <w:sz w:val="20"/>
          <w:szCs w:val="20"/>
          <w:b w:val="1"/>
          <w:bCs w:val="1"/>
          <w:color w:val="auto"/>
        </w:rPr>
      </w:pPr>
    </w:p>
    <w:p>
      <w:pPr>
        <w:jc w:val="both"/>
        <w:ind w:firstLine="1304"/>
        <w:spacing w:after="0" w:line="268" w:lineRule="auto"/>
        <w:tabs>
          <w:tab w:leader="none" w:pos="2005" w:val="left"/>
        </w:tabs>
        <w:numPr>
          <w:ilvl w:val="0"/>
          <w:numId w:val="58"/>
        </w:numPr>
        <w:rPr>
          <w:rFonts w:ascii="Arial" w:cs="Arial" w:eastAsia="Arial" w:hAnsi="Arial"/>
          <w:sz w:val="18"/>
          <w:szCs w:val="18"/>
          <w:b w:val="1"/>
          <w:bCs w:val="1"/>
          <w:color w:val="auto"/>
        </w:rPr>
      </w:pPr>
      <w:r>
        <w:rPr>
          <w:rFonts w:ascii="Arial" w:cs="Arial" w:eastAsia="Arial" w:hAnsi="Arial"/>
          <w:sz w:val="18"/>
          <w:szCs w:val="18"/>
          <w:color w:val="auto"/>
        </w:rPr>
        <w:t>Olema will be the Sponsor of record for an IND which includes any Combined Therapy Clinical Trials (the “</w:t>
      </w:r>
      <w:r>
        <w:rPr>
          <w:rFonts w:ascii="Arial" w:cs="Arial" w:eastAsia="Arial" w:hAnsi="Arial"/>
          <w:sz w:val="18"/>
          <w:szCs w:val="18"/>
          <w:b w:val="1"/>
          <w:bCs w:val="1"/>
          <w:i w:val="1"/>
          <w:iCs w:val="1"/>
          <w:color w:val="auto"/>
        </w:rPr>
        <w:t>Combined Therapy Clinical Trial IND</w:t>
      </w:r>
      <w:r>
        <w:rPr>
          <w:rFonts w:ascii="Arial" w:cs="Arial" w:eastAsia="Arial" w:hAnsi="Arial"/>
          <w:sz w:val="18"/>
          <w:szCs w:val="18"/>
          <w:color w:val="auto"/>
        </w:rPr>
        <w:t xml:space="preserve">”). Olema will be the regulatory sponsor of the Combined Therapy Clinical Trials and the sole holder of all legal interests in the Combined Therapy Clinical Trial IND;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Olema hereby grants Novartis the Right of Cross-Reference for the Combined Therapy Clinical Trial IND. Upon the specific written request of Novartis, at Novartis’ expense, Olema agrees to promptly file appropriate letters and other documentation with the FDA enabling Novartis to reference the Combined Therapy Clinical Trial IND in connection with Novartis clinical development activities. Upon the specific written request of Novartis, at Novartis’ expense, Olema agrees to promptly file appropriate filings with any applicable Regulatory Authorities outside of the US for the purpose of enabling Novartis to reference the Combined Therapy Clinical Trial IND in connection with Novartis clinical development activities. Olema may not grant any Third Party any Right of Cross-Reference with respect to any portion of the Combined Therapy Clinical Trial IND pertaining to Novartis’s Study Drug for use as monotherapy or for use in combination with any molecules, agents, antibodies or compounds other than with Olema Study Drug. Olema will prepare a template patient informed consent form for the Combined Therapy Clinical Trials in consultation with Novartis (it being understood that the portion of the informed consent form relating to the Novartis Study Drugs will be provided by Novartis) to provide to Study Sites. Such form shall contain provisions permitting sharing of any Study data among the Parties and their Affiliates in accordance with HIPAA, the EU General Data Protection Regulation 2016/679 or any other similar Applicable Law. Any material changes to such informed consent form proposed by Olema, a Trial Site, a Regulatory Authority, or other Third Party that relate to the Novartis Study Drugs will be subject to Novartis’ written consent, not to be unreasonably withheld; provided, however, that Novartis shall review such proposed changes to such informed consent form and communicate to Olema Novartis’ suggested changes to such form within </w:t>
      </w:r>
      <w:r>
        <w:rPr>
          <w:rFonts w:ascii="Arial" w:cs="Arial" w:eastAsia="Arial" w:hAnsi="Arial"/>
          <w:sz w:val="15"/>
          <w:szCs w:val="15"/>
          <w:color w:val="auto"/>
        </w:rPr>
        <w:t>[***]</w:t>
      </w:r>
      <w:r>
        <w:rPr>
          <w:rFonts w:ascii="Arial" w:cs="Arial" w:eastAsia="Arial" w:hAnsi="Arial"/>
          <w:sz w:val="18"/>
          <w:szCs w:val="18"/>
          <w:color w:val="auto"/>
        </w:rPr>
        <w:t xml:space="preserve"> after receipt thereof from Olema, failing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5" w:right="999" w:bottom="1440" w:gutter="0" w:footer="0" w:header="0"/>
        </w:sectPr>
      </w:pPr>
    </w:p>
    <w:bookmarkStart w:id="110" w:name="page111"/>
    <w:bookmarkEnd w:id="110"/>
    <w:p>
      <w:pPr>
        <w:jc w:val="both"/>
        <w:spacing w:after="0" w:line="246" w:lineRule="auto"/>
        <w:rPr>
          <w:sz w:val="20"/>
          <w:szCs w:val="20"/>
          <w:color w:val="auto"/>
        </w:rPr>
      </w:pPr>
      <w:r>
        <w:rPr>
          <w:rFonts w:ascii="Arial" w:cs="Arial" w:eastAsia="Arial" w:hAnsi="Arial"/>
          <w:sz w:val="20"/>
          <w:szCs w:val="20"/>
          <w:color w:val="auto"/>
        </w:rPr>
        <w:t>Olema’s proposed changes to such informed consent form shall be deemed accepted by Novartis. Olema will be solely responsible for conducting the Combined Therapy Clinical Trials, using its Commercially Reasonable Efforts, contracting with Study Sites, and creating a report at the conclusion of the trial (the “</w:t>
      </w:r>
      <w:r>
        <w:rPr>
          <w:rFonts w:ascii="Arial" w:cs="Arial" w:eastAsia="Arial" w:hAnsi="Arial"/>
          <w:sz w:val="20"/>
          <w:szCs w:val="20"/>
          <w:b w:val="1"/>
          <w:bCs w:val="1"/>
          <w:i w:val="1"/>
          <w:iCs w:val="1"/>
          <w:color w:val="auto"/>
        </w:rPr>
        <w:t>Final Study Report</w:t>
      </w:r>
      <w:r>
        <w:rPr>
          <w:rFonts w:ascii="Arial" w:cs="Arial" w:eastAsia="Arial" w:hAnsi="Arial"/>
          <w:sz w:val="20"/>
          <w:szCs w:val="20"/>
          <w:color w:val="auto"/>
        </w:rPr>
        <w:t>”)</w:t>
      </w:r>
      <w:r>
        <w:rPr>
          <w:rFonts w:ascii="Arial" w:cs="Arial" w:eastAsia="Arial" w:hAnsi="Arial"/>
          <w:sz w:val="20"/>
          <w:szCs w:val="20"/>
          <w:b w:val="1"/>
          <w:bCs w:val="1"/>
          <w:color w:val="auto"/>
        </w:rPr>
        <w:t>,</w:t>
      </w:r>
      <w:r>
        <w:rPr>
          <w:rFonts w:ascii="Arial" w:cs="Arial" w:eastAsia="Arial" w:hAnsi="Arial"/>
          <w:sz w:val="20"/>
          <w:szCs w:val="20"/>
          <w:color w:val="auto"/>
        </w:rPr>
        <w:t xml:space="preserve"> unless otherwise agreed to by the Parties in writing.</w:t>
      </w:r>
    </w:p>
    <w:p>
      <w:pPr>
        <w:spacing w:after="0" w:line="151" w:lineRule="exact"/>
        <w:rPr>
          <w:sz w:val="20"/>
          <w:szCs w:val="20"/>
          <w:color w:val="auto"/>
        </w:rPr>
      </w:pPr>
    </w:p>
    <w:p>
      <w:pPr>
        <w:jc w:val="both"/>
        <w:ind w:firstLine="1304"/>
        <w:spacing w:after="0" w:line="271" w:lineRule="auto"/>
        <w:tabs>
          <w:tab w:leader="none" w:pos="200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Novartis will provide all relevant safety data and information for the Novartis Study Drugs in the Territory available to Olema, including pursuant to a separate pharmacovigilance agreement in accordance with the terms of Section 2.3 and will provide Olema any updates thereto at the same time as the same are available. Olema shall, and shall require that each applicable Trial Site for the Combined Therapy Clinical Trials shall, use any such data provided pursuant to this Section 2.1(d) solely (A) to evaluate the safety and efficacy of the Combined Therapy for use in Combined Therapy Clinical Trials, (B) to meet any regulatory requirements pertaining to the conduct of the Combined Therapy Clinical Trials, and (C) to enable Olema to draft and update as necessary the investigator’s brochure for the Combined Therapy Clinical Trials. Olema will ensure that the applicable Trial Sites for the Combined Therapy Clinical Trials are obligated to protect such information and disclosures as set forth in Article 8. Olema’s right to use the information provided by Novartis shall remain in effect through the completion of all activities under the Development Plan and otherwise for purposes of complying with legal and regulatory requirements with respect thereto.</w:t>
      </w:r>
    </w:p>
    <w:p>
      <w:pPr>
        <w:spacing w:after="0" w:line="142" w:lineRule="exact"/>
        <w:rPr>
          <w:rFonts w:ascii="Arial" w:cs="Arial" w:eastAsia="Arial" w:hAnsi="Arial"/>
          <w:sz w:val="18"/>
          <w:szCs w:val="18"/>
          <w:b w:val="1"/>
          <w:bCs w:val="1"/>
          <w:color w:val="auto"/>
        </w:rPr>
      </w:pPr>
    </w:p>
    <w:p>
      <w:pPr>
        <w:jc w:val="both"/>
        <w:ind w:firstLine="1304"/>
        <w:spacing w:after="0" w:line="271" w:lineRule="auto"/>
        <w:tabs>
          <w:tab w:leader="none" w:pos="2005"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 xml:space="preserve">If reasonably required for the conduct of the Combined Therapy Clinical Trials and requested in writing by Olema, Novartis shall provide Rights of Cross-Reference to its existing Regulatory Documentation for the Novartis Study Drugs for those countries in the Territory where the Combined Therapy Clinical Trials will be conducted solely as reasonably needed to allow the Combined Therapy Clinical Trials to be conducted under the Combined Therapy Clinical Trial IND in each applicable country;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Right of Cross-Reference shall terminate upon the expiration or termination of this Agreement and shall not be used for purposes of conducting any other clinical studies, except (a) as set forth in Section 3.1(b) and Section 8.3, and (b) that, in the case of termination for a Material Safety Issue pursuant to Section 11.4, such Rights of Cross-Reference shall remain in effect solely (i) to the extent necessary to permit Olema to comply with any outstanding obligations required by a Regulatory Authority and/or Applicable Law or (ii) as necessary to permit Olema to continue to dose subjects enrolled in the Combined Therapy Clinical Trials through completion of the applicable Protocol if required by the applicable Regulatory Authority(ies) and/or Applicable Laws.</w:t>
      </w:r>
    </w:p>
    <w:p>
      <w:pPr>
        <w:spacing w:after="0" w:line="129" w:lineRule="exact"/>
        <w:rPr>
          <w:rFonts w:ascii="Arial" w:cs="Arial" w:eastAsia="Arial" w:hAnsi="Arial"/>
          <w:sz w:val="18"/>
          <w:szCs w:val="18"/>
          <w:b w:val="1"/>
          <w:bCs w:val="1"/>
          <w:color w:val="auto"/>
        </w:rPr>
      </w:pPr>
    </w:p>
    <w:p>
      <w:pPr>
        <w:jc w:val="both"/>
        <w:ind w:firstLine="1304"/>
        <w:spacing w:after="0" w:line="243" w:lineRule="auto"/>
        <w:tabs>
          <w:tab w:leader="none" w:pos="2005" w:val="left"/>
        </w:tabs>
        <w:numPr>
          <w:ilvl w:val="0"/>
          <w:numId w:val="59"/>
        </w:numPr>
        <w:rPr>
          <w:rFonts w:ascii="Arial" w:cs="Arial" w:eastAsia="Arial" w:hAnsi="Arial"/>
          <w:sz w:val="20"/>
          <w:szCs w:val="20"/>
          <w:b w:val="1"/>
          <w:bCs w:val="1"/>
          <w:color w:val="auto"/>
        </w:rPr>
      </w:pPr>
      <w:r>
        <w:rPr>
          <w:rFonts w:ascii="Arial" w:cs="Arial" w:eastAsia="Arial" w:hAnsi="Arial"/>
          <w:sz w:val="20"/>
          <w:szCs w:val="20"/>
          <w:color w:val="auto"/>
        </w:rPr>
        <w:t>Other than as may be agreed to by the Parties, this Agreement does not create any obligation on the part of Novartis to provide the Novartis Study Drugs for any activities other than the Combined Therapy Clinical Trials, nor does it create any obligation on the part of Olema to provide the Olema Study Drug for any activities other than the Combined Therapy Clinical Trials. Nothing in this Agreement will (i) prohibit either Party from performing clinical studies other than the Combined Therapy Clinical Trials relating to its respective Study Drug, either individually or in combination with any other compound or product, in any therapeutic area, or (ii) create an exclusive relationship between the Parties with respect to either Compound.</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2.2</w:t>
      </w:r>
      <w:r>
        <w:rPr>
          <w:sz w:val="20"/>
          <w:szCs w:val="20"/>
          <w:color w:val="auto"/>
        </w:rPr>
        <w:tab/>
      </w:r>
      <w:r>
        <w:rPr>
          <w:rFonts w:ascii="Arial" w:cs="Arial" w:eastAsia="Arial" w:hAnsi="Arial"/>
          <w:sz w:val="18"/>
          <w:szCs w:val="18"/>
          <w:b w:val="1"/>
          <w:bCs w:val="1"/>
          <w:color w:val="auto"/>
        </w:rPr>
        <w:t>Combined Therapy Clinical Trials</w:t>
      </w:r>
    </w:p>
    <w:p>
      <w:pPr>
        <w:spacing w:after="0" w:line="195" w:lineRule="exact"/>
        <w:rPr>
          <w:sz w:val="20"/>
          <w:szCs w:val="20"/>
          <w:color w:val="auto"/>
        </w:rPr>
      </w:pPr>
    </w:p>
    <w:p>
      <w:pPr>
        <w:ind w:left="660" w:firstLine="644"/>
        <w:spacing w:after="0" w:line="260" w:lineRule="auto"/>
        <w:tabs>
          <w:tab w:leader="none" w:pos="2017" w:val="left"/>
        </w:tabs>
        <w:numPr>
          <w:ilvl w:val="0"/>
          <w:numId w:val="60"/>
        </w:numPr>
        <w:rPr>
          <w:rFonts w:ascii="Arial" w:cs="Arial" w:eastAsia="Arial" w:hAnsi="Arial"/>
          <w:sz w:val="20"/>
          <w:szCs w:val="20"/>
          <w:b w:val="1"/>
          <w:bCs w:val="1"/>
          <w:color w:val="auto"/>
        </w:rPr>
      </w:pPr>
      <w:r>
        <w:rPr>
          <w:rFonts w:ascii="Arial" w:cs="Arial" w:eastAsia="Arial" w:hAnsi="Arial"/>
          <w:sz w:val="20"/>
          <w:szCs w:val="20"/>
          <w:color w:val="auto"/>
        </w:rPr>
        <w:t>During the Term, Olema shall manage, direct and oversee the conduct of the Combined Therapy Clinical Trials. To that end, the Parties shall:</w:t>
      </w:r>
    </w:p>
    <w:p>
      <w:pPr>
        <w:spacing w:after="0" w:line="136" w:lineRule="exact"/>
        <w:rPr>
          <w:rFonts w:ascii="Arial" w:cs="Arial" w:eastAsia="Arial" w:hAnsi="Arial"/>
          <w:sz w:val="20"/>
          <w:szCs w:val="20"/>
          <w:b w:val="1"/>
          <w:bCs w:val="1"/>
          <w:color w:val="auto"/>
        </w:rPr>
      </w:pPr>
    </w:p>
    <w:p>
      <w:pPr>
        <w:ind w:firstLine="1952"/>
        <w:spacing w:after="0" w:line="287" w:lineRule="auto"/>
        <w:tabs>
          <w:tab w:leader="none" w:pos="2916" w:val="left"/>
        </w:tabs>
        <w:numPr>
          <w:ilvl w:val="1"/>
          <w:numId w:val="60"/>
        </w:numPr>
        <w:rPr>
          <w:rFonts w:ascii="Arial" w:cs="Arial" w:eastAsia="Arial" w:hAnsi="Arial"/>
          <w:sz w:val="19"/>
          <w:szCs w:val="19"/>
          <w:b w:val="1"/>
          <w:bCs w:val="1"/>
          <w:color w:val="auto"/>
        </w:rPr>
      </w:pPr>
      <w:r>
        <w:rPr>
          <w:rFonts w:ascii="Arial" w:cs="Arial" w:eastAsia="Arial" w:hAnsi="Arial"/>
          <w:sz w:val="19"/>
          <w:szCs w:val="19"/>
          <w:color w:val="auto"/>
        </w:rPr>
        <w:t>monitor the progress of the conduct of the Combined Therapy Clinical Trials and review the enrollment and results, and conduct their tasks under the Development Plan, as appropriate, including;</w:t>
      </w:r>
    </w:p>
    <w:p>
      <w:pPr>
        <w:spacing w:after="0" w:line="111" w:lineRule="exact"/>
        <w:rPr>
          <w:rFonts w:ascii="Arial" w:cs="Arial" w:eastAsia="Arial" w:hAnsi="Arial"/>
          <w:sz w:val="19"/>
          <w:szCs w:val="19"/>
          <w:b w:val="1"/>
          <w:bCs w:val="1"/>
          <w:color w:val="auto"/>
        </w:rPr>
      </w:pPr>
    </w:p>
    <w:p>
      <w:pPr>
        <w:jc w:val="both"/>
        <w:ind w:firstLine="1952"/>
        <w:spacing w:after="0" w:line="250" w:lineRule="auto"/>
        <w:tabs>
          <w:tab w:leader="none" w:pos="2916" w:val="left"/>
        </w:tabs>
        <w:numPr>
          <w:ilvl w:val="1"/>
          <w:numId w:val="60"/>
        </w:numPr>
        <w:rPr>
          <w:rFonts w:ascii="Arial" w:cs="Arial" w:eastAsia="Arial" w:hAnsi="Arial"/>
          <w:sz w:val="20"/>
          <w:szCs w:val="20"/>
          <w:b w:val="1"/>
          <w:bCs w:val="1"/>
          <w:color w:val="auto"/>
        </w:rPr>
      </w:pPr>
      <w:r>
        <w:rPr>
          <w:rFonts w:ascii="Arial" w:cs="Arial" w:eastAsia="Arial" w:hAnsi="Arial"/>
          <w:sz w:val="20"/>
          <w:szCs w:val="20"/>
          <w:color w:val="auto"/>
        </w:rPr>
        <w:t>review and approve any changes to the Development Plan, and discuss and prepare (for the Parties’ approval) written amendments or modifications to the Development Plan, as appropriate, based on the trial progress and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1" w:name="page112"/>
    <w:bookmarkEnd w:id="111"/>
    <w:p>
      <w:pPr>
        <w:jc w:val="both"/>
        <w:ind w:firstLine="1952"/>
        <w:spacing w:after="0" w:line="246" w:lineRule="auto"/>
        <w:tabs>
          <w:tab w:leader="none" w:pos="2916" w:val="left"/>
        </w:tabs>
        <w:numPr>
          <w:ilvl w:val="1"/>
          <w:numId w:val="61"/>
        </w:numPr>
        <w:rPr>
          <w:rFonts w:ascii="Arial" w:cs="Arial" w:eastAsia="Arial" w:hAnsi="Arial"/>
          <w:sz w:val="20"/>
          <w:szCs w:val="20"/>
          <w:b w:val="1"/>
          <w:bCs w:val="1"/>
          <w:color w:val="auto"/>
        </w:rPr>
      </w:pPr>
      <w:r>
        <w:rPr>
          <w:rFonts w:ascii="Arial" w:cs="Arial" w:eastAsia="Arial" w:hAnsi="Arial"/>
          <w:sz w:val="20"/>
          <w:szCs w:val="20"/>
          <w:color w:val="auto"/>
        </w:rPr>
        <w:t>serve as a forum for each Party to share information and data relating to such Party’s Study Drug with the other Party to the extent that such information and data relates to the safety profile of such Party’s Study Drug, or to the extent that such information and data is reasonably required to inform the Development Plan for the Combined Therapy; and</w:t>
      </w:r>
    </w:p>
    <w:p>
      <w:pPr>
        <w:spacing w:after="0" w:line="150" w:lineRule="exact"/>
        <w:rPr>
          <w:rFonts w:ascii="Arial" w:cs="Arial" w:eastAsia="Arial" w:hAnsi="Arial"/>
          <w:sz w:val="20"/>
          <w:szCs w:val="20"/>
          <w:b w:val="1"/>
          <w:bCs w:val="1"/>
          <w:color w:val="auto"/>
        </w:rPr>
      </w:pPr>
    </w:p>
    <w:p>
      <w:pPr>
        <w:ind w:firstLine="1952"/>
        <w:spacing w:after="0" w:line="287" w:lineRule="auto"/>
        <w:tabs>
          <w:tab w:leader="none" w:pos="2916" w:val="left"/>
        </w:tabs>
        <w:numPr>
          <w:ilvl w:val="1"/>
          <w:numId w:val="61"/>
        </w:numPr>
        <w:rPr>
          <w:rFonts w:ascii="Arial" w:cs="Arial" w:eastAsia="Arial" w:hAnsi="Arial"/>
          <w:sz w:val="19"/>
          <w:szCs w:val="19"/>
          <w:b w:val="1"/>
          <w:bCs w:val="1"/>
          <w:color w:val="auto"/>
        </w:rPr>
      </w:pPr>
      <w:r>
        <w:rPr>
          <w:rFonts w:ascii="Arial" w:cs="Arial" w:eastAsia="Arial" w:hAnsi="Arial"/>
          <w:sz w:val="19"/>
          <w:szCs w:val="19"/>
          <w:color w:val="auto"/>
        </w:rPr>
        <w:t>discuss and attempt to resolve any issues arising in the conduct of the Combined Therapy Clinical Trials or in connection with the collaboration hereunder, as presented to it by either of the Parties.</w:t>
      </w:r>
    </w:p>
    <w:p>
      <w:pPr>
        <w:spacing w:after="0" w:line="125" w:lineRule="exact"/>
        <w:rPr>
          <w:rFonts w:ascii="Arial" w:cs="Arial" w:eastAsia="Arial" w:hAnsi="Arial"/>
          <w:sz w:val="19"/>
          <w:szCs w:val="19"/>
          <w:b w:val="1"/>
          <w:bCs w:val="1"/>
          <w:color w:val="auto"/>
        </w:rPr>
      </w:pPr>
    </w:p>
    <w:p>
      <w:pPr>
        <w:ind w:left="2020" w:hanging="716"/>
        <w:spacing w:after="0"/>
        <w:tabs>
          <w:tab w:leader="none" w:pos="2020" w:val="left"/>
        </w:tabs>
        <w:numPr>
          <w:ilvl w:val="0"/>
          <w:numId w:val="62"/>
        </w:numPr>
        <w:rPr>
          <w:rFonts w:ascii="Arial" w:cs="Arial" w:eastAsia="Arial" w:hAnsi="Arial"/>
          <w:sz w:val="20"/>
          <w:szCs w:val="20"/>
          <w:b w:val="1"/>
          <w:bCs w:val="1"/>
          <w:color w:val="auto"/>
        </w:rPr>
      </w:pPr>
      <w:r>
        <w:rPr>
          <w:rFonts w:ascii="Arial" w:cs="Arial" w:eastAsia="Arial" w:hAnsi="Arial"/>
          <w:sz w:val="20"/>
          <w:szCs w:val="20"/>
          <w:color w:val="auto"/>
        </w:rPr>
        <w:t>Decisions that relate solely to a Party’s Study Drug will be made solely by such Party.</w:t>
      </w:r>
    </w:p>
    <w:p>
      <w:pPr>
        <w:spacing w:after="0" w:line="175" w:lineRule="exact"/>
        <w:rPr>
          <w:rFonts w:ascii="Arial" w:cs="Arial" w:eastAsia="Arial" w:hAnsi="Arial"/>
          <w:sz w:val="20"/>
          <w:szCs w:val="20"/>
          <w:b w:val="1"/>
          <w:bCs w:val="1"/>
          <w:color w:val="auto"/>
        </w:rPr>
      </w:pPr>
    </w:p>
    <w:p>
      <w:pPr>
        <w:ind w:left="2020" w:hanging="716"/>
        <w:spacing w:after="0"/>
        <w:tabs>
          <w:tab w:leader="none" w:pos="2020" w:val="left"/>
        </w:tabs>
        <w:numPr>
          <w:ilvl w:val="0"/>
          <w:numId w:val="62"/>
        </w:numPr>
        <w:rPr>
          <w:rFonts w:ascii="Arial" w:cs="Arial" w:eastAsia="Arial" w:hAnsi="Arial"/>
          <w:sz w:val="18"/>
          <w:szCs w:val="18"/>
          <w:b w:val="1"/>
          <w:bCs w:val="1"/>
          <w:color w:val="auto"/>
        </w:rPr>
      </w:pPr>
      <w:r>
        <w:rPr>
          <w:rFonts w:ascii="Arial" w:cs="Arial" w:eastAsia="Arial" w:hAnsi="Arial"/>
          <w:sz w:val="18"/>
          <w:szCs w:val="18"/>
          <w:color w:val="auto"/>
        </w:rPr>
        <w:t>Decisions that relate solely to the Novartis Alpelisib Metabolite will be made solely by Novartis.</w:t>
      </w:r>
    </w:p>
    <w:p>
      <w:pPr>
        <w:spacing w:after="0" w:line="19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20"/>
          <w:szCs w:val="20"/>
          <w:b w:val="1"/>
          <w:bCs w:val="1"/>
          <w:color w:val="auto"/>
        </w:rPr>
        <w:t>2.3</w:t>
      </w:r>
      <w:r>
        <w:rPr>
          <w:sz w:val="20"/>
          <w:szCs w:val="20"/>
          <w:color w:val="auto"/>
        </w:rPr>
        <w:tab/>
      </w:r>
      <w:r>
        <w:rPr>
          <w:rFonts w:ascii="Arial" w:cs="Arial" w:eastAsia="Arial" w:hAnsi="Arial"/>
          <w:sz w:val="16"/>
          <w:szCs w:val="16"/>
          <w:b w:val="1"/>
          <w:bCs w:val="1"/>
          <w:color w:val="auto"/>
        </w:rPr>
        <w:t>Adverse Event Reporting.</w:t>
      </w:r>
    </w:p>
    <w:p>
      <w:pPr>
        <w:spacing w:after="0" w:line="181" w:lineRule="exact"/>
        <w:rPr>
          <w:sz w:val="20"/>
          <w:szCs w:val="20"/>
          <w:color w:val="auto"/>
        </w:rPr>
      </w:pPr>
    </w:p>
    <w:p>
      <w:pPr>
        <w:jc w:val="both"/>
        <w:ind w:firstLine="1215"/>
        <w:spacing w:after="0" w:line="255" w:lineRule="auto"/>
        <w:rPr>
          <w:sz w:val="20"/>
          <w:szCs w:val="20"/>
          <w:color w:val="auto"/>
        </w:rPr>
      </w:pPr>
      <w:r>
        <w:rPr>
          <w:rFonts w:ascii="Arial" w:cs="Arial" w:eastAsia="Arial" w:hAnsi="Arial"/>
          <w:sz w:val="19"/>
          <w:szCs w:val="19"/>
          <w:color w:val="auto"/>
        </w:rPr>
        <w:t>Olema, as the Sponsor, will be solely responsible for compliance with all Applicable Law pertaining to safety reporting for the Combined Therapy Clinical Trials and related activities. The Parties will execute a pharmacovigilance agreement promptly following the Effective Date to ensure the exchange of relevant safety data within appropriate timeframes and in appropriate format to enable the Parties to fulfill local and international regulatory reporting obligations and to facilitate appropriate safety reviews. The pharmacovigilance agreement will include safety data exchange procedures governing the coordination of collection, investigation, reporting, and exchange of information concerning any adverse experiences, pregnancy reports, and any other safety information arising from or related to the use of the Novartis Study Drugs and the Olema Study Drug in the Combined Therapy Clinical Trials, consistent with Applicable Law and in accordance with the terms of the pharmacovigilance agreement. Such guidelines and procedures shall be in accordance with, and sufficient to enable the Parties and their Affiliates to fulfill, local and international regulatory reporting obligations to, Regulatory Authorities.</w:t>
      </w:r>
    </w:p>
    <w:p>
      <w:pPr>
        <w:spacing w:after="0" w:line="15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2.4 Clinical Study Designated Contact. </w:t>
      </w:r>
      <w:r>
        <w:rPr>
          <w:rFonts w:ascii="Arial" w:cs="Arial" w:eastAsia="Arial" w:hAnsi="Arial"/>
          <w:sz w:val="20"/>
          <w:szCs w:val="20"/>
          <w:color w:val="auto"/>
        </w:rPr>
        <w:t>Each Party will designate an employee within its organization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i w:val="1"/>
          <w:iCs w:val="1"/>
          <w:color w:val="auto"/>
        </w:rPr>
        <w:t>Designated Clinical Contact</w:t>
      </w:r>
      <w:r>
        <w:rPr>
          <w:rFonts w:ascii="Arial" w:cs="Arial" w:eastAsia="Arial" w:hAnsi="Arial"/>
          <w:sz w:val="20"/>
          <w:szCs w:val="20"/>
          <w:color w:val="auto"/>
        </w:rPr>
        <w:t>”) who will coordinate and/or facilitate:</w:t>
      </w:r>
    </w:p>
    <w:p>
      <w:pPr>
        <w:spacing w:after="0" w:line="129" w:lineRule="exact"/>
        <w:rPr>
          <w:sz w:val="20"/>
          <w:szCs w:val="20"/>
          <w:color w:val="auto"/>
        </w:rPr>
      </w:pPr>
    </w:p>
    <w:p>
      <w:pPr>
        <w:ind w:firstLine="1304"/>
        <w:spacing w:after="0" w:line="260" w:lineRule="auto"/>
        <w:tabs>
          <w:tab w:leader="none" w:pos="2005"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the review of Protocol amendments submitted by Olema for Novartis approval and with whom comments thereon may be discussed;</w:t>
      </w:r>
    </w:p>
    <w:p>
      <w:pPr>
        <w:spacing w:after="0" w:line="136" w:lineRule="exact"/>
        <w:rPr>
          <w:rFonts w:ascii="Arial" w:cs="Arial" w:eastAsia="Arial" w:hAnsi="Arial"/>
          <w:sz w:val="20"/>
          <w:szCs w:val="20"/>
          <w:b w:val="1"/>
          <w:bCs w:val="1"/>
          <w:color w:val="auto"/>
        </w:rPr>
      </w:pPr>
    </w:p>
    <w:p>
      <w:pPr>
        <w:ind w:left="2020" w:hanging="716"/>
        <w:spacing w:after="0"/>
        <w:tabs>
          <w:tab w:leader="none" w:pos="20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any Novartis clinical and regulatory responsibilities and communications regarding the Combined</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Therapy Clinical Trials;</w:t>
      </w:r>
    </w:p>
    <w:p>
      <w:pPr>
        <w:spacing w:after="0" w:line="172" w:lineRule="exact"/>
        <w:rPr>
          <w:rFonts w:ascii="Arial" w:cs="Arial" w:eastAsia="Arial" w:hAnsi="Arial"/>
          <w:sz w:val="18"/>
          <w:szCs w:val="18"/>
          <w:b w:val="1"/>
          <w:bCs w:val="1"/>
          <w:color w:val="auto"/>
        </w:rPr>
      </w:pPr>
    </w:p>
    <w:p>
      <w:pPr>
        <w:ind w:left="2020" w:hanging="716"/>
        <w:spacing w:after="0"/>
        <w:tabs>
          <w:tab w:leader="none" w:pos="2020" w:val="left"/>
        </w:tabs>
        <w:numPr>
          <w:ilvl w:val="0"/>
          <w:numId w:val="63"/>
        </w:numPr>
        <w:rPr>
          <w:rFonts w:ascii="Arial" w:cs="Arial" w:eastAsia="Arial" w:hAnsi="Arial"/>
          <w:sz w:val="18"/>
          <w:szCs w:val="18"/>
          <w:b w:val="1"/>
          <w:bCs w:val="1"/>
          <w:color w:val="auto"/>
        </w:rPr>
      </w:pPr>
      <w:r>
        <w:rPr>
          <w:rFonts w:ascii="Arial" w:cs="Arial" w:eastAsia="Arial" w:hAnsi="Arial"/>
          <w:sz w:val="18"/>
          <w:szCs w:val="18"/>
          <w:color w:val="auto"/>
        </w:rPr>
        <w:t>internal Novartis review of any document or regulatory communication and the provision of any</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Novartis comments; and</w:t>
      </w:r>
    </w:p>
    <w:p>
      <w:pPr>
        <w:spacing w:after="0" w:line="159" w:lineRule="exact"/>
        <w:rPr>
          <w:rFonts w:ascii="Arial" w:cs="Arial" w:eastAsia="Arial" w:hAnsi="Arial"/>
          <w:sz w:val="18"/>
          <w:szCs w:val="18"/>
          <w:b w:val="1"/>
          <w:bCs w:val="1"/>
          <w:color w:val="auto"/>
        </w:rPr>
      </w:pPr>
    </w:p>
    <w:p>
      <w:pPr>
        <w:ind w:firstLine="1304"/>
        <w:spacing w:after="0" w:line="260" w:lineRule="auto"/>
        <w:tabs>
          <w:tab w:leader="none" w:pos="2005" w:val="left"/>
        </w:tabs>
        <w:numPr>
          <w:ilvl w:val="0"/>
          <w:numId w:val="63"/>
        </w:numPr>
        <w:rPr>
          <w:rFonts w:ascii="Arial" w:cs="Arial" w:eastAsia="Arial" w:hAnsi="Arial"/>
          <w:sz w:val="20"/>
          <w:szCs w:val="20"/>
          <w:b w:val="1"/>
          <w:bCs w:val="1"/>
          <w:color w:val="auto"/>
        </w:rPr>
      </w:pPr>
      <w:r>
        <w:rPr>
          <w:rFonts w:ascii="Arial" w:cs="Arial" w:eastAsia="Arial" w:hAnsi="Arial"/>
          <w:sz w:val="20"/>
          <w:szCs w:val="20"/>
          <w:color w:val="auto"/>
        </w:rPr>
        <w:t>discussion of any other topics, results, or issues relating to the Combined Therapy Clinical Trials requested by Olema or Novartis;</w:t>
      </w:r>
    </w:p>
    <w:p>
      <w:pPr>
        <w:spacing w:after="0" w:line="37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2.5 Conduct. </w:t>
      </w:r>
      <w:r>
        <w:rPr>
          <w:rFonts w:ascii="Arial" w:cs="Arial" w:eastAsia="Arial" w:hAnsi="Arial"/>
          <w:sz w:val="18"/>
          <w:szCs w:val="18"/>
          <w:color w:val="auto"/>
        </w:rPr>
        <w:t>Each Party shall use Commercially Reasonable Efforts to (a) perform and fulfill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activities and obligations under the Combined Therapy Clinical Trials and this Agreement on a timely basis and in an effective manner consistent with prevailing standards, (b) supply the quantities of its Compound in accordance with Article 4 as needed to conduct the Combined Therapy Clinical Trials on a timely basis, and, in the case of Olema, package and deliver same to study sites on a timely basis, and (c) in the case of Olema, conduct and complete the Combined Therapy Clinical Trials on a timely basis in accordance with the applicable Protocol and Third Party agreements relating thereto, and provide sufficient resources, funding and personnel to conduct and perform the Combined Therapy Clinical Trials on a timely basis in accordance with the applicable Protocol for same and the terms of this Agreement. Each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2" w:name="page113"/>
    <w:bookmarkEnd w:id="112"/>
    <w:p>
      <w:pPr>
        <w:jc w:val="both"/>
        <w:ind w:right="20"/>
        <w:spacing w:after="0" w:line="260" w:lineRule="auto"/>
        <w:rPr>
          <w:sz w:val="20"/>
          <w:szCs w:val="20"/>
          <w:color w:val="auto"/>
        </w:rPr>
      </w:pPr>
      <w:r>
        <w:rPr>
          <w:rFonts w:ascii="Arial" w:cs="Arial" w:eastAsia="Arial" w:hAnsi="Arial"/>
          <w:sz w:val="20"/>
          <w:szCs w:val="20"/>
          <w:color w:val="auto"/>
        </w:rPr>
        <w:t>shall perform its duties and obligations in relation to the Combined Therapy Clinical Trials in accordance with Applicable Law, including GCP, GLP and GMP as applicable.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3</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LICENSE GRANTS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3.1 Grants by Novartis. </w:t>
      </w:r>
      <w:r>
        <w:rPr>
          <w:rFonts w:ascii="Arial" w:cs="Arial" w:eastAsia="Arial" w:hAnsi="Arial"/>
          <w:sz w:val="18"/>
          <w:szCs w:val="18"/>
          <w:color w:val="auto"/>
        </w:rPr>
        <w:t>Novartis hereby grants, and shall cause its Affiliates to grant (effective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Date), to Olema and Olema’s Affiliates a non-exclusive, non-transferable, royalty-free license (with the right to sublicense solely pursuant to the terms of and subject to the limitations of Section 3.3) under the Novartis Background Patent Rights, Novartis Background Technology and Novartis Regulatory Documentation to use the Novartis Study Drugs in research and development, in the Territory, solely to the extent reasonably needed to conduct the Combined Therapy Clinical Trials, subject to and in accordance with the terms and conditions of this Agreement. The rights granted under this Section 3.1 include Rights of Cross-Reference to the relevant Novartis Regulatory Documentation to the extent reasonably needed for conducting the activities assigned to Olema in the Development Plan and for conducting the Combined Therapy Clinical Trials (which Rights of Cross-Reference shall survive any expiration or termination of this Agreement with respect thereto). With respect to such Rights of Cross-Reference, Novartis shall reasonably assist and cooperate with Olema to effect such Rights of Cross-Reference, including by making written authorizations and other filings with the applicable Regulatory Authority as reasonably needed to effect or implement such Rights of Cross-Reference.</w:t>
      </w:r>
    </w:p>
    <w:p>
      <w:pPr>
        <w:spacing w:after="0" w:line="1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3.2 Grants by Olema. </w:t>
      </w:r>
      <w:r>
        <w:rPr>
          <w:rFonts w:ascii="Arial" w:cs="Arial" w:eastAsia="Arial" w:hAnsi="Arial"/>
          <w:sz w:val="18"/>
          <w:szCs w:val="18"/>
          <w:color w:val="auto"/>
        </w:rPr>
        <w:t>Olema hereby grants, and shall cause its Affiliates to grant (effective as of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Date), to Novartis and Novartis’ Affiliates a non-exclusive, non-transferable, royalty-free license (with the right to sublicense solely pursuant to the terms of and subject to the limitations of Section 3.3), under Olema Background Patent Rights, Olema Background Technology and Olema Regulatory Documentation to use Olema Study Drug in research and development, in the Territory, solely to the extent reasonably needed for Novartis to conduct its specified activities under the Development Plan for the Combined Therapy Clinical Trials and subject to and in accordance with the terms and conditions of this Agreement. The rights granted under this Section 3.2 include Rights of Cross-Reference to the relevant Olema Regulatory Documentation solely to the extent reasonably needed for conducting the activities assigned to Novartis in the Development Plan. With respect to such Rights of Cross-Reference, Olema shall reasonably assist and cooperate with Novartis to effect such Rights of Cross-Reference, including by making written authorizations and other filings with the applicable Regulatory Authority as reasonably needed to effect or implement such Rights of Cross-Reference.</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3.3</w:t>
      </w:r>
      <w:r>
        <w:rPr>
          <w:sz w:val="20"/>
          <w:szCs w:val="20"/>
          <w:color w:val="auto"/>
        </w:rPr>
        <w:tab/>
      </w:r>
      <w:r>
        <w:rPr>
          <w:rFonts w:ascii="Arial" w:cs="Arial" w:eastAsia="Arial" w:hAnsi="Arial"/>
          <w:sz w:val="16"/>
          <w:szCs w:val="16"/>
          <w:b w:val="1"/>
          <w:bCs w:val="1"/>
          <w:color w:val="auto"/>
        </w:rPr>
        <w:t>Sublicensing.</w:t>
      </w:r>
    </w:p>
    <w:p>
      <w:pPr>
        <w:spacing w:after="0" w:line="195" w:lineRule="exact"/>
        <w:rPr>
          <w:sz w:val="20"/>
          <w:szCs w:val="20"/>
          <w:color w:val="auto"/>
        </w:rPr>
      </w:pPr>
    </w:p>
    <w:p>
      <w:pPr>
        <w:jc w:val="both"/>
        <w:ind w:firstLine="1304"/>
        <w:spacing w:after="0" w:line="274" w:lineRule="auto"/>
        <w:tabs>
          <w:tab w:leader="none" w:pos="194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(i) Either Party shall have the right to grant sublicenses under the licenses granted to it under Sections 3.1 and 3.2 (as applicable), to Affiliates and to Third Parties (including Trial Sites), if reasonably needed for such Party to perform its duties with respect to the conduct of the Development Plan and Combined Therapy Clinical Trials, solely as reasonably needed to assist Olema in carrying out its responsibilities with respect to the Combined Therapy Clinical Trials, and (ii) excluding all Novartis Study Inventions and Novartis Study Patent Rights pertaining to the Novartis Alpelisib Metabolite, Olema shall have the right to grant sublicenses to Trial Sites under the Novartis Study Inventions and Novartis Study Patent Rights for non-commercial, internal research and teaching purposes and for patient care purposes.</w:t>
      </w:r>
    </w:p>
    <w:p>
      <w:pPr>
        <w:spacing w:after="0" w:line="127" w:lineRule="exact"/>
        <w:rPr>
          <w:rFonts w:ascii="Arial" w:cs="Arial" w:eastAsia="Arial" w:hAnsi="Arial"/>
          <w:sz w:val="18"/>
          <w:szCs w:val="18"/>
          <w:b w:val="1"/>
          <w:bCs w:val="1"/>
          <w:color w:val="auto"/>
        </w:rPr>
      </w:pPr>
    </w:p>
    <w:p>
      <w:pPr>
        <w:jc w:val="both"/>
        <w:ind w:firstLine="1304"/>
        <w:spacing w:after="0" w:line="276" w:lineRule="auto"/>
        <w:tabs>
          <w:tab w:leader="none" w:pos="1944"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With regard to any sublicenses made under this Agreement as permitted hereunder, (i) the sublicensees, except Affiliates (so long as they remain Affiliates), shall be subject to written agreements that bind such sublicensees to obligations that are consistent with such Party’s applicable obligations under this Agreement including confidentiality and non-use provisions no less restrictive than those set forth in herein, and provisions regarding intellectual property that ensure that the Parties will have the rights provided under this Agreement to any intellectual property relating to their Single Agent Compound and/or the Novartis Alpelisib Metabolite and/or the Combined Therapy created by such</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3" w:name="page114"/>
    <w:bookmarkEnd w:id="113"/>
    <w:p>
      <w:pPr>
        <w:jc w:val="both"/>
        <w:spacing w:after="0" w:line="260" w:lineRule="auto"/>
        <w:rPr>
          <w:sz w:val="20"/>
          <w:szCs w:val="20"/>
          <w:color w:val="auto"/>
        </w:rPr>
      </w:pPr>
      <w:r>
        <w:rPr>
          <w:rFonts w:ascii="Arial" w:cs="Arial" w:eastAsia="Arial" w:hAnsi="Arial"/>
          <w:sz w:val="20"/>
          <w:szCs w:val="20"/>
          <w:color w:val="auto"/>
        </w:rPr>
        <w:t>sublicensee, (ii) such Party shall provide written notice to the other Party of any such sublicense; and (c) the each Party shall remain liable to the other Party for all actions of its sublicensees.</w:t>
      </w:r>
    </w:p>
    <w:p>
      <w:pPr>
        <w:spacing w:after="0" w:line="130" w:lineRule="exact"/>
        <w:rPr>
          <w:sz w:val="20"/>
          <w:szCs w:val="20"/>
          <w:color w:val="auto"/>
        </w:rPr>
      </w:pPr>
    </w:p>
    <w:p>
      <w:pPr>
        <w:jc w:val="both"/>
        <w:ind w:firstLine="1296"/>
        <w:spacing w:after="0" w:line="248" w:lineRule="auto"/>
        <w:rPr>
          <w:sz w:val="20"/>
          <w:szCs w:val="20"/>
          <w:color w:val="auto"/>
        </w:rPr>
      </w:pPr>
      <w:r>
        <w:rPr>
          <w:rFonts w:ascii="Arial" w:cs="Arial" w:eastAsia="Arial" w:hAnsi="Arial"/>
          <w:sz w:val="20"/>
          <w:szCs w:val="20"/>
          <w:b w:val="1"/>
          <w:bCs w:val="1"/>
          <w:color w:val="auto"/>
        </w:rPr>
        <w:t>3.4 No Implied Licenses</w:t>
      </w:r>
      <w:r>
        <w:rPr>
          <w:rFonts w:ascii="Arial" w:cs="Arial" w:eastAsia="Arial" w:hAnsi="Arial"/>
          <w:sz w:val="20"/>
          <w:szCs w:val="20"/>
          <w:color w:val="auto"/>
        </w:rPr>
        <w:t>. Except for the rights as specifically and expressly granted and set forth in</w:t>
      </w:r>
      <w:r>
        <w:rPr>
          <w:rFonts w:ascii="Arial" w:cs="Arial" w:eastAsia="Arial" w:hAnsi="Arial"/>
          <w:sz w:val="20"/>
          <w:szCs w:val="20"/>
          <w:b w:val="1"/>
          <w:bCs w:val="1"/>
          <w:color w:val="auto"/>
        </w:rPr>
        <w:t xml:space="preserve"> </w:t>
      </w:r>
      <w:r>
        <w:rPr>
          <w:rFonts w:ascii="Arial" w:cs="Arial" w:eastAsia="Arial" w:hAnsi="Arial"/>
          <w:sz w:val="20"/>
          <w:szCs w:val="20"/>
          <w:color w:val="auto"/>
        </w:rPr>
        <w:t>this Agreement, neither Party shall acquire any license or other intellectual property interest, by implication or otherwise, in any intellectual property of the other Party, including Confidential Information disclosed to it under this Agreement or under any Patent Rights Controlled by the other Party or its Affiliates.</w:t>
      </w:r>
    </w:p>
    <w:p>
      <w:pPr>
        <w:spacing w:after="0" w:line="386"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ARTICLE 4</w:t>
      </w:r>
    </w:p>
    <w:p>
      <w:pPr>
        <w:spacing w:after="0" w:line="175"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MANUFACTURE AND SUPPLY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4.1</w:t>
      </w:r>
      <w:r>
        <w:rPr>
          <w:sz w:val="20"/>
          <w:szCs w:val="20"/>
          <w:color w:val="auto"/>
        </w:rPr>
        <w:tab/>
      </w:r>
      <w:r>
        <w:rPr>
          <w:rFonts w:ascii="Arial" w:cs="Arial" w:eastAsia="Arial" w:hAnsi="Arial"/>
          <w:sz w:val="18"/>
          <w:szCs w:val="18"/>
          <w:b w:val="1"/>
          <w:bCs w:val="1"/>
          <w:color w:val="auto"/>
        </w:rPr>
        <w:t>Olema Study Drug Manufacture and Supply.</w:t>
      </w:r>
    </w:p>
    <w:p>
      <w:pPr>
        <w:spacing w:after="0" w:line="195" w:lineRule="exact"/>
        <w:rPr>
          <w:sz w:val="20"/>
          <w:szCs w:val="20"/>
          <w:color w:val="auto"/>
        </w:rPr>
      </w:pPr>
    </w:p>
    <w:p>
      <w:pPr>
        <w:jc w:val="both"/>
        <w:ind w:firstLine="1304"/>
        <w:spacing w:after="0" w:line="256" w:lineRule="auto"/>
        <w:tabs>
          <w:tab w:leader="none" w:pos="2005" w:val="left"/>
        </w:tabs>
        <w:numPr>
          <w:ilvl w:val="0"/>
          <w:numId w:val="65"/>
        </w:numPr>
        <w:rPr>
          <w:rFonts w:ascii="Arial" w:cs="Arial" w:eastAsia="Arial" w:hAnsi="Arial"/>
          <w:sz w:val="19"/>
          <w:szCs w:val="19"/>
          <w:b w:val="1"/>
          <w:bCs w:val="1"/>
          <w:color w:val="auto"/>
        </w:rPr>
      </w:pPr>
      <w:r>
        <w:rPr>
          <w:rFonts w:ascii="Arial" w:cs="Arial" w:eastAsia="Arial" w:hAnsi="Arial"/>
          <w:sz w:val="19"/>
          <w:szCs w:val="19"/>
          <w:color w:val="auto"/>
        </w:rPr>
        <w:t xml:space="preserve">Olema shall be responsible, </w:t>
      </w:r>
      <w:r>
        <w:rPr>
          <w:rFonts w:ascii="Arial" w:cs="Arial" w:eastAsia="Arial" w:hAnsi="Arial"/>
          <w:sz w:val="16"/>
          <w:szCs w:val="16"/>
          <w:color w:val="auto"/>
        </w:rPr>
        <w:t>[***]</w:t>
      </w:r>
      <w:r>
        <w:rPr>
          <w:rFonts w:ascii="Arial" w:cs="Arial" w:eastAsia="Arial" w:hAnsi="Arial"/>
          <w:sz w:val="19"/>
          <w:szCs w:val="19"/>
          <w:color w:val="auto"/>
        </w:rPr>
        <w:t>, for manufacturing, packaging and labeling (or having manufactured, packaged or labeled) GMP-grade quantities of Olema Study Drug, as well as obtaining any other drug (other than the Novartis Study Drugs provided by Novartis pursuant to Section 4.2) required for the conduct of the Combined Therapy Clinical Trials, and shall package and label if and as required by the applicable Protocol and/or applicable Regulatory Authorities all drugs (except with respect to the Novartis Study Drugs, as further described in Section 4.2(a) below) used in the Combined Therapy Clinical Trials, on a timely basis and in accordance with applicable specifications as required for the conduct of the Combined Therapy Clinical Trials. Olema Study Drug shall be manufactured in accordance with Applicable Law (including GMP) and shall be of similar quality to Olema Study Drug used by Olema for its other clinical trials of Olema Study Drug.</w:t>
      </w:r>
    </w:p>
    <w:p>
      <w:pPr>
        <w:spacing w:after="0" w:line="143" w:lineRule="exact"/>
        <w:rPr>
          <w:rFonts w:ascii="Arial" w:cs="Arial" w:eastAsia="Arial" w:hAnsi="Arial"/>
          <w:sz w:val="19"/>
          <w:szCs w:val="19"/>
          <w:b w:val="1"/>
          <w:bCs w:val="1"/>
          <w:color w:val="auto"/>
        </w:rPr>
      </w:pPr>
    </w:p>
    <w:p>
      <w:pPr>
        <w:jc w:val="both"/>
        <w:ind w:firstLine="1304"/>
        <w:spacing w:after="0" w:line="250" w:lineRule="auto"/>
        <w:tabs>
          <w:tab w:leader="none" w:pos="2005" w:val="left"/>
        </w:tabs>
        <w:numPr>
          <w:ilvl w:val="0"/>
          <w:numId w:val="65"/>
        </w:numPr>
        <w:rPr>
          <w:rFonts w:ascii="Arial" w:cs="Arial" w:eastAsia="Arial" w:hAnsi="Arial"/>
          <w:sz w:val="20"/>
          <w:szCs w:val="20"/>
          <w:b w:val="1"/>
          <w:bCs w:val="1"/>
          <w:color w:val="auto"/>
        </w:rPr>
      </w:pPr>
      <w:r>
        <w:rPr>
          <w:rFonts w:ascii="Arial" w:cs="Arial" w:eastAsia="Arial" w:hAnsi="Arial"/>
          <w:sz w:val="20"/>
          <w:szCs w:val="20"/>
          <w:color w:val="auto"/>
        </w:rPr>
        <w:t>Olema shall provide Novartis with prompt notice of any Manufacturing and supply issues with respect to Olema Study Drug or Novartis Study Drugs of which it becomes aware that may adversely impact the conduct or timelines of the Combined Therapy Clinical Trials.</w:t>
      </w:r>
    </w:p>
    <w:p>
      <w:pPr>
        <w:spacing w:after="0" w:line="145" w:lineRule="exact"/>
        <w:rPr>
          <w:rFonts w:ascii="Arial" w:cs="Arial" w:eastAsia="Arial" w:hAnsi="Arial"/>
          <w:sz w:val="20"/>
          <w:szCs w:val="20"/>
          <w:b w:val="1"/>
          <w:bCs w:val="1"/>
          <w:color w:val="auto"/>
        </w:rPr>
      </w:pPr>
    </w:p>
    <w:p>
      <w:pPr>
        <w:ind w:firstLine="1304"/>
        <w:spacing w:after="0" w:line="316" w:lineRule="auto"/>
        <w:tabs>
          <w:tab w:leader="none" w:pos="2005"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For Section 4.1 of this Agreement, the term “Olema Study Drug” shall mean Olema’s proprietary OP-1250 compound, including salts thereof, and any drug candidate or product containing such compound.</w:t>
      </w:r>
    </w:p>
    <w:p>
      <w:pPr>
        <w:spacing w:after="0" w:line="9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4.2</w:t>
      </w:r>
      <w:r>
        <w:rPr>
          <w:sz w:val="20"/>
          <w:szCs w:val="20"/>
          <w:color w:val="auto"/>
        </w:rPr>
        <w:tab/>
      </w:r>
      <w:r>
        <w:rPr>
          <w:rFonts w:ascii="Arial" w:cs="Arial" w:eastAsia="Arial" w:hAnsi="Arial"/>
          <w:sz w:val="16"/>
          <w:szCs w:val="16"/>
          <w:b w:val="1"/>
          <w:bCs w:val="1"/>
          <w:color w:val="auto"/>
        </w:rPr>
        <w:t>Novartis Study Drugs.</w:t>
      </w:r>
    </w:p>
    <w:p>
      <w:pPr>
        <w:spacing w:after="0" w:line="175" w:lineRule="exact"/>
        <w:rPr>
          <w:sz w:val="20"/>
          <w:szCs w:val="20"/>
          <w:color w:val="auto"/>
        </w:rPr>
      </w:pPr>
    </w:p>
    <w:p>
      <w:pPr>
        <w:jc w:val="both"/>
        <w:ind w:firstLine="1304"/>
        <w:spacing w:after="0" w:line="254" w:lineRule="auto"/>
        <w:tabs>
          <w:tab w:leader="none" w:pos="2005"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Manufacture and Supply. </w:t>
      </w:r>
      <w:r>
        <w:rPr>
          <w:rFonts w:ascii="Arial" w:cs="Arial" w:eastAsia="Arial" w:hAnsi="Arial"/>
          <w:sz w:val="19"/>
          <w:szCs w:val="19"/>
          <w:color w:val="auto"/>
        </w:rPr>
        <w:t>Novartis shall Manufacture or have Manufactured the Novartis Study</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Drugs in such quantities as reasonably needed, and at the points in time as needed to meet the timelines in the applicable Protocol in accordance with the Development Plan, for the Combined Therapy Clinical Trials, and shall supply such Novartis Study Drugs to Olema or its designee for use solely in the Combined Therapy Clinical Trials. Novartis will, </w:t>
      </w:r>
      <w:r>
        <w:rPr>
          <w:rFonts w:ascii="Arial" w:cs="Arial" w:eastAsia="Arial" w:hAnsi="Arial"/>
          <w:sz w:val="16"/>
          <w:szCs w:val="16"/>
          <w:color w:val="auto"/>
        </w:rPr>
        <w:t>[***]</w:t>
      </w:r>
      <w:r>
        <w:rPr>
          <w:rFonts w:ascii="Arial" w:cs="Arial" w:eastAsia="Arial" w:hAnsi="Arial"/>
          <w:sz w:val="19"/>
          <w:szCs w:val="19"/>
          <w:color w:val="auto"/>
        </w:rPr>
        <w:t xml:space="preserve">, deliver the Novartis Study Drugs in accordance with the terms of the Supply Agreement to the Olema-designated location in the United States for use in the applicable Combined Therapy Clinical Trial, and otherwise subject to and in accordance with the additional delivery information, and qualitative and quantitative criteria specified in the Quality Documentation. </w:t>
      </w:r>
      <w:r>
        <w:rPr>
          <w:rFonts w:ascii="Arial" w:cs="Arial" w:eastAsia="Arial" w:hAnsi="Arial"/>
          <w:sz w:val="16"/>
          <w:szCs w:val="16"/>
          <w:color w:val="auto"/>
        </w:rPr>
        <w:t>[***]</w:t>
      </w:r>
      <w:r>
        <w:rPr>
          <w:rFonts w:ascii="Arial" w:cs="Arial" w:eastAsia="Arial" w:hAnsi="Arial"/>
          <w:sz w:val="19"/>
          <w:szCs w:val="19"/>
          <w:color w:val="auto"/>
        </w:rPr>
        <w:t xml:space="preserve"> All costs associated with the subsequent transportation, warehousing and distribution of Novartis Study Drugs will be borne by </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color w:val="auto"/>
        </w:rPr>
        <w:t>[***]</w:t>
      </w:r>
      <w:r>
        <w:rPr>
          <w:rFonts w:ascii="Arial" w:cs="Arial" w:eastAsia="Arial" w:hAnsi="Arial"/>
          <w:sz w:val="19"/>
          <w:szCs w:val="19"/>
          <w:color w:val="auto"/>
        </w:rPr>
        <w:t xml:space="preserve"> shall be responsible for the payment of any Third Party License Payments that may be due based on the manufacture, supply and use of the Novartis Study Drugs used in the Combined Therapy Clinical Trials. The Novartis Study Drugs shall be manufactured in accordance with Applicable Law (including GMP) and shall be of similar quality to the Novartis Study Drugs used by Novartis for its other clinical trials of the Novartis Study Drugs. Pursuant to the Quality Documentation, Novartis shall be responsible for the regulatory compliance of the quality of the Novartis Study Drugs at the time the Novartis Study Drugs is Delivered to Olema. Upon Delivery of Novartis Study Drugs to Olema, and with respect to the Novartis Study Drugs, Olema agrees to (i) obtain all required licenses, certificates and permits in connection with the subsequent transportation and storage thereof; (ii) comply with all Regulatory Approvals, including all approvals and licenses, or other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4" w:name="page115"/>
    <w:bookmarkEnd w:id="114"/>
    <w:p>
      <w:pPr>
        <w:jc w:val="both"/>
        <w:spacing w:after="0" w:line="269" w:lineRule="auto"/>
        <w:rPr>
          <w:sz w:val="20"/>
          <w:szCs w:val="20"/>
          <w:color w:val="auto"/>
        </w:rPr>
      </w:pPr>
      <w:r>
        <w:rPr>
          <w:rFonts w:ascii="Arial" w:cs="Arial" w:eastAsia="Arial" w:hAnsi="Arial"/>
          <w:sz w:val="18"/>
          <w:szCs w:val="18"/>
          <w:color w:val="auto"/>
        </w:rPr>
        <w:t xml:space="preserve">pertaining to Novartis Study Drugs; (iii) to maintain the necessary records to comply with all Regulatory Approvals and other Applicable Laws; (iv) to not re-export the Novartis Study Drugs except as authorized in writing by Novartis and in compliance with Applicable Laws; and (v) not to sell, transfer or dispose of Novartis Study Drugs in violation of the export laws of the country from which the Novartis Study Drugs is shipped. Olema will be responsible for providing Novartis with any information reasonably necessary in order to enable Novartis to fulfill any shipment of Novartis Study Drugs and to comply with all labeling and other applicable legal requirements in the countries in which the Combined Therapy Clinical Trials will be conducted. </w:t>
      </w:r>
      <w:r>
        <w:rPr>
          <w:rFonts w:ascii="Arial" w:cs="Arial" w:eastAsia="Arial" w:hAnsi="Arial"/>
          <w:sz w:val="15"/>
          <w:szCs w:val="15"/>
          <w:color w:val="auto"/>
        </w:rPr>
        <w:t>[***]</w:t>
      </w:r>
      <w:r>
        <w:rPr>
          <w:rFonts w:ascii="Arial" w:cs="Arial" w:eastAsia="Arial" w:hAnsi="Arial"/>
          <w:sz w:val="18"/>
          <w:szCs w:val="18"/>
          <w:color w:val="auto"/>
        </w:rPr>
        <w:t xml:space="preserve"> will pay all taxes, import duties, sales, use or privilege taxes, value-added taxes, excise or similar taxes or duties levied upon either Party or any Affiliate thereof by any jurisdiction, political subdivision or agency for the supply of Novartis Study Drugs after Delivery thereof to Olema under this Agreement. Novartis will be responsible for obtaining all required documents and approvals in order for Novartis Study Drugs to clear customs in applicable countries necessary for Delivery of Novartis Study Drugs to Olema hereunder. Olema will be responsible for obtaining all required documents and approvals in order for Novartis Study Drugs to clear customs in applicable countries in which Novartis Study Drugs will be used after Delivery thereof to Olema; provided, however, that upon Olema’s request, Novartis shall reasonably cooperate and provide Olema with any information necessary to assist Olema in obtaining such customs clearance, </w:t>
      </w:r>
      <w:r>
        <w:rPr>
          <w:rFonts w:ascii="Arial" w:cs="Arial" w:eastAsia="Arial" w:hAnsi="Arial"/>
          <w:sz w:val="15"/>
          <w:szCs w:val="15"/>
          <w:color w:val="auto"/>
        </w:rPr>
        <w:t>[***]</w:t>
      </w:r>
      <w:r>
        <w:rPr>
          <w:rFonts w:ascii="Arial" w:cs="Arial" w:eastAsia="Arial" w:hAnsi="Arial"/>
          <w:sz w:val="18"/>
          <w:szCs w:val="18"/>
          <w:color w:val="auto"/>
        </w:rPr>
        <w:t>. Subject to Section 4.6, the Parties shall cooperate in accordance with Applicable Law to minimize indirect taxes (such as value added tax, sales tax, consumption tax and other similar taxes) relating to supply or use of the Novartis Study Drugs in connection with this Agreement.</w:t>
      </w:r>
    </w:p>
    <w:p>
      <w:pPr>
        <w:spacing w:after="0" w:line="127" w:lineRule="exact"/>
        <w:rPr>
          <w:sz w:val="20"/>
          <w:szCs w:val="20"/>
          <w:color w:val="auto"/>
        </w:rPr>
      </w:pPr>
    </w:p>
    <w:p>
      <w:pPr>
        <w:jc w:val="both"/>
        <w:ind w:firstLine="1304"/>
        <w:spacing w:after="0" w:line="255" w:lineRule="auto"/>
        <w:tabs>
          <w:tab w:leader="none" w:pos="2005"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Novartis Study Drugs Supplied by Novartis to Olema. </w:t>
      </w:r>
      <w:r>
        <w:rPr>
          <w:rFonts w:ascii="Arial" w:cs="Arial" w:eastAsia="Arial" w:hAnsi="Arial"/>
          <w:sz w:val="19"/>
          <w:szCs w:val="19"/>
          <w:color w:val="auto"/>
        </w:rPr>
        <w:t>Olema shall use the quantities of</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Novartis Study Drugs supplied to it under this Agreement solely as reasonably needed for, and in accordance with, this Agreement and the applicable Protocol, and for no other purpose, including as a reagent or tool to facilitate its internal research efforts, for any commercial (i.e., non-clinical) purpose, or for other clinical or non-clinical research unrelated to the Combined Therapy Clinical Trials. Except as may be required or expressly permitted by the applicable Protocol or the Quality Documentation, Olema shall not perform, and shall not allow any Third Party to perform, any analytical testing of the quantities of Novartis Study Drugs supplied to it under this Agreement. If Study Drug supplied by Novartis is (after delivery by Novartis) lost, damaged, destroyed or becomes (due to fault other than Novartis) unable to comply with applicable specifications while under the control of Olema or any of its (sub)contractors, including common carriers and clinical study sites contracted by Olema, </w:t>
      </w:r>
      <w:r>
        <w:rPr>
          <w:rFonts w:ascii="Arial" w:cs="Arial" w:eastAsia="Arial" w:hAnsi="Arial"/>
          <w:sz w:val="16"/>
          <w:szCs w:val="16"/>
          <w:color w:val="auto"/>
        </w:rPr>
        <w:t>[***]</w:t>
      </w:r>
      <w:r>
        <w:rPr>
          <w:rFonts w:ascii="Arial" w:cs="Arial" w:eastAsia="Arial" w:hAnsi="Arial"/>
          <w:sz w:val="19"/>
          <w:szCs w:val="19"/>
          <w:color w:val="auto"/>
        </w:rPr>
        <w:t xml:space="preserve">. If Novartis Study Drugs supplied by Novartis is, at the time of delivery to Olema or its designee, non-conforming with the warranty in Section 9.12, or after delivery becomes non-conforming due to fault of Novartis, then </w:t>
      </w:r>
      <w:r>
        <w:rPr>
          <w:rFonts w:ascii="Arial" w:cs="Arial" w:eastAsia="Arial" w:hAnsi="Arial"/>
          <w:sz w:val="16"/>
          <w:szCs w:val="16"/>
          <w:color w:val="auto"/>
        </w:rPr>
        <w:t>[***]</w:t>
      </w:r>
      <w:r>
        <w:rPr>
          <w:rFonts w:ascii="Arial" w:cs="Arial" w:eastAsia="Arial" w:hAnsi="Arial"/>
          <w:sz w:val="19"/>
          <w:szCs w:val="19"/>
          <w:color w:val="auto"/>
        </w:rPr>
        <w:t>.</w:t>
      </w:r>
    </w:p>
    <w:p>
      <w:pPr>
        <w:spacing w:after="0" w:line="163" w:lineRule="exact"/>
        <w:rPr>
          <w:rFonts w:ascii="Arial" w:cs="Arial" w:eastAsia="Arial" w:hAnsi="Arial"/>
          <w:sz w:val="19"/>
          <w:szCs w:val="19"/>
          <w:b w:val="1"/>
          <w:bCs w:val="1"/>
          <w:color w:val="auto"/>
        </w:rPr>
      </w:pPr>
    </w:p>
    <w:p>
      <w:pPr>
        <w:jc w:val="both"/>
        <w:ind w:firstLine="1304"/>
        <w:spacing w:after="0" w:line="250" w:lineRule="auto"/>
        <w:tabs>
          <w:tab w:leader="none" w:pos="2005" w:val="left"/>
        </w:tabs>
        <w:numPr>
          <w:ilvl w:val="0"/>
          <w:numId w:val="67"/>
        </w:numPr>
        <w:rPr>
          <w:rFonts w:ascii="Arial" w:cs="Arial" w:eastAsia="Arial" w:hAnsi="Arial"/>
          <w:sz w:val="20"/>
          <w:szCs w:val="20"/>
          <w:b w:val="1"/>
          <w:bCs w:val="1"/>
          <w:color w:val="auto"/>
        </w:rPr>
      </w:pPr>
      <w:r>
        <w:rPr>
          <w:rFonts w:ascii="Arial" w:cs="Arial" w:eastAsia="Arial" w:hAnsi="Arial"/>
          <w:sz w:val="20"/>
          <w:szCs w:val="20"/>
          <w:color w:val="auto"/>
        </w:rPr>
        <w:t>Novartis shall provide Olema with prompt notice of any Manufacturing and supply issues with respect to Novartis Study Drugs of which it becomes aware that may adversely impact the conduct or timelines of the Combined Therapy Clinical Trials</w:t>
      </w:r>
    </w:p>
    <w:p>
      <w:pPr>
        <w:spacing w:after="0" w:line="13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4.3 Quality Documentation. </w:t>
      </w:r>
      <w:r>
        <w:rPr>
          <w:rFonts w:ascii="Arial" w:cs="Arial" w:eastAsia="Arial" w:hAnsi="Arial"/>
          <w:sz w:val="19"/>
          <w:szCs w:val="19"/>
          <w:color w:val="auto"/>
        </w:rPr>
        <w:t>Novartis shall supply the Novartis Study Drugs to Olema or its designee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the terms of: (i) a separate supply agreement (“</w:t>
      </w:r>
      <w:r>
        <w:rPr>
          <w:rFonts w:ascii="Arial" w:cs="Arial" w:eastAsia="Arial" w:hAnsi="Arial"/>
          <w:sz w:val="19"/>
          <w:szCs w:val="19"/>
          <w:b w:val="1"/>
          <w:bCs w:val="1"/>
          <w:color w:val="auto"/>
        </w:rPr>
        <w:t>Supply Agreement”</w:t>
      </w:r>
      <w:r>
        <w:rPr>
          <w:rFonts w:ascii="Arial" w:cs="Arial" w:eastAsia="Arial" w:hAnsi="Arial"/>
          <w:sz w:val="19"/>
          <w:szCs w:val="19"/>
          <w:color w:val="auto"/>
        </w:rPr>
        <w:t>) governing forecasting, ordering, procedures for acceptance and rejection, and other customary provisions for the supply of the Novartis Study Drugs for the Combined Therapy Clinical Trials, and (ii) a separate quality agreement (</w:t>
      </w:r>
      <w:r>
        <w:rPr>
          <w:rFonts w:ascii="Arial" w:cs="Arial" w:eastAsia="Arial" w:hAnsi="Arial"/>
          <w:sz w:val="19"/>
          <w:szCs w:val="19"/>
          <w:b w:val="1"/>
          <w:bCs w:val="1"/>
          <w:color w:val="auto"/>
        </w:rPr>
        <w:t>“Quality Agreement”</w:t>
      </w:r>
      <w:r>
        <w:rPr>
          <w:rFonts w:ascii="Arial" w:cs="Arial" w:eastAsia="Arial" w:hAnsi="Arial"/>
          <w:sz w:val="19"/>
          <w:szCs w:val="19"/>
          <w:color w:val="auto"/>
        </w:rPr>
        <w:t>) outlining the additional roles and responsibilities relative to the quality of the Novartis Study Drugs in support of the Combined Therapy Clinical Trials (the Supply Agreement and Quality Agreement collectively referred to herein as “</w:t>
      </w:r>
      <w:r>
        <w:rPr>
          <w:rFonts w:ascii="Arial" w:cs="Arial" w:eastAsia="Arial" w:hAnsi="Arial"/>
          <w:sz w:val="19"/>
          <w:szCs w:val="19"/>
          <w:b w:val="1"/>
          <w:bCs w:val="1"/>
          <w:i w:val="1"/>
          <w:iCs w:val="1"/>
          <w:color w:val="auto"/>
        </w:rPr>
        <w:t>Quality Documentation</w:t>
      </w:r>
      <w:r>
        <w:rPr>
          <w:rFonts w:ascii="Arial" w:cs="Arial" w:eastAsia="Arial" w:hAnsi="Arial"/>
          <w:sz w:val="19"/>
          <w:szCs w:val="19"/>
          <w:color w:val="auto"/>
        </w:rPr>
        <w:t>”). The Parties shall finalize and execute the Quality Documentation before the date on which the first shipment of the Novartis Study Drugs is supplied for use in the Combined Therapy Clinical Trials. The Quality Documentation shall include the responsibility for quality elements as well as exchanged GMP documents and certifications required to release the Novartis Study Drugs for the Combined Therapy Clinical Trials. In addition, the Quality Documentation shall detail the documentation required for each shipment of Novartis Study Drugs supplied to Olema or its designee for use in the Combined Therapy Clinical Trials.</w:t>
      </w:r>
    </w:p>
    <w:p>
      <w:pPr>
        <w:spacing w:after="0" w:line="1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4.4 Supply Forecast. </w:t>
      </w:r>
      <w:r>
        <w:rPr>
          <w:rFonts w:ascii="Arial" w:cs="Arial" w:eastAsia="Arial" w:hAnsi="Arial"/>
          <w:sz w:val="20"/>
          <w:szCs w:val="20"/>
          <w:color w:val="auto"/>
        </w:rPr>
        <w:t>Estimated supply and delivery details will be outlined in the Development Plan and will</w:t>
      </w:r>
      <w:r>
        <w:rPr>
          <w:rFonts w:ascii="Arial" w:cs="Arial" w:eastAsia="Arial" w:hAnsi="Arial"/>
          <w:sz w:val="20"/>
          <w:szCs w:val="20"/>
          <w:b w:val="1"/>
          <w:bCs w:val="1"/>
          <w:color w:val="auto"/>
        </w:rPr>
        <w:t xml:space="preserve"> </w:t>
      </w:r>
      <w:r>
        <w:rPr>
          <w:rFonts w:ascii="Arial" w:cs="Arial" w:eastAsia="Arial" w:hAnsi="Arial"/>
          <w:sz w:val="20"/>
          <w:szCs w:val="20"/>
          <w:color w:val="auto"/>
        </w:rPr>
        <w:t>be updated by the Parties by mutual agreement (which agreement can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5" w:name="page116"/>
    <w:bookmarkEnd w:id="115"/>
    <w:p>
      <w:pPr>
        <w:jc w:val="both"/>
        <w:spacing w:after="0" w:line="250" w:lineRule="auto"/>
        <w:rPr>
          <w:sz w:val="20"/>
          <w:szCs w:val="20"/>
          <w:color w:val="auto"/>
        </w:rPr>
      </w:pPr>
      <w:r>
        <w:rPr>
          <w:rFonts w:ascii="Arial" w:cs="Arial" w:eastAsia="Arial" w:hAnsi="Arial"/>
          <w:sz w:val="20"/>
          <w:szCs w:val="20"/>
          <w:color w:val="auto"/>
        </w:rPr>
        <w:t xml:space="preserve">effected by the Parties’ Designated Supply Contacts and without need for an amendment to this Agreement) based on the actual trial enrollment. Olema will promptly inform Novartis of any change in its requirements for Novartis Study Drugs, and Novartis will </w:t>
      </w:r>
      <w:r>
        <w:rPr>
          <w:rFonts w:ascii="Arial" w:cs="Arial" w:eastAsia="Arial" w:hAnsi="Arial"/>
          <w:sz w:val="17"/>
          <w:szCs w:val="17"/>
          <w:color w:val="auto"/>
        </w:rPr>
        <w:t>[***]</w:t>
      </w:r>
      <w:r>
        <w:rPr>
          <w:rFonts w:ascii="Arial" w:cs="Arial" w:eastAsia="Arial" w:hAnsi="Arial"/>
          <w:sz w:val="20"/>
          <w:szCs w:val="20"/>
          <w:color w:val="auto"/>
        </w:rPr>
        <w:t>.</w:t>
      </w:r>
    </w:p>
    <w:p>
      <w:pPr>
        <w:spacing w:after="0" w:line="139"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4.5 Shortages. </w:t>
      </w:r>
      <w:r>
        <w:rPr>
          <w:rFonts w:ascii="Arial" w:cs="Arial" w:eastAsia="Arial" w:hAnsi="Arial"/>
          <w:sz w:val="20"/>
          <w:szCs w:val="20"/>
          <w:color w:val="auto"/>
        </w:rPr>
        <w:t>In the event of a supply interruption or shortage of Novartis Study Drugs as determined by</w:t>
      </w:r>
      <w:r>
        <w:rPr>
          <w:rFonts w:ascii="Arial" w:cs="Arial" w:eastAsia="Arial" w:hAnsi="Arial"/>
          <w:sz w:val="20"/>
          <w:szCs w:val="20"/>
          <w:b w:val="1"/>
          <w:bCs w:val="1"/>
          <w:color w:val="auto"/>
        </w:rPr>
        <w:t xml:space="preserve"> </w:t>
      </w:r>
      <w:r>
        <w:rPr>
          <w:rFonts w:ascii="Arial" w:cs="Arial" w:eastAsia="Arial" w:hAnsi="Arial"/>
          <w:sz w:val="20"/>
          <w:szCs w:val="20"/>
          <w:color w:val="auto"/>
        </w:rPr>
        <w:t>Novartis pursuant to its internal processes and policies (a “</w:t>
      </w:r>
      <w:r>
        <w:rPr>
          <w:rFonts w:ascii="Arial" w:cs="Arial" w:eastAsia="Arial" w:hAnsi="Arial"/>
          <w:sz w:val="20"/>
          <w:szCs w:val="20"/>
          <w:b w:val="1"/>
          <w:bCs w:val="1"/>
          <w:i w:val="1"/>
          <w:iCs w:val="1"/>
          <w:color w:val="auto"/>
        </w:rPr>
        <w:t>Shortage</w:t>
      </w:r>
      <w:r>
        <w:rPr>
          <w:rFonts w:ascii="Arial" w:cs="Arial" w:eastAsia="Arial" w:hAnsi="Arial"/>
          <w:sz w:val="20"/>
          <w:szCs w:val="20"/>
          <w:color w:val="auto"/>
        </w:rPr>
        <w:t xml:space="preserve">”), such that Novartis reasonably believes that it will not be able to fulfill its supply obligations under this Agreement, Novartis will provide prompt written notice thereof to Olema (including the quantity of Novartis Study Drugs that Novartis reasonably estimates it will be able to supply) and, upon request, the Parties will promptly discuss such situation (including how the quantities of Novartis Study Drugs that Novartis is able to supply under this Agreement will be allocated within the Combined Therapy Clinical Trials). Notwithstanding anything to the contrary contained herein, in the event of a Shortage of the Novartis Study Drugs, </w:t>
      </w:r>
      <w:r>
        <w:rPr>
          <w:rFonts w:ascii="Arial" w:cs="Arial" w:eastAsia="Arial" w:hAnsi="Arial"/>
          <w:sz w:val="17"/>
          <w:szCs w:val="17"/>
          <w:color w:val="auto"/>
        </w:rPr>
        <w:t>[***]</w:t>
      </w:r>
      <w:r>
        <w:rPr>
          <w:rFonts w:ascii="Arial" w:cs="Arial" w:eastAsia="Arial" w:hAnsi="Arial"/>
          <w:sz w:val="20"/>
          <w:szCs w:val="20"/>
          <w:color w:val="auto"/>
        </w:rPr>
        <w:t xml:space="preserve">; provided, however, that </w:t>
      </w:r>
      <w:r>
        <w:rPr>
          <w:rFonts w:ascii="Arial" w:cs="Arial" w:eastAsia="Arial" w:hAnsi="Arial"/>
          <w:sz w:val="17"/>
          <w:szCs w:val="17"/>
          <w:color w:val="auto"/>
        </w:rPr>
        <w:t>[***]</w:t>
      </w:r>
      <w:r>
        <w:rPr>
          <w:rFonts w:ascii="Arial" w:cs="Arial" w:eastAsia="Arial" w:hAnsi="Arial"/>
          <w:sz w:val="20"/>
          <w:szCs w:val="20"/>
          <w:color w:val="auto"/>
        </w:rPr>
        <w:t xml:space="preserve"> shall (i) </w:t>
      </w:r>
      <w:r>
        <w:rPr>
          <w:rFonts w:ascii="Arial" w:cs="Arial" w:eastAsia="Arial" w:hAnsi="Arial"/>
          <w:sz w:val="17"/>
          <w:szCs w:val="17"/>
          <w:color w:val="auto"/>
        </w:rPr>
        <w:t>[***]</w:t>
      </w:r>
      <w:r>
        <w:rPr>
          <w:rFonts w:ascii="Arial" w:cs="Arial" w:eastAsia="Arial" w:hAnsi="Arial"/>
          <w:sz w:val="20"/>
          <w:szCs w:val="20"/>
          <w:color w:val="auto"/>
        </w:rPr>
        <w:t xml:space="preserve">, and (ii) </w:t>
      </w:r>
      <w:r>
        <w:rPr>
          <w:rFonts w:ascii="Arial" w:cs="Arial" w:eastAsia="Arial" w:hAnsi="Arial"/>
          <w:sz w:val="17"/>
          <w:szCs w:val="17"/>
          <w:color w:val="auto"/>
        </w:rPr>
        <w:t>[***]</w:t>
      </w:r>
      <w:r>
        <w:rPr>
          <w:rFonts w:ascii="Arial" w:cs="Arial" w:eastAsia="Arial" w:hAnsi="Arial"/>
          <w:sz w:val="20"/>
          <w:szCs w:val="20"/>
          <w:color w:val="auto"/>
        </w:rPr>
        <w:t>.</w:t>
      </w:r>
    </w:p>
    <w:p>
      <w:pPr>
        <w:spacing w:after="0" w:line="162"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b w:val="1"/>
          <w:bCs w:val="1"/>
          <w:color w:val="auto"/>
        </w:rPr>
        <w:t xml:space="preserve">4.6 Participating Countries; Customs Valuation. </w:t>
      </w:r>
      <w:r>
        <w:rPr>
          <w:rFonts w:ascii="Arial" w:cs="Arial" w:eastAsia="Arial" w:hAnsi="Arial"/>
          <w:sz w:val="20"/>
          <w:szCs w:val="20"/>
          <w:color w:val="auto"/>
        </w:rPr>
        <w:t>Olema will provide Novartis in writing with a list of each</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country in which it proposes to conduct the Combined Therapy Clinical Trials prior to execution of any site agreement or CRO agreement for that country pertaining to a Combined Therapy Clinical Trial. During the conduct of the Combined Therapy Clinical Trials, Olema will send in writing any changes to the list of participating countries to Novartis </w:t>
      </w:r>
      <w:r>
        <w:rPr>
          <w:rFonts w:ascii="Arial" w:cs="Arial" w:eastAsia="Arial" w:hAnsi="Arial"/>
          <w:sz w:val="17"/>
          <w:szCs w:val="17"/>
          <w:color w:val="auto"/>
        </w:rPr>
        <w:t>[***]</w:t>
      </w:r>
      <w:r>
        <w:rPr>
          <w:rFonts w:ascii="Arial" w:cs="Arial" w:eastAsia="Arial" w:hAnsi="Arial"/>
          <w:sz w:val="20"/>
          <w:szCs w:val="20"/>
          <w:color w:val="auto"/>
        </w:rPr>
        <w:t xml:space="preserve">. If no changes are sent to Novartis by Olema for a particular </w:t>
      </w:r>
      <w:r>
        <w:rPr>
          <w:rFonts w:ascii="Arial" w:cs="Arial" w:eastAsia="Arial" w:hAnsi="Arial"/>
          <w:sz w:val="17"/>
          <w:szCs w:val="17"/>
          <w:color w:val="auto"/>
        </w:rPr>
        <w:t>[***]</w:t>
      </w:r>
      <w:r>
        <w:rPr>
          <w:rFonts w:ascii="Arial" w:cs="Arial" w:eastAsia="Arial" w:hAnsi="Arial"/>
          <w:sz w:val="20"/>
          <w:szCs w:val="20"/>
          <w:color w:val="auto"/>
        </w:rPr>
        <w:t xml:space="preserve">, the prior </w:t>
      </w:r>
      <w:r>
        <w:rPr>
          <w:rFonts w:ascii="Arial" w:cs="Arial" w:eastAsia="Arial" w:hAnsi="Arial"/>
          <w:sz w:val="17"/>
          <w:szCs w:val="17"/>
          <w:color w:val="auto"/>
        </w:rPr>
        <w:t>[***]</w:t>
      </w:r>
      <w:r>
        <w:rPr>
          <w:rFonts w:ascii="Arial" w:cs="Arial" w:eastAsia="Arial" w:hAnsi="Arial"/>
          <w:sz w:val="20"/>
          <w:szCs w:val="20"/>
          <w:color w:val="auto"/>
        </w:rPr>
        <w:t xml:space="preserve"> participating country list will be used as the basis for customs valuation for that </w:t>
      </w:r>
      <w:r>
        <w:rPr>
          <w:rFonts w:ascii="Arial" w:cs="Arial" w:eastAsia="Arial" w:hAnsi="Arial"/>
          <w:sz w:val="17"/>
          <w:szCs w:val="17"/>
          <w:color w:val="auto"/>
        </w:rPr>
        <w:t>[***]</w:t>
      </w:r>
      <w:r>
        <w:rPr>
          <w:rFonts w:ascii="Arial" w:cs="Arial" w:eastAsia="Arial" w:hAnsi="Arial"/>
          <w:sz w:val="20"/>
          <w:szCs w:val="20"/>
          <w:color w:val="auto"/>
        </w:rPr>
        <w:t xml:space="preserve">. Novartis will provide Olema with country-specific customs valuations initially for the Novartis Study Drugs prior to initiation of the Combined Therapy Clinical Trials and at the end of each </w:t>
      </w:r>
      <w:r>
        <w:rPr>
          <w:rFonts w:ascii="Arial" w:cs="Arial" w:eastAsia="Arial" w:hAnsi="Arial"/>
          <w:sz w:val="17"/>
          <w:szCs w:val="17"/>
          <w:color w:val="auto"/>
        </w:rPr>
        <w:t>[***]</w:t>
      </w:r>
      <w:r>
        <w:rPr>
          <w:rFonts w:ascii="Arial" w:cs="Arial" w:eastAsia="Arial" w:hAnsi="Arial"/>
          <w:sz w:val="20"/>
          <w:szCs w:val="20"/>
          <w:color w:val="auto"/>
        </w:rPr>
        <w:t xml:space="preserve"> during the conduct of the Combined Therapy Clinical Trials. Olema will use the Novartis provided values for the import/export process in the listed participating countries and not make any change to such valuations without Novartis’s prior written consent.</w:t>
      </w:r>
    </w:p>
    <w:p>
      <w:pPr>
        <w:spacing w:after="0" w:line="152"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4.7 Designated Supply Contact. </w:t>
      </w:r>
      <w:r>
        <w:rPr>
          <w:rFonts w:ascii="Arial" w:cs="Arial" w:eastAsia="Arial" w:hAnsi="Arial"/>
          <w:sz w:val="20"/>
          <w:szCs w:val="20"/>
          <w:color w:val="auto"/>
        </w:rPr>
        <w:t>Each Party will designate an individual (the “</w:t>
      </w:r>
      <w:r>
        <w:rPr>
          <w:rFonts w:ascii="Arial" w:cs="Arial" w:eastAsia="Arial" w:hAnsi="Arial"/>
          <w:sz w:val="20"/>
          <w:szCs w:val="20"/>
          <w:b w:val="1"/>
          <w:bCs w:val="1"/>
          <w:i w:val="1"/>
          <w:iCs w:val="1"/>
          <w:color w:val="auto"/>
        </w:rPr>
        <w:t>Designated Supply Contact</w:t>
      </w:r>
      <w:r>
        <w:rPr>
          <w:rFonts w:ascii="Arial" w:cs="Arial" w:eastAsia="Arial" w:hAnsi="Arial"/>
          <w:sz w:val="20"/>
          <w:szCs w:val="20"/>
          <w:color w:val="auto"/>
        </w:rPr>
        <w:t>”) that</w:t>
      </w:r>
      <w:r>
        <w:rPr>
          <w:rFonts w:ascii="Arial" w:cs="Arial" w:eastAsia="Arial" w:hAnsi="Arial"/>
          <w:sz w:val="20"/>
          <w:szCs w:val="20"/>
          <w:b w:val="1"/>
          <w:bCs w:val="1"/>
          <w:color w:val="auto"/>
        </w:rPr>
        <w:t xml:space="preserve"> </w:t>
      </w:r>
      <w:r>
        <w:rPr>
          <w:rFonts w:ascii="Arial" w:cs="Arial" w:eastAsia="Arial" w:hAnsi="Arial"/>
          <w:sz w:val="20"/>
          <w:szCs w:val="20"/>
          <w:color w:val="auto"/>
        </w:rPr>
        <w:t>a Party may contact to assist with coordinating supplies and facilitating the resolution of any issues or concerns arising in connection with the supply of the Novartis Study Drugs for use in the Combined Therapy Clinical Trials, except as required by Applicable Law.</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5</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RESPONSIBILITIES</w:t>
      </w:r>
    </w:p>
    <w:p>
      <w:pPr>
        <w:spacing w:after="0" w:line="17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b w:val="1"/>
          <w:bCs w:val="1"/>
          <w:color w:val="auto"/>
        </w:rPr>
        <w:t xml:space="preserve">5.1 Specific Responsibilities of Olema. </w:t>
      </w:r>
      <w:r>
        <w:rPr>
          <w:rFonts w:ascii="Arial" w:cs="Arial" w:eastAsia="Arial" w:hAnsi="Arial"/>
          <w:sz w:val="19"/>
          <w:szCs w:val="19"/>
          <w:color w:val="auto"/>
        </w:rPr>
        <w:t>Olema shall, subject to the terms of the applicable Protocol, applicable</w:t>
      </w:r>
      <w:r>
        <w:rPr>
          <w:rFonts w:ascii="Arial" w:cs="Arial" w:eastAsia="Arial" w:hAnsi="Arial"/>
          <w:sz w:val="19"/>
          <w:szCs w:val="19"/>
          <w:b w:val="1"/>
          <w:bCs w:val="1"/>
          <w:color w:val="auto"/>
        </w:rPr>
        <w:t xml:space="preserve"> </w:t>
      </w:r>
      <w:r>
        <w:rPr>
          <w:rFonts w:ascii="Arial" w:cs="Arial" w:eastAsia="Arial" w:hAnsi="Arial"/>
          <w:sz w:val="19"/>
          <w:szCs w:val="19"/>
          <w:color w:val="auto"/>
        </w:rPr>
        <w:t>terms and conditions of the Development Plan and this Agreement, and any other written agreement between the Parties relating to the Combined Therapy Clinical Trials, manage and be responsible for the conduct of the Combined Therapy Clinical Trials, including timelines and contingency planning. particular, and not in limitation of the foregoing, Olema shall use Commercially Reasonable Efforts to perform (itself and/or through Third Parties, including Trial Sites, CROs and investigators) and/or be responsible for the following (items (a) to (p) below, collectively the “</w:t>
      </w:r>
      <w:r>
        <w:rPr>
          <w:rFonts w:ascii="Arial" w:cs="Arial" w:eastAsia="Arial" w:hAnsi="Arial"/>
          <w:sz w:val="19"/>
          <w:szCs w:val="19"/>
          <w:b w:val="1"/>
          <w:bCs w:val="1"/>
          <w:i w:val="1"/>
          <w:iCs w:val="1"/>
          <w:color w:val="auto"/>
        </w:rPr>
        <w:t>Operational Matters</w:t>
      </w:r>
      <w:r>
        <w:rPr>
          <w:rFonts w:ascii="Arial" w:cs="Arial" w:eastAsia="Arial" w:hAnsi="Arial"/>
          <w:sz w:val="19"/>
          <w:szCs w:val="19"/>
          <w:color w:val="auto"/>
        </w:rPr>
        <w:t>”) with respect to the Combined Therapy Clinical Trials:</w:t>
      </w:r>
    </w:p>
    <w:p>
      <w:pPr>
        <w:spacing w:after="0" w:line="138" w:lineRule="exact"/>
        <w:rPr>
          <w:sz w:val="20"/>
          <w:szCs w:val="20"/>
          <w:color w:val="auto"/>
        </w:rPr>
      </w:pPr>
    </w:p>
    <w:p>
      <w:pPr>
        <w:jc w:val="both"/>
        <w:ind w:firstLine="1304"/>
        <w:spacing w:after="0" w:line="272" w:lineRule="auto"/>
        <w:tabs>
          <w:tab w:leader="none" w:pos="2005"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compiling, amending and filing all necessary Combined Therapy Clinical Trials Regulatory Documentation with Regulatory Authority(ies), maintaining and acting as the sponsor of record as provided in 21 CFR 312.50 (and applicable comparable ex-US laws) with responsibility, unless otherwise delegated in accordance with 21 CFR</w:t>
      </w:r>
    </w:p>
    <w:p>
      <w:pPr>
        <w:ind w:right="20"/>
        <w:spacing w:after="0" w:line="244" w:lineRule="auto"/>
        <w:rPr>
          <w:rFonts w:ascii="Arial" w:cs="Arial" w:eastAsia="Arial" w:hAnsi="Arial"/>
          <w:sz w:val="18"/>
          <w:szCs w:val="18"/>
          <w:b w:val="1"/>
          <w:bCs w:val="1"/>
          <w:color w:val="auto"/>
        </w:rPr>
      </w:pPr>
      <w:r>
        <w:rPr>
          <w:rFonts w:ascii="Arial" w:cs="Arial" w:eastAsia="Arial" w:hAnsi="Arial"/>
          <w:sz w:val="20"/>
          <w:szCs w:val="20"/>
          <w:color w:val="auto"/>
        </w:rPr>
        <w:t>312.52 (and applicable comparable ex-US laws), for the Combined Therapy Clinical Trials and making all required submissions to Regulatory Authorities related thereto on a timely basis;</w:t>
      </w:r>
    </w:p>
    <w:p>
      <w:pPr>
        <w:spacing w:after="0" w:line="164" w:lineRule="exact"/>
        <w:rPr>
          <w:rFonts w:ascii="Arial" w:cs="Arial" w:eastAsia="Arial" w:hAnsi="Arial"/>
          <w:sz w:val="18"/>
          <w:szCs w:val="18"/>
          <w:b w:val="1"/>
          <w:bCs w:val="1"/>
          <w:color w:val="auto"/>
        </w:rPr>
      </w:pPr>
    </w:p>
    <w:p>
      <w:pPr>
        <w:jc w:val="both"/>
        <w:ind w:firstLine="1304"/>
        <w:spacing w:after="0" w:line="250" w:lineRule="auto"/>
        <w:tabs>
          <w:tab w:leader="none" w:pos="2005" w:val="left"/>
        </w:tabs>
        <w:numPr>
          <w:ilvl w:val="0"/>
          <w:numId w:val="68"/>
        </w:numPr>
        <w:rPr>
          <w:rFonts w:ascii="Arial" w:cs="Arial" w:eastAsia="Arial" w:hAnsi="Arial"/>
          <w:sz w:val="20"/>
          <w:szCs w:val="20"/>
          <w:b w:val="1"/>
          <w:bCs w:val="1"/>
          <w:color w:val="auto"/>
        </w:rPr>
      </w:pPr>
      <w:r>
        <w:rPr>
          <w:rFonts w:ascii="Arial" w:cs="Arial" w:eastAsia="Arial" w:hAnsi="Arial"/>
          <w:sz w:val="20"/>
          <w:szCs w:val="20"/>
          <w:color w:val="auto"/>
        </w:rPr>
        <w:t>conducting clinical study start-up activities, communicating with and obtaining approval from IRBs for the applicable Protocol and other relevant documents, and clinical study subject recruitment and retention activities, all for the Combined Therapy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6" w:name="page117"/>
    <w:bookmarkEnd w:id="116"/>
    <w:p>
      <w:pPr>
        <w:jc w:val="both"/>
        <w:ind w:firstLine="1304"/>
        <w:spacing w:after="0" w:line="246" w:lineRule="auto"/>
        <w:tabs>
          <w:tab w:leader="none" w:pos="2005" w:val="left"/>
        </w:tabs>
        <w:numPr>
          <w:ilvl w:val="1"/>
          <w:numId w:val="69"/>
        </w:numPr>
        <w:rPr>
          <w:rFonts w:ascii="Arial" w:cs="Arial" w:eastAsia="Arial" w:hAnsi="Arial"/>
          <w:sz w:val="20"/>
          <w:szCs w:val="20"/>
          <w:b w:val="1"/>
          <w:bCs w:val="1"/>
          <w:color w:val="auto"/>
        </w:rPr>
      </w:pPr>
      <w:r>
        <w:rPr>
          <w:rFonts w:ascii="Arial" w:cs="Arial" w:eastAsia="Arial" w:hAnsi="Arial"/>
          <w:sz w:val="20"/>
          <w:szCs w:val="20"/>
          <w:color w:val="auto"/>
        </w:rPr>
        <w:t>listing of the Combined Therapy Clinical Trials, if it is required to be listed on a public database, on www.clinicaltrials.gov or other applicable public registry in any country in which such Combined Therapy Clinical Trials is being conducted, all in accordance with Applicable Law and in accordance with Olema’s internal policies relating to clinical trial registration;</w:t>
      </w:r>
    </w:p>
    <w:p>
      <w:pPr>
        <w:spacing w:after="0" w:line="150" w:lineRule="exact"/>
        <w:rPr>
          <w:rFonts w:ascii="Arial" w:cs="Arial" w:eastAsia="Arial" w:hAnsi="Arial"/>
          <w:sz w:val="20"/>
          <w:szCs w:val="20"/>
          <w:b w:val="1"/>
          <w:bCs w:val="1"/>
          <w:color w:val="auto"/>
        </w:rPr>
      </w:pPr>
    </w:p>
    <w:p>
      <w:pPr>
        <w:jc w:val="both"/>
        <w:ind w:firstLine="1304"/>
        <w:spacing w:after="0" w:line="241" w:lineRule="auto"/>
        <w:tabs>
          <w:tab w:leader="none" w:pos="2005" w:val="left"/>
        </w:tabs>
        <w:numPr>
          <w:ilvl w:val="1"/>
          <w:numId w:val="69"/>
        </w:numPr>
        <w:rPr>
          <w:rFonts w:ascii="Arial" w:cs="Arial" w:eastAsia="Arial" w:hAnsi="Arial"/>
          <w:sz w:val="20"/>
          <w:szCs w:val="20"/>
          <w:b w:val="1"/>
          <w:bCs w:val="1"/>
          <w:color w:val="auto"/>
        </w:rPr>
      </w:pPr>
      <w:r>
        <w:rPr>
          <w:rFonts w:ascii="Arial" w:cs="Arial" w:eastAsia="Arial" w:hAnsi="Arial"/>
          <w:sz w:val="20"/>
          <w:szCs w:val="20"/>
          <w:color w:val="auto"/>
        </w:rPr>
        <w:t xml:space="preserve">providing Novartis with reasonable advance notice of meetings or other non-written communications with a Regulatory Authority regarding the Combined Therapy Clinical Trials, and the opportunity to participate in each such meeting or other non-written communication to the extent such meeting or communication involves a safety, efficacy or toxicology issue relating to the Combined Therapy or the Novartis Study Drugs or the Novartis Alpelisib Metabolite or any other matter that likely could have an adverse effect on the Novartis Study Drugs. In such case that Olema intends to provide such a communication that relates to the Novartis Study Drugs or the Novartis Alpelisib Metabolite, Olema will provide Novartis with the opportunity to review and provide comments to Olema within </w:t>
      </w:r>
      <w:r>
        <w:rPr>
          <w:rFonts w:ascii="Arial" w:cs="Arial" w:eastAsia="Arial" w:hAnsi="Arial"/>
          <w:sz w:val="17"/>
          <w:szCs w:val="17"/>
          <w:color w:val="auto"/>
        </w:rPr>
        <w:t>[***]</w:t>
      </w:r>
      <w:r>
        <w:rPr>
          <w:rFonts w:ascii="Arial" w:cs="Arial" w:eastAsia="Arial" w:hAnsi="Arial"/>
          <w:sz w:val="20"/>
          <w:szCs w:val="20"/>
          <w:color w:val="auto"/>
        </w:rPr>
        <w:t xml:space="preserve"> receipt thereof from Olema, and, if materially inconsistent with the applicable Protocol, approve such submissions and written correspondence with a Regulatory Authority to the extent that it relates to the Novartis Study Drugs or the Novartis Alpelisib Metabolite;</w:t>
      </w:r>
    </w:p>
    <w:p>
      <w:pPr>
        <w:spacing w:after="0" w:line="174" w:lineRule="exact"/>
        <w:rPr>
          <w:rFonts w:ascii="Arial" w:cs="Arial" w:eastAsia="Arial" w:hAnsi="Arial"/>
          <w:sz w:val="20"/>
          <w:szCs w:val="20"/>
          <w:b w:val="1"/>
          <w:bCs w:val="1"/>
          <w:color w:val="auto"/>
        </w:rPr>
      </w:pPr>
    </w:p>
    <w:p>
      <w:pPr>
        <w:jc w:val="both"/>
        <w:ind w:firstLine="1304"/>
        <w:spacing w:after="0" w:line="243" w:lineRule="auto"/>
        <w:tabs>
          <w:tab w:leader="none" w:pos="2005" w:val="left"/>
        </w:tabs>
        <w:numPr>
          <w:ilvl w:val="1"/>
          <w:numId w:val="69"/>
        </w:numPr>
        <w:rPr>
          <w:rFonts w:ascii="Arial" w:cs="Arial" w:eastAsia="Arial" w:hAnsi="Arial"/>
          <w:sz w:val="20"/>
          <w:szCs w:val="20"/>
          <w:b w:val="1"/>
          <w:bCs w:val="1"/>
          <w:color w:val="auto"/>
        </w:rPr>
      </w:pPr>
      <w:r>
        <w:rPr>
          <w:rFonts w:ascii="Arial" w:cs="Arial" w:eastAsia="Arial" w:hAnsi="Arial"/>
          <w:sz w:val="20"/>
          <w:szCs w:val="20"/>
          <w:color w:val="auto"/>
        </w:rPr>
        <w:t xml:space="preserve">provide Novartis (i) a written summary of meetings or other non-written communications with a Regulatory Authority within </w:t>
      </w:r>
      <w:r>
        <w:rPr>
          <w:rFonts w:ascii="Arial" w:cs="Arial" w:eastAsia="Arial" w:hAnsi="Arial"/>
          <w:sz w:val="17"/>
          <w:szCs w:val="17"/>
          <w:color w:val="auto"/>
        </w:rPr>
        <w:t>[***]</w:t>
      </w:r>
      <w:r>
        <w:rPr>
          <w:rFonts w:ascii="Arial" w:cs="Arial" w:eastAsia="Arial" w:hAnsi="Arial"/>
          <w:sz w:val="20"/>
          <w:szCs w:val="20"/>
          <w:color w:val="auto"/>
        </w:rPr>
        <w:t xml:space="preserve"> of such meeting or communication, and (ii) copies of any official correspondence to or from a Regulatory Authority within </w:t>
      </w:r>
      <w:r>
        <w:rPr>
          <w:rFonts w:ascii="Arial" w:cs="Arial" w:eastAsia="Arial" w:hAnsi="Arial"/>
          <w:sz w:val="17"/>
          <w:szCs w:val="17"/>
          <w:color w:val="auto"/>
        </w:rPr>
        <w:t>[***]</w:t>
      </w:r>
      <w:r>
        <w:rPr>
          <w:rFonts w:ascii="Arial" w:cs="Arial" w:eastAsia="Arial" w:hAnsi="Arial"/>
          <w:sz w:val="20"/>
          <w:szCs w:val="20"/>
          <w:color w:val="auto"/>
        </w:rPr>
        <w:t xml:space="preserve"> receipt or provision, in each case of (i) or (ii) to the extent involving a safety, efficacy or toxicology issue relating to the Combined Therapy or the Novartis Study Drugs or the Novartis Alpelisib Metabolite or any other matter that likely could have an adverse effect on the Novartis Study Drugs, and copies of all material Combined Therapy Clinical Trials Regulatory Documentation and correspondence that relates to same within </w:t>
      </w:r>
      <w:r>
        <w:rPr>
          <w:rFonts w:ascii="Arial" w:cs="Arial" w:eastAsia="Arial" w:hAnsi="Arial"/>
          <w:sz w:val="17"/>
          <w:szCs w:val="17"/>
          <w:color w:val="auto"/>
        </w:rPr>
        <w:t>[***]</w:t>
      </w:r>
      <w:r>
        <w:rPr>
          <w:rFonts w:ascii="Arial" w:cs="Arial" w:eastAsia="Arial" w:hAnsi="Arial"/>
          <w:sz w:val="20"/>
          <w:szCs w:val="20"/>
          <w:color w:val="auto"/>
        </w:rPr>
        <w:t xml:space="preserve"> of submission to Regulatory Authorities;</w:t>
      </w:r>
    </w:p>
    <w:p>
      <w:pPr>
        <w:spacing w:after="0" w:line="152" w:lineRule="exact"/>
        <w:rPr>
          <w:rFonts w:ascii="Arial" w:cs="Arial" w:eastAsia="Arial" w:hAnsi="Arial"/>
          <w:sz w:val="20"/>
          <w:szCs w:val="20"/>
          <w:b w:val="1"/>
          <w:bCs w:val="1"/>
          <w:color w:val="auto"/>
        </w:rPr>
      </w:pPr>
    </w:p>
    <w:p>
      <w:pPr>
        <w:jc w:val="both"/>
        <w:ind w:firstLine="1304"/>
        <w:spacing w:after="0" w:line="268" w:lineRule="auto"/>
        <w:tabs>
          <w:tab w:leader="none" w:pos="2005"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subject to the terms of this Agreement, the selection and payment of, negotiation of the terms of, contracting with, managing and overseeing compliance of its agreement by and the receipt of contract deliverables from, any CRO or vendor selected by Olema to assist in the performance of the Combined Therapy Clinical Trials. Olema shall have the responsibility to determine and approve contract deliverables that adhere to the terms of this Agreement and manage contract performance, including executing Trial Site contracts, drafting and obtaining IRB approval for Trial Site informed consent forms (each an “</w:t>
      </w:r>
      <w:r>
        <w:rPr>
          <w:rFonts w:ascii="Arial" w:cs="Arial" w:eastAsia="Arial" w:hAnsi="Arial"/>
          <w:sz w:val="18"/>
          <w:szCs w:val="18"/>
          <w:b w:val="1"/>
          <w:bCs w:val="1"/>
          <w:i w:val="1"/>
          <w:iCs w:val="1"/>
          <w:color w:val="auto"/>
        </w:rPr>
        <w:t>ICF</w:t>
      </w:r>
      <w:r>
        <w:rPr>
          <w:rFonts w:ascii="Arial" w:cs="Arial" w:eastAsia="Arial" w:hAnsi="Arial"/>
          <w:sz w:val="18"/>
          <w:szCs w:val="18"/>
          <w:color w:val="auto"/>
        </w:rPr>
        <w:t>”), obtaining signed ICFs, and monitoring clinical plans. Olema will be responsible for ensuring that, to its knowledge, the terms of all such contracts and ICFs: (i) do not conflict with the terms of this Agreement,</w:t>
      </w:r>
    </w:p>
    <w:p>
      <w:pPr>
        <w:spacing w:after="0" w:line="4" w:lineRule="exact"/>
        <w:rPr>
          <w:rFonts w:ascii="Arial" w:cs="Arial" w:eastAsia="Arial" w:hAnsi="Arial"/>
          <w:sz w:val="18"/>
          <w:szCs w:val="18"/>
          <w:b w:val="1"/>
          <w:bCs w:val="1"/>
          <w:color w:val="auto"/>
        </w:rPr>
      </w:pPr>
    </w:p>
    <w:p>
      <w:pPr>
        <w:jc w:val="both"/>
        <w:ind w:firstLine="8"/>
        <w:spacing w:after="0" w:line="254" w:lineRule="auto"/>
        <w:tabs>
          <w:tab w:leader="none" w:pos="305" w:val="left"/>
        </w:tabs>
        <w:numPr>
          <w:ilvl w:val="0"/>
          <w:numId w:val="70"/>
        </w:numPr>
        <w:rPr>
          <w:rFonts w:ascii="Arial" w:cs="Arial" w:eastAsia="Arial" w:hAnsi="Arial"/>
          <w:sz w:val="19"/>
          <w:szCs w:val="19"/>
          <w:color w:val="auto"/>
        </w:rPr>
      </w:pPr>
      <w:r>
        <w:rPr>
          <w:rFonts w:ascii="Arial" w:cs="Arial" w:eastAsia="Arial" w:hAnsi="Arial"/>
          <w:sz w:val="19"/>
          <w:szCs w:val="19"/>
          <w:color w:val="auto"/>
        </w:rPr>
        <w:t>allow Olema to provide Novartis with access to and use of Study Data, Samples, and other applicable information and documents resulting from the Combined Therapy Clinical Trials as required pursuant to this Agreement (and in no event less than the same use rights thereto granted to Olema), (iii) do not by their express terms adversely affect the Novartis Background Technology or Novartis Background Patent Rights (or the enforcement or defense thereof), the Combined Therapy, or the Novartis Study Drugs as monotherapy, (iv) do not impose a new obligation, whether direct, indirect, or contingent, upon Novartis that is not set forth in this Agreement, (v) retain each of the Parties’ respective intellectual property rights in Olema Study Drug, Novartis Study Drugs, the Novartis Alpelisib Metabolite and Combined Therapy consistent with this Agreement, and (vi) comply with Applicable Law;</w:t>
      </w:r>
    </w:p>
    <w:p>
      <w:pPr>
        <w:spacing w:after="0" w:line="145" w:lineRule="exact"/>
        <w:rPr>
          <w:rFonts w:ascii="Arial" w:cs="Arial" w:eastAsia="Arial" w:hAnsi="Arial"/>
          <w:sz w:val="19"/>
          <w:szCs w:val="19"/>
          <w:color w:val="auto"/>
        </w:rPr>
      </w:pPr>
    </w:p>
    <w:p>
      <w:pPr>
        <w:jc w:val="both"/>
        <w:ind w:firstLine="1304"/>
        <w:spacing w:after="0" w:line="259" w:lineRule="auto"/>
        <w:tabs>
          <w:tab w:leader="none" w:pos="2005" w:val="left"/>
        </w:tabs>
        <w:numPr>
          <w:ilvl w:val="1"/>
          <w:numId w:val="70"/>
        </w:numPr>
        <w:rPr>
          <w:rFonts w:ascii="Arial" w:cs="Arial" w:eastAsia="Arial" w:hAnsi="Arial"/>
          <w:sz w:val="19"/>
          <w:szCs w:val="19"/>
          <w:b w:val="1"/>
          <w:bCs w:val="1"/>
          <w:color w:val="auto"/>
        </w:rPr>
      </w:pPr>
      <w:r>
        <w:rPr>
          <w:rFonts w:ascii="Arial" w:cs="Arial" w:eastAsia="Arial" w:hAnsi="Arial"/>
          <w:sz w:val="19"/>
          <w:szCs w:val="19"/>
          <w:color w:val="auto"/>
        </w:rPr>
        <w:t>providing Novartis (if previously prepared by Olema and if requested by Novartis) with copies of the draft and final global site templates of the applicable Combined Therapy Clinical Trial’s ICF. Olema shall ensure that each ICF does not impose any financial obligation, liability, damages or other cost upon Novartis with respect to any injury (including death) suffered by a Combined Therapy Clinical Trial subject whether or not resulting from the administration of the Novartis Study Drugs or direct a study subject to Novartis to seek reimbursement for any costs or seek compensation for any injury incurred in connection with the Combined Therapy Clinical Trials;</w:t>
      </w:r>
    </w:p>
    <w:p>
      <w:pPr>
        <w:spacing w:after="0" w:line="151" w:lineRule="exact"/>
        <w:rPr>
          <w:rFonts w:ascii="Arial" w:cs="Arial" w:eastAsia="Arial" w:hAnsi="Arial"/>
          <w:sz w:val="19"/>
          <w:szCs w:val="19"/>
          <w:b w:val="1"/>
          <w:bCs w:val="1"/>
          <w:color w:val="auto"/>
        </w:rPr>
      </w:pPr>
    </w:p>
    <w:p>
      <w:pPr>
        <w:ind w:firstLine="1304"/>
        <w:spacing w:after="0" w:line="260" w:lineRule="auto"/>
        <w:tabs>
          <w:tab w:leader="none" w:pos="2005" w:val="left"/>
        </w:tabs>
        <w:numPr>
          <w:ilvl w:val="1"/>
          <w:numId w:val="70"/>
        </w:numPr>
        <w:rPr>
          <w:rFonts w:ascii="Arial" w:cs="Arial" w:eastAsia="Arial" w:hAnsi="Arial"/>
          <w:sz w:val="20"/>
          <w:szCs w:val="20"/>
          <w:b w:val="1"/>
          <w:bCs w:val="1"/>
          <w:color w:val="auto"/>
        </w:rPr>
      </w:pPr>
      <w:r>
        <w:rPr>
          <w:rFonts w:ascii="Arial" w:cs="Arial" w:eastAsia="Arial" w:hAnsi="Arial"/>
          <w:sz w:val="20"/>
          <w:szCs w:val="20"/>
          <w:color w:val="auto"/>
        </w:rPr>
        <w:t xml:space="preserve">if requested by Novartis, providing Novartis within </w:t>
      </w:r>
      <w:r>
        <w:rPr>
          <w:rFonts w:ascii="Arial" w:cs="Arial" w:eastAsia="Arial" w:hAnsi="Arial"/>
          <w:sz w:val="17"/>
          <w:szCs w:val="17"/>
          <w:color w:val="auto"/>
        </w:rPr>
        <w:t>[***]</w:t>
      </w:r>
      <w:r>
        <w:rPr>
          <w:rFonts w:ascii="Arial" w:cs="Arial" w:eastAsia="Arial" w:hAnsi="Arial"/>
          <w:sz w:val="20"/>
          <w:szCs w:val="20"/>
          <w:color w:val="auto"/>
        </w:rPr>
        <w:t xml:space="preserve"> with minutes from any and all external drug safety monitoring boards for the Combined Therapy Clinical Trials after receipt by</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7" w:name="page118"/>
    <w:bookmarkEnd w:id="117"/>
    <w:p>
      <w:pPr>
        <w:spacing w:after="0"/>
        <w:rPr>
          <w:sz w:val="20"/>
          <w:szCs w:val="20"/>
          <w:color w:val="auto"/>
        </w:rPr>
      </w:pPr>
      <w:r>
        <w:rPr>
          <w:rFonts w:ascii="Arial" w:cs="Arial" w:eastAsia="Arial" w:hAnsi="Arial"/>
          <w:sz w:val="19"/>
          <w:szCs w:val="19"/>
          <w:color w:val="auto"/>
        </w:rPr>
        <w:t>Olema, to the extent relating to the Novartis Study Drugs, the Novartis Alpelisib Metabolite, or the Combined Therapy;</w:t>
      </w:r>
    </w:p>
    <w:p>
      <w:pPr>
        <w:spacing w:after="0" w:line="187" w:lineRule="exact"/>
        <w:rPr>
          <w:sz w:val="20"/>
          <w:szCs w:val="20"/>
          <w:color w:val="auto"/>
        </w:rPr>
      </w:pPr>
    </w:p>
    <w:p>
      <w:pPr>
        <w:jc w:val="both"/>
        <w:ind w:firstLine="1304"/>
        <w:spacing w:after="0" w:line="270" w:lineRule="auto"/>
        <w:tabs>
          <w:tab w:leader="none" w:pos="2005" w:val="left"/>
        </w:tabs>
        <w:numPr>
          <w:ilvl w:val="1"/>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Informing and updating Novartis on a </w:t>
      </w:r>
      <w:r>
        <w:rPr>
          <w:rFonts w:ascii="Arial" w:cs="Arial" w:eastAsia="Arial" w:hAnsi="Arial"/>
          <w:sz w:val="15"/>
          <w:szCs w:val="15"/>
          <w:color w:val="auto"/>
        </w:rPr>
        <w:t>[***]</w:t>
      </w:r>
      <w:r>
        <w:rPr>
          <w:rFonts w:ascii="Arial" w:cs="Arial" w:eastAsia="Arial" w:hAnsi="Arial"/>
          <w:sz w:val="18"/>
          <w:szCs w:val="18"/>
          <w:color w:val="auto"/>
        </w:rPr>
        <w:t xml:space="preserve"> basis (with significant issues to be communicated promptly after Olema becomes aware of same) regarding a reasonable summary of all Operational Matters, so that if Novartis has any significant concerns or material disagreements regarding same, the matter can be discussed with Olema. It is expected that at least </w:t>
      </w:r>
      <w:r>
        <w:rPr>
          <w:rFonts w:ascii="Arial" w:cs="Arial" w:eastAsia="Arial" w:hAnsi="Arial"/>
          <w:sz w:val="15"/>
          <w:szCs w:val="15"/>
          <w:color w:val="auto"/>
        </w:rPr>
        <w:t>[***]</w:t>
      </w:r>
      <w:r>
        <w:rPr>
          <w:rFonts w:ascii="Arial" w:cs="Arial" w:eastAsia="Arial" w:hAnsi="Arial"/>
          <w:sz w:val="18"/>
          <w:szCs w:val="18"/>
          <w:color w:val="auto"/>
        </w:rPr>
        <w:t xml:space="preserve"> during the Term shall be in person at an Olema facility (or as otherwise agreed). The other</w:t>
      </w:r>
    </w:p>
    <w:p>
      <w:pPr>
        <w:spacing w:after="0" w:line="2" w:lineRule="exact"/>
        <w:rPr>
          <w:rFonts w:ascii="Arial" w:cs="Arial" w:eastAsia="Arial" w:hAnsi="Arial"/>
          <w:sz w:val="18"/>
          <w:szCs w:val="18"/>
          <w:b w:val="1"/>
          <w:bCs w:val="1"/>
          <w:color w:val="auto"/>
        </w:rPr>
      </w:pPr>
    </w:p>
    <w:p>
      <w:pPr>
        <w:jc w:val="both"/>
        <w:ind w:firstLine="8"/>
        <w:spacing w:after="0" w:line="255" w:lineRule="auto"/>
        <w:tabs>
          <w:tab w:leader="none" w:pos="435" w:val="left"/>
        </w:tabs>
        <w:numPr>
          <w:ilvl w:val="0"/>
          <w:numId w:val="71"/>
        </w:numPr>
        <w:rPr>
          <w:rFonts w:ascii="Arial" w:cs="Arial" w:eastAsia="Arial" w:hAnsi="Arial"/>
          <w:sz w:val="17"/>
          <w:szCs w:val="17"/>
          <w:color w:val="auto"/>
        </w:rPr>
      </w:pPr>
      <w:r>
        <w:rPr>
          <w:rFonts w:ascii="Arial" w:cs="Arial" w:eastAsia="Arial" w:hAnsi="Arial"/>
          <w:sz w:val="19"/>
          <w:szCs w:val="19"/>
          <w:color w:val="auto"/>
        </w:rPr>
        <w:t xml:space="preserve">meetings </w:t>
      </w:r>
      <w:r>
        <w:rPr>
          <w:rFonts w:ascii="Arial" w:cs="Arial" w:eastAsia="Arial" w:hAnsi="Arial"/>
          <w:sz w:val="16"/>
          <w:szCs w:val="16"/>
          <w:color w:val="auto"/>
        </w:rPr>
        <w:t>[***]</w:t>
      </w:r>
      <w:r>
        <w:rPr>
          <w:rFonts w:ascii="Arial" w:cs="Arial" w:eastAsia="Arial" w:hAnsi="Arial"/>
          <w:sz w:val="19"/>
          <w:szCs w:val="19"/>
          <w:color w:val="auto"/>
        </w:rPr>
        <w:t xml:space="preserve"> need not be in person and may be by telephone or any other method determined by the Parties. Each Party will bear its own costs associated with attending such meetings. Without limiting the foregoing, Olema shall inform Novartis on a </w:t>
      </w:r>
      <w:r>
        <w:rPr>
          <w:rFonts w:ascii="Arial" w:cs="Arial" w:eastAsia="Arial" w:hAnsi="Arial"/>
          <w:sz w:val="16"/>
          <w:szCs w:val="16"/>
          <w:color w:val="auto"/>
        </w:rPr>
        <w:t>[***]</w:t>
      </w:r>
      <w:r>
        <w:rPr>
          <w:rFonts w:ascii="Arial" w:cs="Arial" w:eastAsia="Arial" w:hAnsi="Arial"/>
          <w:sz w:val="19"/>
          <w:szCs w:val="19"/>
          <w:color w:val="auto"/>
        </w:rPr>
        <w:t xml:space="preserve"> basis as to the overall Combined Therapy Clinical Trials progress -- </w:t>
      </w:r>
      <w:r>
        <w:rPr>
          <w:rFonts w:ascii="Arial" w:cs="Arial" w:eastAsia="Arial" w:hAnsi="Arial"/>
          <w:sz w:val="16"/>
          <w:szCs w:val="16"/>
          <w:color w:val="auto"/>
        </w:rPr>
        <w:t>[***]</w:t>
      </w:r>
      <w:r>
        <w:rPr>
          <w:rFonts w:ascii="Arial" w:cs="Arial" w:eastAsia="Arial" w:hAnsi="Arial"/>
          <w:sz w:val="19"/>
          <w:szCs w:val="19"/>
          <w:color w:val="auto"/>
        </w:rPr>
        <w:t>, and any other Combined Therapy Clinical Trials-related matters reasonably requested by Novartis to the extent involving a safety, efficacy or toxicology issue relating to the Combined Therapy or the Novartis Study Drugs or the Novartis Alpelisib Metabolite or any other matter that likely could have an adverse effect on the Novartis Study Drugs;</w:t>
      </w:r>
    </w:p>
    <w:p>
      <w:pPr>
        <w:spacing w:after="0" w:line="157" w:lineRule="exact"/>
        <w:rPr>
          <w:rFonts w:ascii="Arial" w:cs="Arial" w:eastAsia="Arial" w:hAnsi="Arial"/>
          <w:sz w:val="17"/>
          <w:szCs w:val="17"/>
          <w:color w:val="auto"/>
        </w:rPr>
      </w:pPr>
    </w:p>
    <w:p>
      <w:pPr>
        <w:jc w:val="both"/>
        <w:ind w:firstLine="1304"/>
        <w:spacing w:after="0" w:line="246" w:lineRule="auto"/>
        <w:tabs>
          <w:tab w:leader="none" w:pos="2005" w:val="left"/>
        </w:tabs>
        <w:numPr>
          <w:ilvl w:val="1"/>
          <w:numId w:val="72"/>
        </w:numPr>
        <w:rPr>
          <w:rFonts w:ascii="Arial" w:cs="Arial" w:eastAsia="Arial" w:hAnsi="Arial"/>
          <w:sz w:val="20"/>
          <w:szCs w:val="20"/>
          <w:b w:val="1"/>
          <w:bCs w:val="1"/>
          <w:color w:val="auto"/>
        </w:rPr>
      </w:pPr>
      <w:r>
        <w:rPr>
          <w:rFonts w:ascii="Arial" w:cs="Arial" w:eastAsia="Arial" w:hAnsi="Arial"/>
          <w:sz w:val="20"/>
          <w:szCs w:val="20"/>
          <w:color w:val="auto"/>
        </w:rPr>
        <w:t>owning and being responsible for (or appointing a Third Party to be responsible for) the maintenance of the Global Safety Database and being responsible for safety reporting, collecting, evaluating and reporting Serious Adverse Events, other safety data and any further pharmacovigilance information from the Combined Therapy Clinical Trials;</w:t>
      </w:r>
    </w:p>
    <w:p>
      <w:pPr>
        <w:spacing w:after="0" w:line="150" w:lineRule="exact"/>
        <w:rPr>
          <w:rFonts w:ascii="Arial" w:cs="Arial" w:eastAsia="Arial" w:hAnsi="Arial"/>
          <w:sz w:val="20"/>
          <w:szCs w:val="20"/>
          <w:b w:val="1"/>
          <w:bCs w:val="1"/>
          <w:color w:val="auto"/>
        </w:rPr>
      </w:pPr>
    </w:p>
    <w:p>
      <w:pPr>
        <w:ind w:firstLine="1304"/>
        <w:spacing w:after="0" w:line="260" w:lineRule="auto"/>
        <w:tabs>
          <w:tab w:leader="none" w:pos="2005" w:val="left"/>
        </w:tabs>
        <w:numPr>
          <w:ilvl w:val="1"/>
          <w:numId w:val="72"/>
        </w:numPr>
        <w:rPr>
          <w:rFonts w:ascii="Arial" w:cs="Arial" w:eastAsia="Arial" w:hAnsi="Arial"/>
          <w:sz w:val="20"/>
          <w:szCs w:val="20"/>
          <w:b w:val="1"/>
          <w:bCs w:val="1"/>
          <w:color w:val="auto"/>
        </w:rPr>
      </w:pPr>
      <w:r>
        <w:rPr>
          <w:rFonts w:ascii="Arial" w:cs="Arial" w:eastAsia="Arial" w:hAnsi="Arial"/>
          <w:sz w:val="20"/>
          <w:szCs w:val="20"/>
          <w:color w:val="auto"/>
        </w:rPr>
        <w:t>analyzing the Study Data in a timely fashion and providing Novartis with access to the Study Data after Olema is in possession thereof, as follows:</w:t>
      </w:r>
    </w:p>
    <w:p>
      <w:pPr>
        <w:spacing w:after="0" w:line="149" w:lineRule="exact"/>
        <w:rPr>
          <w:rFonts w:ascii="Arial" w:cs="Arial" w:eastAsia="Arial" w:hAnsi="Arial"/>
          <w:sz w:val="20"/>
          <w:szCs w:val="20"/>
          <w:b w:val="1"/>
          <w:bCs w:val="1"/>
          <w:color w:val="auto"/>
        </w:rPr>
      </w:pPr>
    </w:p>
    <w:p>
      <w:pPr>
        <w:ind w:left="20" w:right="20" w:firstLine="1952"/>
        <w:spacing w:after="0" w:line="238" w:lineRule="auto"/>
        <w:tabs>
          <w:tab w:leader="none" w:pos="2592" w:val="left"/>
        </w:tabs>
        <w:numPr>
          <w:ilvl w:val="2"/>
          <w:numId w:val="72"/>
        </w:numPr>
        <w:rPr>
          <w:rFonts w:ascii="Arial" w:cs="Arial" w:eastAsia="Arial" w:hAnsi="Arial"/>
          <w:sz w:val="22"/>
          <w:szCs w:val="22"/>
          <w:b w:val="1"/>
          <w:bCs w:val="1"/>
          <w:color w:val="auto"/>
        </w:rPr>
      </w:pPr>
      <w:r>
        <w:rPr>
          <w:rFonts w:ascii="Arial" w:cs="Arial" w:eastAsia="Arial" w:hAnsi="Arial"/>
          <w:sz w:val="20"/>
          <w:szCs w:val="20"/>
          <w:color w:val="auto"/>
        </w:rPr>
        <w:t>top line data and a copy of all Clinical Study Reports (CSRs) for the Combined Therapy Clinical Trials, in each case, as and promptly after being received by Olema’s clinical management;</w:t>
      </w:r>
    </w:p>
    <w:p>
      <w:pPr>
        <w:spacing w:after="0" w:line="182" w:lineRule="exact"/>
        <w:rPr>
          <w:rFonts w:ascii="Arial" w:cs="Arial" w:eastAsia="Arial" w:hAnsi="Arial"/>
          <w:sz w:val="22"/>
          <w:szCs w:val="22"/>
          <w:b w:val="1"/>
          <w:bCs w:val="1"/>
          <w:color w:val="auto"/>
        </w:rPr>
      </w:pPr>
    </w:p>
    <w:p>
      <w:pPr>
        <w:jc w:val="both"/>
        <w:ind w:left="100" w:firstLine="1872"/>
        <w:spacing w:after="0" w:line="267" w:lineRule="auto"/>
        <w:tabs>
          <w:tab w:leader="none" w:pos="2610" w:val="left"/>
        </w:tabs>
        <w:numPr>
          <w:ilvl w:val="2"/>
          <w:numId w:val="72"/>
        </w:numPr>
        <w:rPr>
          <w:rFonts w:ascii="Arial" w:cs="Arial" w:eastAsia="Arial" w:hAnsi="Arial"/>
          <w:sz w:val="19"/>
          <w:szCs w:val="19"/>
          <w:b w:val="1"/>
          <w:bCs w:val="1"/>
          <w:color w:val="auto"/>
        </w:rPr>
      </w:pPr>
      <w:r>
        <w:rPr>
          <w:rFonts w:ascii="Arial" w:cs="Arial" w:eastAsia="Arial" w:hAnsi="Arial"/>
          <w:sz w:val="18"/>
          <w:szCs w:val="18"/>
          <w:color w:val="auto"/>
        </w:rPr>
        <w:t>if requested by Novartis, sharing with Novartis for review and comment clinical summaries and/or final clinical trial report (and/or statistical analysis in accordance with the applicable Protocol) from the applicable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20"/>
          <w:szCs w:val="20"/>
          <w:color w:val="auto"/>
        </w:rPr>
        <w:t>Combined Therapy Clinical Trial;</w:t>
      </w:r>
    </w:p>
    <w:p>
      <w:pPr>
        <w:spacing w:after="0" w:line="173" w:lineRule="exact"/>
        <w:rPr>
          <w:sz w:val="20"/>
          <w:szCs w:val="20"/>
          <w:color w:val="auto"/>
        </w:rPr>
      </w:pPr>
    </w:p>
    <w:p>
      <w:pPr>
        <w:jc w:val="both"/>
        <w:ind w:left="20" w:firstLine="1952"/>
        <w:spacing w:after="0" w:line="238" w:lineRule="auto"/>
        <w:tabs>
          <w:tab w:leader="none" w:pos="2592" w:val="left"/>
        </w:tabs>
        <w:numPr>
          <w:ilvl w:val="1"/>
          <w:numId w:val="73"/>
        </w:numPr>
        <w:rPr>
          <w:rFonts w:ascii="Arial" w:cs="Arial" w:eastAsia="Arial" w:hAnsi="Arial"/>
          <w:sz w:val="22"/>
          <w:szCs w:val="22"/>
          <w:b w:val="1"/>
          <w:bCs w:val="1"/>
          <w:color w:val="auto"/>
        </w:rPr>
      </w:pPr>
      <w:r>
        <w:rPr>
          <w:rFonts w:ascii="Arial" w:cs="Arial" w:eastAsia="Arial" w:hAnsi="Arial"/>
          <w:sz w:val="20"/>
          <w:szCs w:val="20"/>
          <w:color w:val="auto"/>
        </w:rPr>
        <w:t xml:space="preserve">if requested by Novartis, within </w:t>
      </w:r>
      <w:r>
        <w:rPr>
          <w:rFonts w:ascii="Arial" w:cs="Arial" w:eastAsia="Arial" w:hAnsi="Arial"/>
          <w:sz w:val="17"/>
          <w:szCs w:val="17"/>
          <w:color w:val="auto"/>
        </w:rPr>
        <w:t>[***]</w:t>
      </w:r>
      <w:r>
        <w:rPr>
          <w:rFonts w:ascii="Arial" w:cs="Arial" w:eastAsia="Arial" w:hAnsi="Arial"/>
          <w:sz w:val="20"/>
          <w:szCs w:val="20"/>
          <w:color w:val="auto"/>
        </w:rPr>
        <w:t>, access to those safety databases that will be used for any interim review by an external consultant (or drug safety monitoring board, if required) for the applicable Combined Therapy Clinical Trial;</w:t>
      </w:r>
    </w:p>
    <w:p>
      <w:pPr>
        <w:spacing w:after="0" w:line="170" w:lineRule="exact"/>
        <w:rPr>
          <w:rFonts w:ascii="Arial" w:cs="Arial" w:eastAsia="Arial" w:hAnsi="Arial"/>
          <w:sz w:val="22"/>
          <w:szCs w:val="22"/>
          <w:b w:val="1"/>
          <w:bCs w:val="1"/>
          <w:color w:val="auto"/>
        </w:rPr>
      </w:pPr>
    </w:p>
    <w:p>
      <w:pPr>
        <w:ind w:left="20" w:firstLine="1952"/>
        <w:spacing w:after="0" w:line="238" w:lineRule="auto"/>
        <w:tabs>
          <w:tab w:leader="none" w:pos="2592" w:val="left"/>
        </w:tabs>
        <w:numPr>
          <w:ilvl w:val="1"/>
          <w:numId w:val="73"/>
        </w:numPr>
        <w:rPr>
          <w:rFonts w:ascii="Arial" w:cs="Arial" w:eastAsia="Arial" w:hAnsi="Arial"/>
          <w:sz w:val="22"/>
          <w:szCs w:val="22"/>
          <w:b w:val="1"/>
          <w:bCs w:val="1"/>
          <w:color w:val="auto"/>
        </w:rPr>
      </w:pPr>
      <w:r>
        <w:rPr>
          <w:rFonts w:ascii="Arial" w:cs="Arial" w:eastAsia="Arial" w:hAnsi="Arial"/>
          <w:sz w:val="20"/>
          <w:szCs w:val="20"/>
          <w:color w:val="auto"/>
        </w:rPr>
        <w:t xml:space="preserve">if requested by Novartis, </w:t>
      </w:r>
      <w:r>
        <w:rPr>
          <w:rFonts w:ascii="Arial" w:cs="Arial" w:eastAsia="Arial" w:hAnsi="Arial"/>
          <w:sz w:val="17"/>
          <w:szCs w:val="17"/>
          <w:color w:val="auto"/>
        </w:rPr>
        <w:t>[***]</w:t>
      </w:r>
      <w:r>
        <w:rPr>
          <w:rFonts w:ascii="Arial" w:cs="Arial" w:eastAsia="Arial" w:hAnsi="Arial"/>
          <w:sz w:val="20"/>
          <w:szCs w:val="20"/>
          <w:color w:val="auto"/>
        </w:rPr>
        <w:t>, access to case report forms or patient profiles for all patients in the applicable Combined Therapy Clinical Trial;</w:t>
      </w:r>
    </w:p>
    <w:p>
      <w:pPr>
        <w:spacing w:after="0" w:line="182" w:lineRule="exact"/>
        <w:rPr>
          <w:rFonts w:ascii="Arial" w:cs="Arial" w:eastAsia="Arial" w:hAnsi="Arial"/>
          <w:sz w:val="22"/>
          <w:szCs w:val="22"/>
          <w:b w:val="1"/>
          <w:bCs w:val="1"/>
          <w:color w:val="auto"/>
        </w:rPr>
      </w:pPr>
    </w:p>
    <w:p>
      <w:pPr>
        <w:ind w:left="20" w:firstLine="1952"/>
        <w:spacing w:after="0" w:line="238" w:lineRule="auto"/>
        <w:tabs>
          <w:tab w:leader="none" w:pos="2592" w:val="left"/>
        </w:tabs>
        <w:numPr>
          <w:ilvl w:val="1"/>
          <w:numId w:val="73"/>
        </w:numPr>
        <w:rPr>
          <w:rFonts w:ascii="Arial" w:cs="Arial" w:eastAsia="Arial" w:hAnsi="Arial"/>
          <w:sz w:val="22"/>
          <w:szCs w:val="22"/>
          <w:b w:val="1"/>
          <w:bCs w:val="1"/>
          <w:color w:val="auto"/>
        </w:rPr>
      </w:pPr>
      <w:r>
        <w:rPr>
          <w:rFonts w:ascii="Arial" w:cs="Arial" w:eastAsia="Arial" w:hAnsi="Arial"/>
          <w:sz w:val="20"/>
          <w:szCs w:val="20"/>
          <w:color w:val="auto"/>
        </w:rPr>
        <w:t xml:space="preserve">if requested by Novartis, within </w:t>
      </w:r>
      <w:r>
        <w:rPr>
          <w:rFonts w:ascii="Arial" w:cs="Arial" w:eastAsia="Arial" w:hAnsi="Arial"/>
          <w:sz w:val="17"/>
          <w:szCs w:val="17"/>
          <w:color w:val="auto"/>
        </w:rPr>
        <w:t>[***]</w:t>
      </w:r>
      <w:r>
        <w:rPr>
          <w:rFonts w:ascii="Arial" w:cs="Arial" w:eastAsia="Arial" w:hAnsi="Arial"/>
          <w:sz w:val="20"/>
          <w:szCs w:val="20"/>
          <w:color w:val="auto"/>
        </w:rPr>
        <w:t>, an electronic copy of the clean database (the form and format of the clean database to be reasonably acceptable to both Parties);</w:t>
      </w:r>
    </w:p>
    <w:p>
      <w:pPr>
        <w:spacing w:after="0" w:line="169" w:lineRule="exact"/>
        <w:rPr>
          <w:rFonts w:ascii="Arial" w:cs="Arial" w:eastAsia="Arial" w:hAnsi="Arial"/>
          <w:sz w:val="22"/>
          <w:szCs w:val="22"/>
          <w:b w:val="1"/>
          <w:bCs w:val="1"/>
          <w:color w:val="auto"/>
        </w:rPr>
      </w:pPr>
    </w:p>
    <w:p>
      <w:pPr>
        <w:ind w:left="20" w:right="20" w:firstLine="1952"/>
        <w:spacing w:after="0" w:line="303" w:lineRule="auto"/>
        <w:tabs>
          <w:tab w:leader="none" w:pos="2592" w:val="left"/>
        </w:tabs>
        <w:numPr>
          <w:ilvl w:val="1"/>
          <w:numId w:val="73"/>
        </w:numPr>
        <w:rPr>
          <w:rFonts w:ascii="Arial" w:cs="Arial" w:eastAsia="Arial" w:hAnsi="Arial"/>
          <w:sz w:val="19"/>
          <w:szCs w:val="19"/>
          <w:b w:val="1"/>
          <w:bCs w:val="1"/>
          <w:color w:val="auto"/>
        </w:rPr>
      </w:pPr>
      <w:r>
        <w:rPr>
          <w:rFonts w:ascii="Arial" w:cs="Arial" w:eastAsia="Arial" w:hAnsi="Arial"/>
          <w:sz w:val="18"/>
          <w:szCs w:val="18"/>
          <w:color w:val="auto"/>
        </w:rPr>
        <w:t>if requested by Novartis, subject to any third party requirements, providing Novartis with any programs or SAS codes to be used for any statistical analysis plan for the Combined Therapy Clinical Trials; and</w:t>
      </w:r>
    </w:p>
    <w:p>
      <w:pPr>
        <w:spacing w:after="0" w:line="110" w:lineRule="exact"/>
        <w:rPr>
          <w:rFonts w:ascii="Arial" w:cs="Arial" w:eastAsia="Arial" w:hAnsi="Arial"/>
          <w:sz w:val="19"/>
          <w:szCs w:val="19"/>
          <w:b w:val="1"/>
          <w:bCs w:val="1"/>
          <w:color w:val="auto"/>
        </w:rPr>
      </w:pPr>
    </w:p>
    <w:p>
      <w:pPr>
        <w:jc w:val="both"/>
        <w:ind w:left="20" w:firstLine="1952"/>
        <w:spacing w:after="0" w:line="239" w:lineRule="auto"/>
        <w:tabs>
          <w:tab w:leader="none" w:pos="2592" w:val="left"/>
        </w:tabs>
        <w:numPr>
          <w:ilvl w:val="1"/>
          <w:numId w:val="73"/>
        </w:numPr>
        <w:rPr>
          <w:rFonts w:ascii="Arial" w:cs="Arial" w:eastAsia="Arial" w:hAnsi="Arial"/>
          <w:sz w:val="22"/>
          <w:szCs w:val="22"/>
          <w:b w:val="1"/>
          <w:bCs w:val="1"/>
          <w:color w:val="auto"/>
        </w:rPr>
      </w:pPr>
      <w:r>
        <w:rPr>
          <w:rFonts w:ascii="Arial" w:cs="Arial" w:eastAsia="Arial" w:hAnsi="Arial"/>
          <w:sz w:val="20"/>
          <w:szCs w:val="20"/>
          <w:color w:val="auto"/>
        </w:rPr>
        <w:t>(A) safety analyses, (B) new and/or changing Safety Signals and Safety Issues, (C) new and/or changing toxicology and efficacy signals, and (D) any statistical analysis, immunogenicity analysis, or bioanalysis, in each case relating to the Novartis Study Drugs, the Novartis Alpelisib Metabolite, Olema Study Drug and/or the Combined Therapy, arising from or in connection with the conduct of the Combined Therapy Clinical Trials, as and when the same are received by Olema;</w:t>
      </w:r>
    </w:p>
    <w:p>
      <w:pPr>
        <w:spacing w:after="0" w:line="168" w:lineRule="exact"/>
        <w:rPr>
          <w:rFonts w:ascii="Arial" w:cs="Arial" w:eastAsia="Arial" w:hAnsi="Arial"/>
          <w:sz w:val="22"/>
          <w:szCs w:val="22"/>
          <w:b w:val="1"/>
          <w:bCs w:val="1"/>
          <w:color w:val="auto"/>
        </w:rPr>
      </w:pPr>
    </w:p>
    <w:p>
      <w:pPr>
        <w:ind w:firstLine="1304"/>
        <w:spacing w:after="0" w:line="260" w:lineRule="auto"/>
        <w:tabs>
          <w:tab w:leader="none" w:pos="2005" w:val="left"/>
        </w:tabs>
        <w:numPr>
          <w:ilvl w:val="0"/>
          <w:numId w:val="74"/>
        </w:numPr>
        <w:rPr>
          <w:rFonts w:ascii="Arial" w:cs="Arial" w:eastAsia="Arial" w:hAnsi="Arial"/>
          <w:sz w:val="20"/>
          <w:szCs w:val="20"/>
          <w:b w:val="1"/>
          <w:bCs w:val="1"/>
          <w:color w:val="auto"/>
        </w:rPr>
      </w:pPr>
      <w:r>
        <w:rPr>
          <w:rFonts w:ascii="Arial" w:cs="Arial" w:eastAsia="Arial" w:hAnsi="Arial"/>
          <w:sz w:val="20"/>
          <w:szCs w:val="20"/>
          <w:color w:val="auto"/>
        </w:rPr>
        <w:t>obtaining supplies of any co-medications, to the extent any such co-medications are required for use in the Combined Therapy Clinical Trials, and providing to Novartis any information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 xml:space="preserve">related to the Combined Therapy Clinical Trials that is provided to the manufacturer of any co-medication within </w:t>
      </w:r>
      <w:r>
        <w:rPr>
          <w:rFonts w:ascii="Arial" w:cs="Arial" w:eastAsia="Arial" w:hAnsi="Arial"/>
          <w:sz w:val="16"/>
          <w:szCs w:val="16"/>
          <w:color w:val="auto"/>
        </w:rPr>
        <w:t>[***]</w:t>
      </w:r>
      <w:r>
        <w:rPr>
          <w:rFonts w:ascii="Arial" w:cs="Arial" w:eastAsia="Arial" w:hAnsi="Arial"/>
          <w:sz w:val="19"/>
          <w:szCs w:val="19"/>
          <w:color w:val="auto"/>
        </w:rPr>
        <w:t>;</w:t>
      </w:r>
    </w:p>
    <w:p>
      <w:pPr>
        <w:spacing w:after="0" w:line="187" w:lineRule="exact"/>
        <w:rPr>
          <w:sz w:val="20"/>
          <w:szCs w:val="20"/>
          <w:color w:val="auto"/>
        </w:rPr>
      </w:pPr>
    </w:p>
    <w:p>
      <w:pPr>
        <w:ind w:firstLine="1304"/>
        <w:spacing w:after="0" w:line="287" w:lineRule="auto"/>
        <w:tabs>
          <w:tab w:leader="none" w:pos="2005"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if requested by Novartis, providing information regarding the pharmacokinetics, efficacy and safety of Olema Study Drug in combination with the Novartis Study Drugs in the Combined Therapy Clinical Trials;</w:t>
      </w:r>
    </w:p>
    <w:p>
      <w:pPr>
        <w:spacing w:after="0" w:line="125" w:lineRule="exact"/>
        <w:rPr>
          <w:rFonts w:ascii="Arial" w:cs="Arial" w:eastAsia="Arial" w:hAnsi="Arial"/>
          <w:sz w:val="19"/>
          <w:szCs w:val="19"/>
          <w:b w:val="1"/>
          <w:bCs w:val="1"/>
          <w:color w:val="auto"/>
        </w:rPr>
      </w:pPr>
    </w:p>
    <w:p>
      <w:pPr>
        <w:ind w:left="2020" w:hanging="716"/>
        <w:spacing w:after="0"/>
        <w:tabs>
          <w:tab w:leader="none" w:pos="202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performing either directly or through third parties collection of Samples required by the applicable</w:t>
      </w:r>
    </w:p>
    <w:p>
      <w:pPr>
        <w:spacing w:after="0" w:line="38"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20"/>
          <w:szCs w:val="20"/>
          <w:color w:val="auto"/>
        </w:rPr>
        <w:t>Protocol;</w:t>
      </w:r>
    </w:p>
    <w:p>
      <w:pPr>
        <w:spacing w:after="0" w:line="159" w:lineRule="exact"/>
        <w:rPr>
          <w:rFonts w:ascii="Arial" w:cs="Arial" w:eastAsia="Arial" w:hAnsi="Arial"/>
          <w:sz w:val="18"/>
          <w:szCs w:val="18"/>
          <w:b w:val="1"/>
          <w:bCs w:val="1"/>
          <w:color w:val="auto"/>
        </w:rPr>
      </w:pPr>
    </w:p>
    <w:p>
      <w:pPr>
        <w:ind w:left="2020" w:hanging="716"/>
        <w:spacing w:after="0"/>
        <w:tabs>
          <w:tab w:leader="none" w:pos="2020" w:val="left"/>
        </w:tabs>
        <w:numPr>
          <w:ilvl w:val="0"/>
          <w:numId w:val="75"/>
        </w:numPr>
        <w:rPr>
          <w:rFonts w:ascii="Arial" w:cs="Arial" w:eastAsia="Arial" w:hAnsi="Arial"/>
          <w:sz w:val="19"/>
          <w:szCs w:val="19"/>
          <w:b w:val="1"/>
          <w:bCs w:val="1"/>
          <w:color w:val="auto"/>
        </w:rPr>
      </w:pPr>
      <w:r>
        <w:rPr>
          <w:rFonts w:ascii="Arial" w:cs="Arial" w:eastAsia="Arial" w:hAnsi="Arial"/>
          <w:sz w:val="19"/>
          <w:szCs w:val="19"/>
          <w:color w:val="auto"/>
        </w:rPr>
        <w:t>handling and addressing inquiries from the Combined Therapy Clinical Trials subjects and</w:t>
      </w:r>
    </w:p>
    <w:p>
      <w:pPr>
        <w:spacing w:after="0" w:line="27"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0"/>
          <w:szCs w:val="20"/>
          <w:color w:val="auto"/>
        </w:rPr>
        <w:t>investigators; and</w:t>
      </w:r>
    </w:p>
    <w:p>
      <w:pPr>
        <w:spacing w:after="0" w:line="159" w:lineRule="exact"/>
        <w:rPr>
          <w:rFonts w:ascii="Arial" w:cs="Arial" w:eastAsia="Arial" w:hAnsi="Arial"/>
          <w:sz w:val="19"/>
          <w:szCs w:val="19"/>
          <w:b w:val="1"/>
          <w:bCs w:val="1"/>
          <w:color w:val="auto"/>
        </w:rPr>
      </w:pPr>
    </w:p>
    <w:p>
      <w:pPr>
        <w:ind w:left="2020" w:hanging="716"/>
        <w:spacing w:after="0"/>
        <w:tabs>
          <w:tab w:leader="none" w:pos="2020" w:val="left"/>
        </w:tabs>
        <w:numPr>
          <w:ilvl w:val="0"/>
          <w:numId w:val="75"/>
        </w:numPr>
        <w:rPr>
          <w:rFonts w:ascii="Arial" w:cs="Arial" w:eastAsia="Arial" w:hAnsi="Arial"/>
          <w:sz w:val="20"/>
          <w:szCs w:val="20"/>
          <w:b w:val="1"/>
          <w:bCs w:val="1"/>
          <w:color w:val="auto"/>
        </w:rPr>
      </w:pPr>
      <w:r>
        <w:rPr>
          <w:rFonts w:ascii="Arial" w:cs="Arial" w:eastAsia="Arial" w:hAnsi="Arial"/>
          <w:sz w:val="20"/>
          <w:szCs w:val="20"/>
          <w:color w:val="auto"/>
        </w:rPr>
        <w:t>such other responsibilities as may be agreed to in writing by the Parties.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5.2</w:t>
      </w:r>
      <w:r>
        <w:rPr>
          <w:sz w:val="20"/>
          <w:szCs w:val="20"/>
          <w:color w:val="auto"/>
        </w:rPr>
        <w:tab/>
      </w:r>
      <w:r>
        <w:rPr>
          <w:rFonts w:ascii="Arial" w:cs="Arial" w:eastAsia="Arial" w:hAnsi="Arial"/>
          <w:sz w:val="18"/>
          <w:szCs w:val="18"/>
          <w:b w:val="1"/>
          <w:bCs w:val="1"/>
          <w:color w:val="auto"/>
        </w:rPr>
        <w:t xml:space="preserve">Novartis Operational Responsibilities. </w:t>
      </w:r>
      <w:r>
        <w:rPr>
          <w:rFonts w:ascii="Arial" w:cs="Arial" w:eastAsia="Arial" w:hAnsi="Arial"/>
          <w:sz w:val="18"/>
          <w:szCs w:val="18"/>
          <w:color w:val="auto"/>
        </w:rPr>
        <w:t>Novartis shall be responsible for the following activities:</w:t>
      </w:r>
    </w:p>
    <w:p>
      <w:pPr>
        <w:spacing w:after="0" w:line="181" w:lineRule="exact"/>
        <w:rPr>
          <w:sz w:val="20"/>
          <w:szCs w:val="20"/>
          <w:color w:val="auto"/>
        </w:rPr>
      </w:pPr>
    </w:p>
    <w:p>
      <w:pPr>
        <w:jc w:val="both"/>
        <w:ind w:firstLine="1304"/>
        <w:spacing w:after="0" w:line="244" w:lineRule="auto"/>
        <w:tabs>
          <w:tab w:leader="none" w:pos="194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Manufacturing and supplying GMP-grade quantities of the Novartis Study Drugs, as further described in Article 4 above, subject to and in accordance with the Development Plan and applicable Protocol, and, where and to the extent provided in the Quality Documentation, providing GMP information and documentation that is reasonably needed by Olema Qualified Person (as such term will be defined in the Quality Documentation) to release Novartis Study Drugs for the Combined Therapy Clinical Trials;</w:t>
      </w:r>
    </w:p>
    <w:p>
      <w:pPr>
        <w:spacing w:after="0" w:line="153" w:lineRule="exact"/>
        <w:rPr>
          <w:rFonts w:ascii="Arial" w:cs="Arial" w:eastAsia="Arial" w:hAnsi="Arial"/>
          <w:sz w:val="20"/>
          <w:szCs w:val="20"/>
          <w:b w:val="1"/>
          <w:bCs w:val="1"/>
          <w:color w:val="auto"/>
        </w:rPr>
      </w:pPr>
    </w:p>
    <w:p>
      <w:pPr>
        <w:jc w:val="both"/>
        <w:ind w:firstLine="1304"/>
        <w:spacing w:after="0" w:line="250" w:lineRule="auto"/>
        <w:tabs>
          <w:tab w:leader="none" w:pos="194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where and to the extent provided in the Quality Documentation, providing for the release by a Novartis Qualified Person or providing the necessary documentation in support of such quality release, of the Novartis Study Drugs if such release is required for the Combined Therapy Clinical Trials;</w:t>
      </w:r>
    </w:p>
    <w:p>
      <w:pPr>
        <w:spacing w:after="0" w:line="158" w:lineRule="exact"/>
        <w:rPr>
          <w:rFonts w:ascii="Arial" w:cs="Arial" w:eastAsia="Arial" w:hAnsi="Arial"/>
          <w:sz w:val="20"/>
          <w:szCs w:val="20"/>
          <w:b w:val="1"/>
          <w:bCs w:val="1"/>
          <w:color w:val="auto"/>
        </w:rPr>
      </w:pPr>
    </w:p>
    <w:p>
      <w:pPr>
        <w:jc w:val="both"/>
        <w:ind w:firstLine="1304"/>
        <w:spacing w:after="0" w:line="250" w:lineRule="auto"/>
        <w:tabs>
          <w:tab w:leader="none" w:pos="194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to the extent reasonably needed for the conduct of the Combined Therapy Clinical Trials, providing a Right of Cross-Reference to the relevant Regulatory Documentation for the Novartis Study Drugs as set forth in Section 2.1(c) and (e), and Section 3.1;</w:t>
      </w:r>
    </w:p>
    <w:p>
      <w:pPr>
        <w:spacing w:after="0" w:line="145" w:lineRule="exact"/>
        <w:rPr>
          <w:rFonts w:ascii="Arial" w:cs="Arial" w:eastAsia="Arial" w:hAnsi="Arial"/>
          <w:sz w:val="20"/>
          <w:szCs w:val="20"/>
          <w:b w:val="1"/>
          <w:bCs w:val="1"/>
          <w:color w:val="auto"/>
        </w:rPr>
      </w:pPr>
    </w:p>
    <w:p>
      <w:pPr>
        <w:ind w:firstLine="1304"/>
        <w:spacing w:after="0" w:line="260" w:lineRule="auto"/>
        <w:tabs>
          <w:tab w:leader="none" w:pos="1944"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conducting such study-related activities as are assigned to Novartis in the Development Plan and for collaborating with Olema in such study activities; and</w:t>
      </w:r>
    </w:p>
    <w:p>
      <w:pPr>
        <w:spacing w:after="0" w:line="136" w:lineRule="exact"/>
        <w:rPr>
          <w:rFonts w:ascii="Arial" w:cs="Arial" w:eastAsia="Arial" w:hAnsi="Arial"/>
          <w:sz w:val="20"/>
          <w:szCs w:val="20"/>
          <w:b w:val="1"/>
          <w:bCs w:val="1"/>
          <w:color w:val="auto"/>
        </w:rPr>
      </w:pPr>
    </w:p>
    <w:p>
      <w:pPr>
        <w:ind w:left="1960" w:hanging="656"/>
        <w:spacing w:after="0"/>
        <w:tabs>
          <w:tab w:leader="none" w:pos="1960" w:val="left"/>
        </w:tabs>
        <w:numPr>
          <w:ilvl w:val="0"/>
          <w:numId w:val="76"/>
        </w:numPr>
        <w:rPr>
          <w:rFonts w:ascii="Arial" w:cs="Arial" w:eastAsia="Arial" w:hAnsi="Arial"/>
          <w:sz w:val="20"/>
          <w:szCs w:val="20"/>
          <w:b w:val="1"/>
          <w:bCs w:val="1"/>
          <w:color w:val="auto"/>
        </w:rPr>
      </w:pPr>
      <w:r>
        <w:rPr>
          <w:rFonts w:ascii="Arial" w:cs="Arial" w:eastAsia="Arial" w:hAnsi="Arial"/>
          <w:sz w:val="20"/>
          <w:szCs w:val="20"/>
          <w:color w:val="auto"/>
        </w:rPr>
        <w:t>such other responsibilities as may be agreed to in writing by the Parties.</w:t>
      </w:r>
    </w:p>
    <w:p>
      <w:pPr>
        <w:spacing w:after="0" w:line="18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b w:val="1"/>
          <w:bCs w:val="1"/>
          <w:color w:val="auto"/>
        </w:rPr>
        <w:t xml:space="preserve">5.3 Development Costs. </w:t>
      </w:r>
      <w:r>
        <w:rPr>
          <w:rFonts w:ascii="Arial" w:cs="Arial" w:eastAsia="Arial" w:hAnsi="Arial"/>
          <w:sz w:val="18"/>
          <w:szCs w:val="18"/>
          <w:color w:val="auto"/>
        </w:rPr>
        <w:t>Expenses incurred as described in Sections 4.1 and 4.2 (regarding manufacture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supply) and Article 6 (regarding intellectual property) shall be borne or shared by the Parties as provided in such respective Articles. Novartis will reimburse Olema for Direct Outside Costs it incurs related to conducting the activities under the Development Plan in conducting the Combined Therapy Clinical Trials. Novartis shall make a total payment of not to exceed USD$</w:t>
      </w:r>
      <w:r>
        <w:rPr>
          <w:rFonts w:ascii="Arial" w:cs="Arial" w:eastAsia="Arial" w:hAnsi="Arial"/>
          <w:sz w:val="15"/>
          <w:szCs w:val="15"/>
          <w:color w:val="auto"/>
        </w:rPr>
        <w:t>[***]</w:t>
      </w:r>
      <w:r>
        <w:rPr>
          <w:rFonts w:ascii="Arial" w:cs="Arial" w:eastAsia="Arial" w:hAnsi="Arial"/>
          <w:sz w:val="18"/>
          <w:szCs w:val="18"/>
          <w:color w:val="auto"/>
        </w:rPr>
        <w:t xml:space="preserve"> USD) as set forth in the Budget. All payments shall be made against invoices, which will be issued by Olema in the form set forth in Appendix C (an “Invoice”). Within </w:t>
      </w:r>
      <w:r>
        <w:rPr>
          <w:rFonts w:ascii="Arial" w:cs="Arial" w:eastAsia="Arial" w:hAnsi="Arial"/>
          <w:sz w:val="15"/>
          <w:szCs w:val="15"/>
          <w:color w:val="auto"/>
        </w:rPr>
        <w:t>[***]</w:t>
      </w:r>
      <w:r>
        <w:rPr>
          <w:rFonts w:ascii="Arial" w:cs="Arial" w:eastAsia="Arial" w:hAnsi="Arial"/>
          <w:sz w:val="18"/>
          <w:szCs w:val="18"/>
          <w:color w:val="auto"/>
        </w:rPr>
        <w:t xml:space="preserve"> after the end of each Quarter during the Term, Olema will prepare a detailed accounting of the total Direct Costs incurred during such Quarter and shall send a copy of such accounting to Novartis. The Parties shall jointly determine (within </w:t>
      </w:r>
      <w:r>
        <w:rPr>
          <w:rFonts w:ascii="Arial" w:cs="Arial" w:eastAsia="Arial" w:hAnsi="Arial"/>
          <w:sz w:val="15"/>
          <w:szCs w:val="15"/>
          <w:color w:val="auto"/>
        </w:rPr>
        <w:t>[***]</w:t>
      </w:r>
      <w:r>
        <w:rPr>
          <w:rFonts w:ascii="Arial" w:cs="Arial" w:eastAsia="Arial" w:hAnsi="Arial"/>
          <w:sz w:val="18"/>
          <w:szCs w:val="18"/>
          <w:color w:val="auto"/>
        </w:rPr>
        <w:t xml:space="preserve"> thereafter) the appropriate reimbursement from Novartis so that the total Direct Costs for the Quarter in accordance with the Budget are paid by Novartis, and Olema shall issue an Invoice for the agreed-upon amount. All payments shall be made </w:t>
      </w:r>
      <w:r>
        <w:rPr>
          <w:rFonts w:ascii="Arial" w:cs="Arial" w:eastAsia="Arial" w:hAnsi="Arial"/>
          <w:sz w:val="15"/>
          <w:szCs w:val="15"/>
          <w:color w:val="auto"/>
        </w:rPr>
        <w:t>[***]</w:t>
      </w:r>
      <w:r>
        <w:rPr>
          <w:rFonts w:ascii="Arial" w:cs="Arial" w:eastAsia="Arial" w:hAnsi="Arial"/>
          <w:sz w:val="18"/>
          <w:szCs w:val="18"/>
          <w:color w:val="auto"/>
        </w:rPr>
        <w:t xml:space="preserve"> of the relevant Invoices. Olema shall maintain accurate records and book of account relating to this Agreement in accordance with accepted accounting practices to ensure the funds provided by Novartis are spent in accordance with this Agreement. Olema shall make such records and books available to Novartis upon reasonable advance written notice and at Novartis’ expense during Olema’s normal business hours, under conditions of confidentiality, but not more frequent than once each calendar year.</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19" w:name="page120"/>
    <w:bookmarkEnd w:id="119"/>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5.4 Other Clinical Trials. </w:t>
      </w:r>
      <w:r>
        <w:rPr>
          <w:rFonts w:ascii="Arial" w:cs="Arial" w:eastAsia="Arial" w:hAnsi="Arial"/>
          <w:sz w:val="20"/>
          <w:szCs w:val="20"/>
          <w:color w:val="auto"/>
        </w:rPr>
        <w:t>Nothing in this Agreement shall preclude either Party from conducting any other</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 trials as it may determine in its discretion, so long as it does not use or rely on the Confidential Information that is solely owned by the other Party in doing so</w:t>
      </w:r>
      <w:r>
        <w:rPr>
          <w:rFonts w:ascii="Arial" w:cs="Arial" w:eastAsia="Arial" w:hAnsi="Arial"/>
          <w:sz w:val="20"/>
          <w:szCs w:val="20"/>
          <w:b w:val="1"/>
          <w:bCs w:val="1"/>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6</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INTELLECTUAL PROPERTY</w:t>
      </w:r>
    </w:p>
    <w:p>
      <w:pPr>
        <w:spacing w:after="0" w:line="17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6.1 Background Technology. </w:t>
      </w:r>
      <w:r>
        <w:rPr>
          <w:rFonts w:ascii="Arial" w:cs="Arial" w:eastAsia="Arial" w:hAnsi="Arial"/>
          <w:sz w:val="20"/>
          <w:szCs w:val="20"/>
          <w:color w:val="auto"/>
        </w:rPr>
        <w:t>Olema retains and shall retain and reserve all rights in and to all Olema</w:t>
      </w:r>
      <w:r>
        <w:rPr>
          <w:rFonts w:ascii="Arial" w:cs="Arial" w:eastAsia="Arial" w:hAnsi="Arial"/>
          <w:sz w:val="20"/>
          <w:szCs w:val="20"/>
          <w:b w:val="1"/>
          <w:bCs w:val="1"/>
          <w:color w:val="auto"/>
        </w:rPr>
        <w:t xml:space="preserve"> </w:t>
      </w:r>
      <w:r>
        <w:rPr>
          <w:rFonts w:ascii="Arial" w:cs="Arial" w:eastAsia="Arial" w:hAnsi="Arial"/>
          <w:sz w:val="20"/>
          <w:szCs w:val="20"/>
          <w:color w:val="auto"/>
        </w:rPr>
        <w:t>Background Technology and Olema Background Patent Rights, subject only to the limited license rights expressly granted to Novartis in this Agreement. Novartis retains and shall retain and reserve all rights in and to all Novartis Background Technology and Novartis Background Patent Rights, subject only to the limited license rights expressly granted to Novartis in this Agreement.</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6.2</w:t>
      </w:r>
      <w:r>
        <w:rPr>
          <w:sz w:val="20"/>
          <w:szCs w:val="20"/>
          <w:color w:val="auto"/>
        </w:rPr>
        <w:tab/>
      </w:r>
      <w:r>
        <w:rPr>
          <w:rFonts w:ascii="Arial" w:cs="Arial" w:eastAsia="Arial" w:hAnsi="Arial"/>
          <w:sz w:val="18"/>
          <w:szCs w:val="18"/>
          <w:b w:val="1"/>
          <w:bCs w:val="1"/>
          <w:color w:val="auto"/>
        </w:rPr>
        <w:t xml:space="preserve">Inventions and related Patent Rights. </w:t>
      </w:r>
      <w:r>
        <w:rPr>
          <w:rFonts w:ascii="Arial" w:cs="Arial" w:eastAsia="Arial" w:hAnsi="Arial"/>
          <w:sz w:val="18"/>
          <w:szCs w:val="18"/>
          <w:color w:val="auto"/>
        </w:rPr>
        <w:t>All rights to Study Inventions are and shall be allocated as follows:</w:t>
      </w:r>
    </w:p>
    <w:p>
      <w:pPr>
        <w:spacing w:after="0" w:line="189" w:lineRule="exact"/>
        <w:rPr>
          <w:sz w:val="20"/>
          <w:szCs w:val="20"/>
          <w:color w:val="auto"/>
        </w:rPr>
      </w:pPr>
    </w:p>
    <w:p>
      <w:pPr>
        <w:jc w:val="both"/>
        <w:ind w:firstLine="1304"/>
        <w:spacing w:after="0" w:line="242" w:lineRule="auto"/>
        <w:tabs>
          <w:tab w:leader="none" w:pos="1944"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Olema Ownership. </w:t>
      </w:r>
      <w:r>
        <w:rPr>
          <w:rFonts w:ascii="Arial" w:cs="Arial" w:eastAsia="Arial" w:hAnsi="Arial"/>
          <w:sz w:val="20"/>
          <w:szCs w:val="20"/>
          <w:color w:val="auto"/>
        </w:rPr>
        <w:t>Subject to the terms of this Agreement, all Olema Study Inventions (including</w:t>
      </w:r>
      <w:r>
        <w:rPr>
          <w:rFonts w:ascii="Arial" w:cs="Arial" w:eastAsia="Arial" w:hAnsi="Arial"/>
          <w:sz w:val="20"/>
          <w:szCs w:val="20"/>
          <w:b w:val="1"/>
          <w:bCs w:val="1"/>
          <w:color w:val="auto"/>
        </w:rPr>
        <w:t xml:space="preserve"> </w:t>
      </w:r>
      <w:r>
        <w:rPr>
          <w:rFonts w:ascii="Arial" w:cs="Arial" w:eastAsia="Arial" w:hAnsi="Arial"/>
          <w:sz w:val="20"/>
          <w:szCs w:val="20"/>
          <w:color w:val="auto"/>
        </w:rPr>
        <w:t>all IP rights therein) and Olema Study Patent Rights are and shall be owned solely by Olema, and Olema will have the full right to exploit such Olema Study Inventions and Olema Study Patent Rights without the consent of, or any obligation to account to, Novartis. Novartis shall assign and hereby assigns (and shall cause its Affiliates and contractors to assign) the entire rights, title and interests in any Olema Study Inventions (including all IP rights therein) and Olema Study Patent Rights to Olema. Novartis shall execute such further documents and provide other assistance as may be reasonably requested by Olema to perfect Olema’s rights in all such Olema Study Inventions and Olema Study Patent Rights, all at Olema’s expense. Olema shall have the sole right, but not any obligation, to Prosecute and maintain any Olema Study Patent Rights at its own expense.</w:t>
      </w:r>
    </w:p>
    <w:p>
      <w:pPr>
        <w:spacing w:after="0" w:line="153" w:lineRule="exact"/>
        <w:rPr>
          <w:rFonts w:ascii="Arial" w:cs="Arial" w:eastAsia="Arial" w:hAnsi="Arial"/>
          <w:sz w:val="20"/>
          <w:szCs w:val="20"/>
          <w:b w:val="1"/>
          <w:bCs w:val="1"/>
          <w:color w:val="auto"/>
        </w:rPr>
      </w:pPr>
    </w:p>
    <w:p>
      <w:pPr>
        <w:jc w:val="both"/>
        <w:ind w:firstLine="1304"/>
        <w:spacing w:after="0" w:line="271" w:lineRule="auto"/>
        <w:tabs>
          <w:tab w:leader="none" w:pos="2005"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Novartis Ownership. </w:t>
      </w:r>
      <w:r>
        <w:rPr>
          <w:rFonts w:ascii="Arial" w:cs="Arial" w:eastAsia="Arial" w:hAnsi="Arial"/>
          <w:sz w:val="18"/>
          <w:szCs w:val="18"/>
          <w:color w:val="auto"/>
        </w:rPr>
        <w:t>Subject to the terms of this Agreement, all Novartis Study Inventions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all IP rights therein) and Novartis Study Patent Rights are and shall be owned solely by Novartis, and Novartis will have the full right to exploit such Novartis Study Inventions and Novartis Study Patent Rights without the consent of, or any obligation to account to, Olema. Subject to the provisions of Olema’s agreements with Trial Sites pertaining to the Combined Therapy Clinical Trials to the contrary (which agreements Olema hereby represents and warrants will not contain terms materially less preferential to Novartis’ ownership of Novartis Study Inventions and joint ownership of Combined Therapy Inventions than terms therein governing Olema’s ownership of Olema Study Inventions and joint ownership of Combined Therapy Inventions), Olema shall assign and hereby assigns (and shall cause its Affiliates and contractors to assign) all its right, title and interest in any Novartis Study Inventions and Novartis Study Patent Rights to Novartis. Olema shall execute such further documents and provide other assistance as may be reasonably requested by Novartis to perfect Novartis’ rights in such Novartis Study Inventions and Novartis Study Patent Rights, all at Novartis’ expense. Novartis shall have the sole right but not the obligation to Prosecute and maintain any Novartis Study Patent Rights at its own expense.</w:t>
      </w:r>
    </w:p>
    <w:p>
      <w:pPr>
        <w:spacing w:after="0" w:line="124" w:lineRule="exact"/>
        <w:rPr>
          <w:rFonts w:ascii="Arial" w:cs="Arial" w:eastAsia="Arial" w:hAnsi="Arial"/>
          <w:sz w:val="18"/>
          <w:szCs w:val="18"/>
          <w:b w:val="1"/>
          <w:bCs w:val="1"/>
          <w:color w:val="auto"/>
        </w:rPr>
      </w:pPr>
    </w:p>
    <w:p>
      <w:pPr>
        <w:ind w:left="2020" w:hanging="716"/>
        <w:spacing w:after="0"/>
        <w:tabs>
          <w:tab w:leader="none" w:pos="2020" w:val="left"/>
        </w:tabs>
        <w:numPr>
          <w:ilvl w:val="0"/>
          <w:numId w:val="77"/>
        </w:numPr>
        <w:rPr>
          <w:rFonts w:ascii="Arial" w:cs="Arial" w:eastAsia="Arial" w:hAnsi="Arial"/>
          <w:sz w:val="20"/>
          <w:szCs w:val="20"/>
          <w:b w:val="1"/>
          <w:bCs w:val="1"/>
          <w:color w:val="auto"/>
        </w:rPr>
      </w:pPr>
      <w:r>
        <w:rPr>
          <w:rFonts w:ascii="Arial" w:cs="Arial" w:eastAsia="Arial" w:hAnsi="Arial"/>
          <w:sz w:val="20"/>
          <w:szCs w:val="20"/>
          <w:b w:val="1"/>
          <w:bCs w:val="1"/>
          <w:color w:val="auto"/>
        </w:rPr>
        <w:t>Combined Therapy Inventions.</w:t>
      </w:r>
    </w:p>
    <w:p>
      <w:pPr>
        <w:spacing w:after="0" w:line="194" w:lineRule="exact"/>
        <w:rPr>
          <w:rFonts w:ascii="Arial" w:cs="Arial" w:eastAsia="Arial" w:hAnsi="Arial"/>
          <w:sz w:val="20"/>
          <w:szCs w:val="20"/>
          <w:b w:val="1"/>
          <w:bCs w:val="1"/>
          <w:color w:val="auto"/>
        </w:rPr>
      </w:pPr>
    </w:p>
    <w:p>
      <w:pPr>
        <w:jc w:val="both"/>
        <w:ind w:firstLine="1952"/>
        <w:spacing w:after="0" w:line="256" w:lineRule="auto"/>
        <w:tabs>
          <w:tab w:leader="none" w:pos="2916" w:val="left"/>
        </w:tabs>
        <w:numPr>
          <w:ilvl w:val="1"/>
          <w:numId w:val="77"/>
        </w:numPr>
        <w:rPr>
          <w:rFonts w:ascii="Arial" w:cs="Arial" w:eastAsia="Arial" w:hAnsi="Arial"/>
          <w:sz w:val="19"/>
          <w:szCs w:val="19"/>
          <w:b w:val="1"/>
          <w:bCs w:val="1"/>
          <w:color w:val="auto"/>
        </w:rPr>
      </w:pPr>
      <w:r>
        <w:rPr>
          <w:rFonts w:ascii="Arial" w:cs="Arial" w:eastAsia="Arial" w:hAnsi="Arial"/>
          <w:sz w:val="19"/>
          <w:szCs w:val="19"/>
          <w:color w:val="auto"/>
        </w:rPr>
        <w:t>Subject to the provisions of Olema’s agreements with Trial Sites pertaining to the Combined Therapy Clinical Trials to the contrary (which agreements Olema hereby represents and warrants will not contain terms materially less preferential to Novartis’ ownership of Novartis Study Inventions and joint ownership of Combined Therapy Inventions than terms therein governing Olema’s ownership of Olema Study Inventions and joint ownership of Combined Therapy Inventions), all Combined Therapy Inventions (including all IP rights therein) and Combined Therapy Patent Rights shall be jointly owned by the Parties, with each Party having an undivided one-half interest in all Combined Therapy Inventions and Combined Therapy Patent Rights, and each Party shall have the right to freely exploit, in the Territory, the Combined Therapy Inventions and Combined Therapy Patent Rights, both within and outside the scope of this Agreement, without the consent of, or accounting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20" w:name="page121"/>
    <w:bookmarkEnd w:id="120"/>
    <w:p>
      <w:pPr>
        <w:jc w:val="both"/>
        <w:spacing w:after="0" w:line="246" w:lineRule="auto"/>
        <w:rPr>
          <w:sz w:val="20"/>
          <w:szCs w:val="20"/>
          <w:color w:val="auto"/>
        </w:rPr>
      </w:pPr>
      <w:r>
        <w:rPr>
          <w:rFonts w:ascii="Arial" w:cs="Arial" w:eastAsia="Arial" w:hAnsi="Arial"/>
          <w:sz w:val="20"/>
          <w:szCs w:val="20"/>
          <w:color w:val="auto"/>
        </w:rPr>
        <w:t>other obligation to, the other Party (except as expressly set forth in this Section 6.2(c) and Section 6.2(d) with regard to the Prosecution, maintenance and enforcement of Combined Therapy Patent Rights) and each Party may use, exploit and grant licenses (with right to sublicense), for use and exploitation in the Territory, to Third Parties under its interests in such Combined Therapy Inventions and Combined Therapy Patent Rights.</w:t>
      </w:r>
    </w:p>
    <w:p>
      <w:pPr>
        <w:spacing w:after="0" w:line="151" w:lineRule="exact"/>
        <w:rPr>
          <w:sz w:val="20"/>
          <w:szCs w:val="20"/>
          <w:color w:val="auto"/>
        </w:rPr>
      </w:pPr>
    </w:p>
    <w:p>
      <w:pPr>
        <w:jc w:val="both"/>
        <w:ind w:firstLine="1952"/>
        <w:spacing w:after="0" w:line="266" w:lineRule="auto"/>
        <w:tabs>
          <w:tab w:leader="none" w:pos="2916" w:val="left"/>
        </w:tabs>
        <w:numPr>
          <w:ilvl w:val="1"/>
          <w:numId w:val="78"/>
        </w:numPr>
        <w:rPr>
          <w:rFonts w:ascii="Arial" w:cs="Arial" w:eastAsia="Arial" w:hAnsi="Arial"/>
          <w:sz w:val="19"/>
          <w:szCs w:val="19"/>
          <w:b w:val="1"/>
          <w:bCs w:val="1"/>
          <w:color w:val="auto"/>
        </w:rPr>
      </w:pPr>
      <w:r>
        <w:rPr>
          <w:rFonts w:ascii="Arial" w:cs="Arial" w:eastAsia="Arial" w:hAnsi="Arial"/>
          <w:sz w:val="17"/>
          <w:szCs w:val="17"/>
          <w:color w:val="auto"/>
        </w:rPr>
        <w:t>[***]</w:t>
      </w:r>
      <w:r>
        <w:rPr>
          <w:rFonts w:ascii="Arial" w:cs="Arial" w:eastAsia="Arial" w:hAnsi="Arial"/>
          <w:sz w:val="18"/>
          <w:szCs w:val="18"/>
          <w:color w:val="auto"/>
        </w:rPr>
        <w:t>, using outside counsel selected by</w:t>
      </w:r>
      <w:r>
        <w:rPr>
          <w:rFonts w:ascii="Arial" w:cs="Arial" w:eastAsia="Arial" w:hAnsi="Arial"/>
          <w:sz w:val="17"/>
          <w:szCs w:val="17"/>
          <w:color w:val="auto"/>
        </w:rPr>
        <w:t xml:space="preserve"> [***]</w:t>
      </w:r>
      <w:r>
        <w:rPr>
          <w:rFonts w:ascii="Arial" w:cs="Arial" w:eastAsia="Arial" w:hAnsi="Arial"/>
          <w:sz w:val="18"/>
          <w:szCs w:val="18"/>
          <w:color w:val="auto"/>
        </w:rPr>
        <w:t>, shall have the sole rights and</w:t>
      </w:r>
      <w:r>
        <w:rPr>
          <w:rFonts w:ascii="Arial" w:cs="Arial" w:eastAsia="Arial" w:hAnsi="Arial"/>
          <w:sz w:val="17"/>
          <w:szCs w:val="17"/>
          <w:color w:val="auto"/>
        </w:rPr>
        <w:t xml:space="preserve"> </w:t>
      </w:r>
      <w:r>
        <w:rPr>
          <w:rFonts w:ascii="Arial" w:cs="Arial" w:eastAsia="Arial" w:hAnsi="Arial"/>
          <w:sz w:val="18"/>
          <w:szCs w:val="18"/>
          <w:color w:val="auto"/>
        </w:rPr>
        <w:t xml:space="preserve">responsibility (except as otherwise provided below), and at its sole discretion, for Prosecuting patent applications, and maintaining issued Patents, within the Territory that Cover potentially patentable inventions within the Combined Therapy Inventions. </w:t>
      </w:r>
      <w:r>
        <w:rPr>
          <w:rFonts w:ascii="Arial" w:cs="Arial" w:eastAsia="Arial" w:hAnsi="Arial"/>
          <w:sz w:val="16"/>
          <w:szCs w:val="16"/>
          <w:color w:val="auto"/>
        </w:rPr>
        <w:t>[***]</w:t>
      </w:r>
      <w:r>
        <w:rPr>
          <w:rFonts w:ascii="Arial" w:cs="Arial" w:eastAsia="Arial" w:hAnsi="Arial"/>
          <w:sz w:val="18"/>
          <w:szCs w:val="18"/>
          <w:color w:val="auto"/>
        </w:rPr>
        <w:t xml:space="preserve"> shall keep </w:t>
      </w:r>
      <w:r>
        <w:rPr>
          <w:rFonts w:ascii="Arial" w:cs="Arial" w:eastAsia="Arial" w:hAnsi="Arial"/>
          <w:sz w:val="16"/>
          <w:szCs w:val="16"/>
          <w:color w:val="auto"/>
        </w:rPr>
        <w:t>[***]</w:t>
      </w:r>
      <w:r>
        <w:rPr>
          <w:rFonts w:ascii="Arial" w:cs="Arial" w:eastAsia="Arial" w:hAnsi="Arial"/>
          <w:sz w:val="18"/>
          <w:szCs w:val="18"/>
          <w:color w:val="auto"/>
        </w:rPr>
        <w:t xml:space="preserve"> reasonably advised as to material developments and steps to be taken with respect to its Prosecuting any such Patent Rights and shall furnish </w:t>
      </w:r>
      <w:r>
        <w:rPr>
          <w:rFonts w:ascii="Arial" w:cs="Arial" w:eastAsia="Arial" w:hAnsi="Arial"/>
          <w:sz w:val="16"/>
          <w:szCs w:val="16"/>
          <w:color w:val="auto"/>
        </w:rPr>
        <w:t>[***]</w:t>
      </w:r>
      <w:r>
        <w:rPr>
          <w:rFonts w:ascii="Arial" w:cs="Arial" w:eastAsia="Arial" w:hAnsi="Arial"/>
          <w:sz w:val="18"/>
          <w:szCs w:val="18"/>
          <w:color w:val="auto"/>
        </w:rPr>
        <w:t xml:space="preserve"> with copies of applications for such Combined Therapy Patent Rights, amendments thereto and other related material correspondence to and from patent offices, and permit </w:t>
      </w:r>
      <w:r>
        <w:rPr>
          <w:rFonts w:ascii="Arial" w:cs="Arial" w:eastAsia="Arial" w:hAnsi="Arial"/>
          <w:sz w:val="16"/>
          <w:szCs w:val="16"/>
          <w:color w:val="auto"/>
        </w:rPr>
        <w:t>[***]</w:t>
      </w:r>
      <w:r>
        <w:rPr>
          <w:rFonts w:ascii="Arial" w:cs="Arial" w:eastAsia="Arial" w:hAnsi="Arial"/>
          <w:sz w:val="18"/>
          <w:szCs w:val="18"/>
          <w:color w:val="auto"/>
        </w:rPr>
        <w:t xml:space="preserve"> a reasonable opportunity to review and offer comments prior to submitting such applications and material correspondence to the applicable governmental authority (and will take </w:t>
      </w:r>
      <w:r>
        <w:rPr>
          <w:rFonts w:ascii="Arial" w:cs="Arial" w:eastAsia="Arial" w:hAnsi="Arial"/>
          <w:sz w:val="16"/>
          <w:szCs w:val="16"/>
          <w:color w:val="auto"/>
        </w:rPr>
        <w:t>[***]</w:t>
      </w:r>
      <w:r>
        <w:rPr>
          <w:rFonts w:ascii="Arial" w:cs="Arial" w:eastAsia="Arial" w:hAnsi="Arial"/>
          <w:sz w:val="18"/>
          <w:szCs w:val="18"/>
          <w:color w:val="auto"/>
        </w:rPr>
        <w:t xml:space="preserve"> comments into account in preparing same). </w:t>
      </w:r>
      <w:r>
        <w:rPr>
          <w:rFonts w:ascii="Arial" w:cs="Arial" w:eastAsia="Arial" w:hAnsi="Arial"/>
          <w:sz w:val="16"/>
          <w:szCs w:val="16"/>
          <w:color w:val="auto"/>
        </w:rPr>
        <w:t>[***]</w:t>
      </w:r>
      <w:r>
        <w:rPr>
          <w:rFonts w:ascii="Arial" w:cs="Arial" w:eastAsia="Arial" w:hAnsi="Arial"/>
          <w:sz w:val="18"/>
          <w:szCs w:val="18"/>
          <w:color w:val="auto"/>
        </w:rPr>
        <w:t xml:space="preserve"> shall reasonably assist and cooperate in </w:t>
      </w:r>
      <w:r>
        <w:rPr>
          <w:rFonts w:ascii="Arial" w:cs="Arial" w:eastAsia="Arial" w:hAnsi="Arial"/>
          <w:sz w:val="16"/>
          <w:szCs w:val="16"/>
          <w:color w:val="auto"/>
        </w:rPr>
        <w:t>[***]</w:t>
      </w:r>
      <w:r>
        <w:rPr>
          <w:rFonts w:ascii="Arial" w:cs="Arial" w:eastAsia="Arial" w:hAnsi="Arial"/>
          <w:sz w:val="18"/>
          <w:szCs w:val="18"/>
          <w:color w:val="auto"/>
        </w:rPr>
        <w:t xml:space="preserve"> Prosecuting and maintaining the Combined Therapy Patent Rights, including the timely provision of all documents in </w:t>
      </w:r>
      <w:r>
        <w:rPr>
          <w:rFonts w:ascii="Arial" w:cs="Arial" w:eastAsia="Arial" w:hAnsi="Arial"/>
          <w:sz w:val="16"/>
          <w:szCs w:val="16"/>
          <w:color w:val="auto"/>
        </w:rPr>
        <w:t>[***]</w:t>
      </w:r>
      <w:r>
        <w:rPr>
          <w:rFonts w:ascii="Arial" w:cs="Arial" w:eastAsia="Arial" w:hAnsi="Arial"/>
          <w:sz w:val="18"/>
          <w:szCs w:val="18"/>
          <w:color w:val="auto"/>
        </w:rPr>
        <w:t xml:space="preserve"> possession required under national provisions to register said assignment of rights with the corresponding national authorities. Notwithstanding the foregoing, </w:t>
      </w:r>
      <w:r>
        <w:rPr>
          <w:rFonts w:ascii="Arial" w:cs="Arial" w:eastAsia="Arial" w:hAnsi="Arial"/>
          <w:sz w:val="16"/>
          <w:szCs w:val="16"/>
          <w:color w:val="auto"/>
        </w:rPr>
        <w:t>[***]</w:t>
      </w:r>
      <w:r>
        <w:rPr>
          <w:rFonts w:ascii="Arial" w:cs="Arial" w:eastAsia="Arial" w:hAnsi="Arial"/>
          <w:sz w:val="18"/>
          <w:szCs w:val="18"/>
          <w:color w:val="auto"/>
        </w:rPr>
        <w:t xml:space="preserve"> shall not knowingly take any position in a submission to a patent office concerning a patent application for a Combined Therapy Patent Right that interprets the scope of a claim in a </w:t>
      </w:r>
      <w:r>
        <w:rPr>
          <w:rFonts w:ascii="Arial" w:cs="Arial" w:eastAsia="Arial" w:hAnsi="Arial"/>
          <w:sz w:val="16"/>
          <w:szCs w:val="16"/>
          <w:color w:val="auto"/>
        </w:rPr>
        <w:t>[***]</w:t>
      </w:r>
      <w:r>
        <w:rPr>
          <w:rFonts w:ascii="Arial" w:cs="Arial" w:eastAsia="Arial" w:hAnsi="Arial"/>
          <w:sz w:val="18"/>
          <w:szCs w:val="18"/>
          <w:color w:val="auto"/>
        </w:rPr>
        <w:t xml:space="preserve"> Background Patent Right or </w:t>
      </w:r>
      <w:r>
        <w:rPr>
          <w:rFonts w:ascii="Arial" w:cs="Arial" w:eastAsia="Arial" w:hAnsi="Arial"/>
          <w:sz w:val="16"/>
          <w:szCs w:val="16"/>
          <w:color w:val="auto"/>
        </w:rPr>
        <w:t>[***]</w:t>
      </w:r>
      <w:r>
        <w:rPr>
          <w:rFonts w:ascii="Arial" w:cs="Arial" w:eastAsia="Arial" w:hAnsi="Arial"/>
          <w:sz w:val="18"/>
          <w:szCs w:val="18"/>
          <w:color w:val="auto"/>
        </w:rPr>
        <w:t xml:space="preserve"> Study Patent Right without the prior written consent of </w:t>
      </w:r>
      <w:r>
        <w:rPr>
          <w:rFonts w:ascii="Arial" w:cs="Arial" w:eastAsia="Arial" w:hAnsi="Arial"/>
          <w:sz w:val="16"/>
          <w:szCs w:val="16"/>
          <w:color w:val="auto"/>
        </w:rPr>
        <w:t>[***]</w:t>
      </w:r>
      <w:r>
        <w:rPr>
          <w:rFonts w:ascii="Arial" w:cs="Arial" w:eastAsia="Arial" w:hAnsi="Arial"/>
          <w:sz w:val="18"/>
          <w:szCs w:val="18"/>
          <w:color w:val="auto"/>
        </w:rPr>
        <w:t xml:space="preserve">, such consent not to be unreasonably withheld. </w:t>
      </w:r>
      <w:r>
        <w:rPr>
          <w:rFonts w:ascii="Arial" w:cs="Arial" w:eastAsia="Arial" w:hAnsi="Arial"/>
          <w:sz w:val="16"/>
          <w:szCs w:val="16"/>
          <w:color w:val="auto"/>
        </w:rPr>
        <w:t>[***]</w:t>
      </w:r>
      <w:r>
        <w:rPr>
          <w:rFonts w:ascii="Arial" w:cs="Arial" w:eastAsia="Arial" w:hAnsi="Arial"/>
          <w:sz w:val="18"/>
          <w:szCs w:val="18"/>
          <w:color w:val="auto"/>
        </w:rPr>
        <w:t xml:space="preserve"> shall be reimbursed by </w:t>
      </w:r>
      <w:r>
        <w:rPr>
          <w:rFonts w:ascii="Arial" w:cs="Arial" w:eastAsia="Arial" w:hAnsi="Arial"/>
          <w:sz w:val="16"/>
          <w:szCs w:val="16"/>
          <w:color w:val="auto"/>
        </w:rPr>
        <w:t>[***]</w:t>
      </w:r>
      <w:r>
        <w:rPr>
          <w:rFonts w:ascii="Arial" w:cs="Arial" w:eastAsia="Arial" w:hAnsi="Arial"/>
          <w:sz w:val="18"/>
          <w:szCs w:val="18"/>
          <w:color w:val="auto"/>
        </w:rPr>
        <w:t xml:space="preserve"> for </w:t>
      </w:r>
      <w:r>
        <w:rPr>
          <w:rFonts w:ascii="Arial" w:cs="Arial" w:eastAsia="Arial" w:hAnsi="Arial"/>
          <w:sz w:val="16"/>
          <w:szCs w:val="16"/>
          <w:color w:val="auto"/>
        </w:rPr>
        <w:t>[***]</w:t>
      </w:r>
      <w:r>
        <w:rPr>
          <w:rFonts w:ascii="Arial" w:cs="Arial" w:eastAsia="Arial" w:hAnsi="Arial"/>
          <w:sz w:val="18"/>
          <w:szCs w:val="18"/>
          <w:color w:val="auto"/>
        </w:rPr>
        <w:t xml:space="preserve"> of any costs and expenses incurred in Prosecuting Combined Therapy Patent Rights and the subsequent maintenance of Combined Therapy Patent Rights, such that </w:t>
      </w:r>
      <w:r>
        <w:rPr>
          <w:rFonts w:ascii="Arial" w:cs="Arial" w:eastAsia="Arial" w:hAnsi="Arial"/>
          <w:sz w:val="16"/>
          <w:szCs w:val="16"/>
          <w:color w:val="auto"/>
        </w:rPr>
        <w:t>[***]</w:t>
      </w:r>
      <w:r>
        <w:rPr>
          <w:rFonts w:ascii="Arial" w:cs="Arial" w:eastAsia="Arial" w:hAnsi="Arial"/>
          <w:sz w:val="18"/>
          <w:szCs w:val="18"/>
          <w:color w:val="auto"/>
        </w:rPr>
        <w:t xml:space="preserve"> shall be responsible for </w:t>
      </w:r>
      <w:r>
        <w:rPr>
          <w:rFonts w:ascii="Arial" w:cs="Arial" w:eastAsia="Arial" w:hAnsi="Arial"/>
          <w:sz w:val="16"/>
          <w:szCs w:val="16"/>
          <w:color w:val="auto"/>
        </w:rPr>
        <w:t>[***]</w:t>
      </w:r>
      <w:r>
        <w:rPr>
          <w:rFonts w:ascii="Arial" w:cs="Arial" w:eastAsia="Arial" w:hAnsi="Arial"/>
          <w:sz w:val="18"/>
          <w:szCs w:val="18"/>
          <w:color w:val="auto"/>
        </w:rPr>
        <w:t xml:space="preserve"> of all such costs and expenses. From time-to-time, </w:t>
      </w:r>
      <w:r>
        <w:rPr>
          <w:rFonts w:ascii="Arial" w:cs="Arial" w:eastAsia="Arial" w:hAnsi="Arial"/>
          <w:sz w:val="16"/>
          <w:szCs w:val="16"/>
          <w:color w:val="auto"/>
        </w:rPr>
        <w:t>[***]</w:t>
      </w:r>
      <w:r>
        <w:rPr>
          <w:rFonts w:ascii="Arial" w:cs="Arial" w:eastAsia="Arial" w:hAnsi="Arial"/>
          <w:sz w:val="18"/>
          <w:szCs w:val="18"/>
          <w:color w:val="auto"/>
        </w:rPr>
        <w:t xml:space="preserve"> shall invoice </w:t>
      </w:r>
      <w:r>
        <w:rPr>
          <w:rFonts w:ascii="Arial" w:cs="Arial" w:eastAsia="Arial" w:hAnsi="Arial"/>
          <w:sz w:val="16"/>
          <w:szCs w:val="16"/>
          <w:color w:val="auto"/>
        </w:rPr>
        <w:t>[***]</w:t>
      </w:r>
      <w:r>
        <w:rPr>
          <w:rFonts w:ascii="Arial" w:cs="Arial" w:eastAsia="Arial" w:hAnsi="Arial"/>
          <w:sz w:val="18"/>
          <w:szCs w:val="18"/>
          <w:color w:val="auto"/>
        </w:rPr>
        <w:t xml:space="preserve"> for </w:t>
      </w:r>
      <w:r>
        <w:rPr>
          <w:rFonts w:ascii="Arial" w:cs="Arial" w:eastAsia="Arial" w:hAnsi="Arial"/>
          <w:sz w:val="16"/>
          <w:szCs w:val="16"/>
          <w:color w:val="auto"/>
        </w:rPr>
        <w:t>[***]</w:t>
      </w:r>
      <w:r>
        <w:rPr>
          <w:rFonts w:ascii="Arial" w:cs="Arial" w:eastAsia="Arial" w:hAnsi="Arial"/>
          <w:sz w:val="18"/>
          <w:szCs w:val="18"/>
          <w:color w:val="auto"/>
        </w:rPr>
        <w:t xml:space="preserve"> of the amounts of such costs and expenses incurred, and </w:t>
      </w:r>
      <w:r>
        <w:rPr>
          <w:rFonts w:ascii="Arial" w:cs="Arial" w:eastAsia="Arial" w:hAnsi="Arial"/>
          <w:sz w:val="16"/>
          <w:szCs w:val="16"/>
          <w:color w:val="auto"/>
        </w:rPr>
        <w:t>[***]</w:t>
      </w:r>
      <w:r>
        <w:rPr>
          <w:rFonts w:ascii="Arial" w:cs="Arial" w:eastAsia="Arial" w:hAnsi="Arial"/>
          <w:sz w:val="18"/>
          <w:szCs w:val="18"/>
          <w:color w:val="auto"/>
        </w:rPr>
        <w:t xml:space="preserve"> shall pay </w:t>
      </w:r>
      <w:r>
        <w:rPr>
          <w:rFonts w:ascii="Arial" w:cs="Arial" w:eastAsia="Arial" w:hAnsi="Arial"/>
          <w:sz w:val="16"/>
          <w:szCs w:val="16"/>
          <w:color w:val="auto"/>
        </w:rPr>
        <w:t>[***]</w:t>
      </w:r>
      <w:r>
        <w:rPr>
          <w:rFonts w:ascii="Arial" w:cs="Arial" w:eastAsia="Arial" w:hAnsi="Arial"/>
          <w:sz w:val="18"/>
          <w:szCs w:val="18"/>
          <w:color w:val="auto"/>
        </w:rPr>
        <w:t xml:space="preserve"> such invoiced amounts within </w:t>
      </w:r>
      <w:r>
        <w:rPr>
          <w:rFonts w:ascii="Arial" w:cs="Arial" w:eastAsia="Arial" w:hAnsi="Arial"/>
          <w:sz w:val="16"/>
          <w:szCs w:val="16"/>
          <w:color w:val="auto"/>
        </w:rPr>
        <w:t>[***]</w:t>
      </w:r>
      <w:r>
        <w:rPr>
          <w:rFonts w:ascii="Arial" w:cs="Arial" w:eastAsia="Arial" w:hAnsi="Arial"/>
          <w:sz w:val="18"/>
          <w:szCs w:val="18"/>
          <w:color w:val="auto"/>
        </w:rPr>
        <w:t xml:space="preserve"> after receipt of an invoice therefor. If </w:t>
      </w:r>
      <w:r>
        <w:rPr>
          <w:rFonts w:ascii="Arial" w:cs="Arial" w:eastAsia="Arial" w:hAnsi="Arial"/>
          <w:sz w:val="16"/>
          <w:szCs w:val="16"/>
          <w:color w:val="auto"/>
        </w:rPr>
        <w:t>[***]</w:t>
      </w:r>
      <w:r>
        <w:rPr>
          <w:rFonts w:ascii="Arial" w:cs="Arial" w:eastAsia="Arial" w:hAnsi="Arial"/>
          <w:sz w:val="18"/>
          <w:szCs w:val="18"/>
          <w:color w:val="auto"/>
        </w:rPr>
        <w:t xml:space="preserve"> does not reimburse </w:t>
      </w:r>
      <w:r>
        <w:rPr>
          <w:rFonts w:ascii="Arial" w:cs="Arial" w:eastAsia="Arial" w:hAnsi="Arial"/>
          <w:sz w:val="16"/>
          <w:szCs w:val="16"/>
          <w:color w:val="auto"/>
        </w:rPr>
        <w:t>[***]</w:t>
      </w:r>
      <w:r>
        <w:rPr>
          <w:rFonts w:ascii="Arial" w:cs="Arial" w:eastAsia="Arial" w:hAnsi="Arial"/>
          <w:sz w:val="18"/>
          <w:szCs w:val="18"/>
          <w:color w:val="auto"/>
        </w:rPr>
        <w:t xml:space="preserve"> for </w:t>
      </w:r>
      <w:r>
        <w:rPr>
          <w:rFonts w:ascii="Arial" w:cs="Arial" w:eastAsia="Arial" w:hAnsi="Arial"/>
          <w:sz w:val="16"/>
          <w:szCs w:val="16"/>
          <w:color w:val="auto"/>
        </w:rPr>
        <w:t>[***]</w:t>
      </w:r>
      <w:r>
        <w:rPr>
          <w:rFonts w:ascii="Arial" w:cs="Arial" w:eastAsia="Arial" w:hAnsi="Arial"/>
          <w:sz w:val="18"/>
          <w:szCs w:val="18"/>
          <w:color w:val="auto"/>
        </w:rPr>
        <w:t xml:space="preserve"> of </w:t>
      </w:r>
      <w:r>
        <w:rPr>
          <w:rFonts w:ascii="Arial" w:cs="Arial" w:eastAsia="Arial" w:hAnsi="Arial"/>
          <w:sz w:val="16"/>
          <w:szCs w:val="16"/>
          <w:color w:val="auto"/>
        </w:rPr>
        <w:t>[***]</w:t>
      </w:r>
      <w:r>
        <w:rPr>
          <w:rFonts w:ascii="Arial" w:cs="Arial" w:eastAsia="Arial" w:hAnsi="Arial"/>
          <w:sz w:val="18"/>
          <w:szCs w:val="18"/>
          <w:color w:val="auto"/>
        </w:rPr>
        <w:t xml:space="preserve"> Prosecution costs and expenses incurred by</w:t>
      </w:r>
    </w:p>
    <w:p>
      <w:pPr>
        <w:spacing w:after="0" w:line="4" w:lineRule="exact"/>
        <w:rPr>
          <w:rFonts w:ascii="Arial" w:cs="Arial" w:eastAsia="Arial" w:hAnsi="Arial"/>
          <w:sz w:val="19"/>
          <w:szCs w:val="19"/>
          <w:b w:val="1"/>
          <w:bCs w:val="1"/>
          <w:color w:val="auto"/>
        </w:rPr>
      </w:pPr>
    </w:p>
    <w:p>
      <w:pPr>
        <w:jc w:val="both"/>
        <w:ind w:firstLine="8"/>
        <w:spacing w:after="0"/>
        <w:tabs>
          <w:tab w:leader="none" w:pos="448" w:val="left"/>
        </w:tabs>
        <w:numPr>
          <w:ilvl w:val="0"/>
          <w:numId w:val="78"/>
        </w:numPr>
        <w:rPr>
          <w:rFonts w:ascii="Arial" w:cs="Arial" w:eastAsia="Arial" w:hAnsi="Arial"/>
          <w:sz w:val="18"/>
          <w:szCs w:val="18"/>
          <w:color w:val="auto"/>
        </w:rPr>
      </w:pPr>
      <w:r>
        <w:rPr>
          <w:rFonts w:ascii="Arial" w:cs="Arial" w:eastAsia="Arial" w:hAnsi="Arial"/>
          <w:sz w:val="20"/>
          <w:szCs w:val="20"/>
          <w:color w:val="auto"/>
        </w:rPr>
        <w:t xml:space="preserve">as to a particular Combined Therapy Patent Right in a country within such </w:t>
      </w:r>
      <w:r>
        <w:rPr>
          <w:rFonts w:ascii="Arial" w:cs="Arial" w:eastAsia="Arial" w:hAnsi="Arial"/>
          <w:sz w:val="17"/>
          <w:szCs w:val="17"/>
          <w:color w:val="auto"/>
        </w:rPr>
        <w:t>[***]</w:t>
      </w:r>
      <w:r>
        <w:rPr>
          <w:rFonts w:ascii="Arial" w:cs="Arial" w:eastAsia="Arial" w:hAnsi="Arial"/>
          <w:sz w:val="20"/>
          <w:szCs w:val="20"/>
          <w:color w:val="auto"/>
        </w:rPr>
        <w:t xml:space="preserve"> period, then </w:t>
      </w:r>
      <w:r>
        <w:rPr>
          <w:rFonts w:ascii="Arial" w:cs="Arial" w:eastAsia="Arial" w:hAnsi="Arial"/>
          <w:sz w:val="17"/>
          <w:szCs w:val="17"/>
          <w:color w:val="auto"/>
        </w:rPr>
        <w:t>[***]</w:t>
      </w:r>
      <w:r>
        <w:rPr>
          <w:rFonts w:ascii="Arial" w:cs="Arial" w:eastAsia="Arial" w:hAnsi="Arial"/>
          <w:sz w:val="20"/>
          <w:szCs w:val="20"/>
          <w:color w:val="auto"/>
        </w:rPr>
        <w:t xml:space="preserve"> will send written notice (“Warning Letter”) to the </w:t>
      </w:r>
      <w:r>
        <w:rPr>
          <w:rFonts w:ascii="Arial" w:cs="Arial" w:eastAsia="Arial" w:hAnsi="Arial"/>
          <w:sz w:val="17"/>
          <w:szCs w:val="17"/>
          <w:color w:val="auto"/>
        </w:rPr>
        <w:t>[***]</w:t>
      </w:r>
      <w:r>
        <w:rPr>
          <w:rFonts w:ascii="Arial" w:cs="Arial" w:eastAsia="Arial" w:hAnsi="Arial"/>
          <w:sz w:val="20"/>
          <w:szCs w:val="20"/>
          <w:color w:val="auto"/>
        </w:rPr>
        <w:t xml:space="preserve"> contacts listed in Section 12.6 which must contain a statement that </w:t>
      </w:r>
      <w:r>
        <w:rPr>
          <w:rFonts w:ascii="Arial" w:cs="Arial" w:eastAsia="Arial" w:hAnsi="Arial"/>
          <w:sz w:val="17"/>
          <w:szCs w:val="17"/>
          <w:color w:val="auto"/>
        </w:rPr>
        <w:t>[***]</w:t>
      </w:r>
      <w:r>
        <w:rPr>
          <w:rFonts w:ascii="Arial" w:cs="Arial" w:eastAsia="Arial" w:hAnsi="Arial"/>
          <w:sz w:val="20"/>
          <w:szCs w:val="20"/>
          <w:color w:val="auto"/>
        </w:rPr>
        <w:t xml:space="preserve"> failure to pay the stated amount within </w:t>
      </w:r>
      <w:r>
        <w:rPr>
          <w:rFonts w:ascii="Arial" w:cs="Arial" w:eastAsia="Arial" w:hAnsi="Arial"/>
          <w:sz w:val="17"/>
          <w:szCs w:val="17"/>
          <w:color w:val="auto"/>
        </w:rPr>
        <w:t>[***]</w:t>
      </w:r>
      <w:r>
        <w:rPr>
          <w:rFonts w:ascii="Arial" w:cs="Arial" w:eastAsia="Arial" w:hAnsi="Arial"/>
          <w:sz w:val="20"/>
          <w:szCs w:val="20"/>
          <w:color w:val="auto"/>
        </w:rPr>
        <w:t xml:space="preserve"> of the date on the written notice will cause the assignment of </w:t>
      </w:r>
      <w:r>
        <w:rPr>
          <w:rFonts w:ascii="Arial" w:cs="Arial" w:eastAsia="Arial" w:hAnsi="Arial"/>
          <w:sz w:val="17"/>
          <w:szCs w:val="17"/>
          <w:color w:val="auto"/>
        </w:rPr>
        <w:t>[***]</w:t>
      </w:r>
      <w:r>
        <w:rPr>
          <w:rFonts w:ascii="Arial" w:cs="Arial" w:eastAsia="Arial" w:hAnsi="Arial"/>
          <w:sz w:val="20"/>
          <w:szCs w:val="20"/>
          <w:color w:val="auto"/>
        </w:rPr>
        <w:t xml:space="preserve"> Combined Therapy Patent Right to </w:t>
      </w:r>
      <w:r>
        <w:rPr>
          <w:rFonts w:ascii="Arial" w:cs="Arial" w:eastAsia="Arial" w:hAnsi="Arial"/>
          <w:sz w:val="17"/>
          <w:szCs w:val="17"/>
          <w:color w:val="auto"/>
        </w:rPr>
        <w:t>[***]</w:t>
      </w:r>
      <w:r>
        <w:rPr>
          <w:rFonts w:ascii="Arial" w:cs="Arial" w:eastAsia="Arial" w:hAnsi="Arial"/>
          <w:sz w:val="20"/>
          <w:szCs w:val="20"/>
          <w:color w:val="auto"/>
        </w:rPr>
        <w:t xml:space="preserve">. If </w:t>
      </w:r>
      <w:r>
        <w:rPr>
          <w:rFonts w:ascii="Arial" w:cs="Arial" w:eastAsia="Arial" w:hAnsi="Arial"/>
          <w:sz w:val="17"/>
          <w:szCs w:val="17"/>
          <w:color w:val="auto"/>
        </w:rPr>
        <w:t>[***]</w:t>
      </w:r>
      <w:r>
        <w:rPr>
          <w:rFonts w:ascii="Arial" w:cs="Arial" w:eastAsia="Arial" w:hAnsi="Arial"/>
          <w:sz w:val="20"/>
          <w:szCs w:val="20"/>
          <w:color w:val="auto"/>
        </w:rPr>
        <w:t xml:space="preserve"> does not reimburse </w:t>
      </w:r>
      <w:r>
        <w:rPr>
          <w:rFonts w:ascii="Arial" w:cs="Arial" w:eastAsia="Arial" w:hAnsi="Arial"/>
          <w:sz w:val="17"/>
          <w:szCs w:val="17"/>
          <w:color w:val="auto"/>
        </w:rPr>
        <w:t>[***]</w:t>
      </w:r>
      <w:r>
        <w:rPr>
          <w:rFonts w:ascii="Arial" w:cs="Arial" w:eastAsia="Arial" w:hAnsi="Arial"/>
          <w:sz w:val="20"/>
          <w:szCs w:val="20"/>
          <w:color w:val="auto"/>
        </w:rPr>
        <w:t xml:space="preserve"> for </w:t>
      </w:r>
      <w:r>
        <w:rPr>
          <w:rFonts w:ascii="Arial" w:cs="Arial" w:eastAsia="Arial" w:hAnsi="Arial"/>
          <w:sz w:val="17"/>
          <w:szCs w:val="17"/>
          <w:color w:val="auto"/>
        </w:rPr>
        <w:t>[***]</w:t>
      </w:r>
      <w:r>
        <w:rPr>
          <w:rFonts w:ascii="Arial" w:cs="Arial" w:eastAsia="Arial" w:hAnsi="Arial"/>
          <w:sz w:val="20"/>
          <w:szCs w:val="20"/>
          <w:color w:val="auto"/>
        </w:rPr>
        <w:t xml:space="preserve"> of </w:t>
      </w:r>
      <w:r>
        <w:rPr>
          <w:rFonts w:ascii="Arial" w:cs="Arial" w:eastAsia="Arial" w:hAnsi="Arial"/>
          <w:sz w:val="17"/>
          <w:szCs w:val="17"/>
          <w:color w:val="auto"/>
        </w:rPr>
        <w:t>[***]</w:t>
      </w:r>
      <w:r>
        <w:rPr>
          <w:rFonts w:ascii="Arial" w:cs="Arial" w:eastAsia="Arial" w:hAnsi="Arial"/>
          <w:sz w:val="20"/>
          <w:szCs w:val="20"/>
          <w:color w:val="auto"/>
        </w:rPr>
        <w:t xml:space="preserve"> Prosecution costs and expenses incurred by </w:t>
      </w:r>
      <w:r>
        <w:rPr>
          <w:rFonts w:ascii="Arial" w:cs="Arial" w:eastAsia="Arial" w:hAnsi="Arial"/>
          <w:sz w:val="17"/>
          <w:szCs w:val="17"/>
          <w:color w:val="auto"/>
        </w:rPr>
        <w:t>[***]</w:t>
      </w:r>
      <w:r>
        <w:rPr>
          <w:rFonts w:ascii="Arial" w:cs="Arial" w:eastAsia="Arial" w:hAnsi="Arial"/>
          <w:sz w:val="20"/>
          <w:szCs w:val="20"/>
          <w:color w:val="auto"/>
        </w:rPr>
        <w:t xml:space="preserve"> as to a particular Combined Therapy Patent Right in a country within </w:t>
      </w:r>
      <w:r>
        <w:rPr>
          <w:rFonts w:ascii="Arial" w:cs="Arial" w:eastAsia="Arial" w:hAnsi="Arial"/>
          <w:sz w:val="17"/>
          <w:szCs w:val="17"/>
          <w:color w:val="auto"/>
        </w:rPr>
        <w:t>[***]</w:t>
      </w:r>
      <w:r>
        <w:rPr>
          <w:rFonts w:ascii="Arial" w:cs="Arial" w:eastAsia="Arial" w:hAnsi="Arial"/>
          <w:sz w:val="20"/>
          <w:szCs w:val="20"/>
          <w:color w:val="auto"/>
        </w:rPr>
        <w:t xml:space="preserve"> following the date of the Warning Letter, then </w:t>
      </w:r>
      <w:r>
        <w:rPr>
          <w:rFonts w:ascii="Arial" w:cs="Arial" w:eastAsia="Arial" w:hAnsi="Arial"/>
          <w:sz w:val="17"/>
          <w:szCs w:val="17"/>
          <w:color w:val="auto"/>
        </w:rPr>
        <w:t>[***]</w:t>
      </w:r>
      <w:r>
        <w:rPr>
          <w:rFonts w:ascii="Arial" w:cs="Arial" w:eastAsia="Arial" w:hAnsi="Arial"/>
          <w:sz w:val="20"/>
          <w:szCs w:val="20"/>
          <w:color w:val="auto"/>
        </w:rPr>
        <w:t xml:space="preserve"> shall, on </w:t>
      </w:r>
      <w:r>
        <w:rPr>
          <w:rFonts w:ascii="Arial" w:cs="Arial" w:eastAsia="Arial" w:hAnsi="Arial"/>
          <w:sz w:val="17"/>
          <w:szCs w:val="17"/>
          <w:color w:val="auto"/>
        </w:rPr>
        <w:t>[***]</w:t>
      </w:r>
      <w:r>
        <w:rPr>
          <w:rFonts w:ascii="Arial" w:cs="Arial" w:eastAsia="Arial" w:hAnsi="Arial"/>
          <w:sz w:val="20"/>
          <w:szCs w:val="20"/>
          <w:color w:val="auto"/>
        </w:rPr>
        <w:t xml:space="preserve"> written request, </w:t>
      </w:r>
      <w:r>
        <w:rPr>
          <w:rFonts w:ascii="Arial" w:cs="Arial" w:eastAsia="Arial" w:hAnsi="Arial"/>
          <w:sz w:val="17"/>
          <w:szCs w:val="17"/>
          <w:color w:val="auto"/>
        </w:rPr>
        <w:t>[***]</w:t>
      </w:r>
      <w:r>
        <w:rPr>
          <w:rFonts w:ascii="Arial" w:cs="Arial" w:eastAsia="Arial" w:hAnsi="Arial"/>
          <w:sz w:val="20"/>
          <w:szCs w:val="20"/>
          <w:color w:val="auto"/>
        </w:rPr>
        <w:t>.</w:t>
      </w:r>
    </w:p>
    <w:p>
      <w:pPr>
        <w:spacing w:after="0" w:line="170" w:lineRule="exact"/>
        <w:rPr>
          <w:rFonts w:ascii="Arial" w:cs="Arial" w:eastAsia="Arial" w:hAnsi="Arial"/>
          <w:sz w:val="18"/>
          <w:szCs w:val="18"/>
          <w:color w:val="auto"/>
        </w:rPr>
      </w:pPr>
    </w:p>
    <w:p>
      <w:pPr>
        <w:jc w:val="both"/>
        <w:ind w:firstLine="1952"/>
        <w:spacing w:after="0" w:line="272" w:lineRule="auto"/>
        <w:tabs>
          <w:tab w:leader="none" w:pos="2916"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The Parties shall discuss in good faith whether and on what terms </w:t>
      </w:r>
      <w:r>
        <w:rPr>
          <w:rFonts w:ascii="Arial" w:cs="Arial" w:eastAsia="Arial" w:hAnsi="Arial"/>
          <w:sz w:val="15"/>
          <w:szCs w:val="15"/>
          <w:color w:val="auto"/>
        </w:rPr>
        <w:t>[***]</w:t>
      </w:r>
      <w:r>
        <w:rPr>
          <w:rFonts w:ascii="Arial" w:cs="Arial" w:eastAsia="Arial" w:hAnsi="Arial"/>
          <w:sz w:val="18"/>
          <w:szCs w:val="18"/>
          <w:color w:val="auto"/>
        </w:rPr>
        <w:t xml:space="preserve"> shall take the lead in Prosecuting any particular Combined Therapy Patent Rights in particular countries. In the event </w:t>
      </w:r>
      <w:r>
        <w:rPr>
          <w:rFonts w:ascii="Arial" w:cs="Arial" w:eastAsia="Arial" w:hAnsi="Arial"/>
          <w:sz w:val="15"/>
          <w:szCs w:val="15"/>
          <w:color w:val="auto"/>
        </w:rPr>
        <w:t>[***]</w:t>
      </w:r>
      <w:r>
        <w:rPr>
          <w:rFonts w:ascii="Arial" w:cs="Arial" w:eastAsia="Arial" w:hAnsi="Arial"/>
          <w:sz w:val="18"/>
          <w:szCs w:val="18"/>
          <w:color w:val="auto"/>
        </w:rPr>
        <w:t xml:space="preserve"> decides not to Prosecute (or continue Prosecution of) a particular Combined Therapy Patent Right in a given country, then </w:t>
      </w:r>
      <w:r>
        <w:rPr>
          <w:rFonts w:ascii="Arial" w:cs="Arial" w:eastAsia="Arial" w:hAnsi="Arial"/>
          <w:sz w:val="15"/>
          <w:szCs w:val="15"/>
          <w:color w:val="auto"/>
        </w:rPr>
        <w:t>[***]</w:t>
      </w:r>
      <w:r>
        <w:rPr>
          <w:rFonts w:ascii="Arial" w:cs="Arial" w:eastAsia="Arial" w:hAnsi="Arial"/>
          <w:sz w:val="18"/>
          <w:szCs w:val="18"/>
          <w:color w:val="auto"/>
        </w:rPr>
        <w:t xml:space="preserve"> shall give</w:t>
      </w:r>
    </w:p>
    <w:p>
      <w:pPr>
        <w:jc w:val="both"/>
        <w:ind w:firstLine="8"/>
        <w:spacing w:after="0" w:line="266" w:lineRule="auto"/>
        <w:tabs>
          <w:tab w:leader="none" w:pos="462" w:val="left"/>
        </w:tabs>
        <w:numPr>
          <w:ilvl w:val="0"/>
          <w:numId w:val="79"/>
        </w:numPr>
        <w:rPr>
          <w:rFonts w:ascii="Arial" w:cs="Arial" w:eastAsia="Arial" w:hAnsi="Arial"/>
          <w:sz w:val="16"/>
          <w:szCs w:val="16"/>
          <w:color w:val="auto"/>
        </w:rPr>
      </w:pPr>
      <w:r>
        <w:rPr>
          <w:rFonts w:ascii="Arial" w:cs="Arial" w:eastAsia="Arial" w:hAnsi="Arial"/>
          <w:sz w:val="18"/>
          <w:szCs w:val="18"/>
          <w:color w:val="auto"/>
        </w:rPr>
        <w:t xml:space="preserve">written notice of such decision, and in such case </w:t>
      </w:r>
      <w:r>
        <w:rPr>
          <w:rFonts w:ascii="Arial" w:cs="Arial" w:eastAsia="Arial" w:hAnsi="Arial"/>
          <w:sz w:val="15"/>
          <w:szCs w:val="15"/>
          <w:color w:val="auto"/>
        </w:rPr>
        <w:t>[***]</w:t>
      </w:r>
      <w:r>
        <w:rPr>
          <w:rFonts w:ascii="Arial" w:cs="Arial" w:eastAsia="Arial" w:hAnsi="Arial"/>
          <w:sz w:val="18"/>
          <w:szCs w:val="18"/>
          <w:color w:val="auto"/>
        </w:rPr>
        <w:t xml:space="preserve"> shall have the right (but not obligation) to Prosecute and maintain such Combined Therapy Patent Right in such country in its own name and at its own expense. In this case, </w:t>
      </w:r>
      <w:r>
        <w:rPr>
          <w:rFonts w:ascii="Arial" w:cs="Arial" w:eastAsia="Arial" w:hAnsi="Arial"/>
          <w:sz w:val="15"/>
          <w:szCs w:val="15"/>
          <w:color w:val="auto"/>
        </w:rPr>
        <w:t>[***]</w:t>
      </w:r>
      <w:r>
        <w:rPr>
          <w:rFonts w:ascii="Arial" w:cs="Arial" w:eastAsia="Arial" w:hAnsi="Arial"/>
          <w:sz w:val="18"/>
          <w:szCs w:val="18"/>
          <w:color w:val="auto"/>
        </w:rPr>
        <w:t xml:space="preserve"> shall promptly assign its rights to such Combined Therapy Patent Right in said country to </w:t>
      </w:r>
      <w:r>
        <w:rPr>
          <w:rFonts w:ascii="Arial" w:cs="Arial" w:eastAsia="Arial" w:hAnsi="Arial"/>
          <w:sz w:val="15"/>
          <w:szCs w:val="15"/>
          <w:color w:val="auto"/>
        </w:rPr>
        <w:t>[***]</w:t>
      </w:r>
      <w:r>
        <w:rPr>
          <w:rFonts w:ascii="Arial" w:cs="Arial" w:eastAsia="Arial" w:hAnsi="Arial"/>
          <w:sz w:val="18"/>
          <w:szCs w:val="18"/>
          <w:color w:val="auto"/>
        </w:rPr>
        <w:t xml:space="preserve"> solely in such country, and</w:t>
      </w:r>
    </w:p>
    <w:p>
      <w:pPr>
        <w:jc w:val="both"/>
        <w:ind w:firstLine="8"/>
        <w:spacing w:after="0"/>
        <w:tabs>
          <w:tab w:leader="none" w:pos="448" w:val="left"/>
        </w:tabs>
        <w:numPr>
          <w:ilvl w:val="0"/>
          <w:numId w:val="79"/>
        </w:numPr>
        <w:rPr>
          <w:rFonts w:ascii="Arial" w:cs="Arial" w:eastAsia="Arial" w:hAnsi="Arial"/>
          <w:sz w:val="18"/>
          <w:szCs w:val="18"/>
          <w:color w:val="auto"/>
        </w:rPr>
      </w:pPr>
      <w:r>
        <w:rPr>
          <w:rFonts w:ascii="Arial" w:cs="Arial" w:eastAsia="Arial" w:hAnsi="Arial"/>
          <w:sz w:val="20"/>
          <w:szCs w:val="20"/>
          <w:color w:val="auto"/>
        </w:rPr>
        <w:t xml:space="preserve">shall grant, and hereby grants, to </w:t>
      </w:r>
      <w:r>
        <w:rPr>
          <w:rFonts w:ascii="Arial" w:cs="Arial" w:eastAsia="Arial" w:hAnsi="Arial"/>
          <w:sz w:val="17"/>
          <w:szCs w:val="17"/>
          <w:color w:val="auto"/>
        </w:rPr>
        <w:t>[***]</w:t>
      </w:r>
      <w:r>
        <w:rPr>
          <w:rFonts w:ascii="Arial" w:cs="Arial" w:eastAsia="Arial" w:hAnsi="Arial"/>
          <w:sz w:val="20"/>
          <w:szCs w:val="20"/>
          <w:color w:val="auto"/>
        </w:rPr>
        <w:t xml:space="preserve"> an irrevocable, perpetual, fully-paid, non-exclusive license, with the right to grant and authorize sublicenses, under such Combined Therapy Patent Rights to make, have made, use, sell, offer for sale, import and other exploit products and services in such country (which license shall survive any expiration or termination of this Agreement), provided </w:t>
      </w:r>
      <w:r>
        <w:rPr>
          <w:rFonts w:ascii="Arial" w:cs="Arial" w:eastAsia="Arial" w:hAnsi="Arial"/>
          <w:sz w:val="17"/>
          <w:szCs w:val="17"/>
          <w:color w:val="auto"/>
        </w:rPr>
        <w:t>[***]</w:t>
      </w:r>
      <w:r>
        <w:rPr>
          <w:rFonts w:ascii="Arial" w:cs="Arial" w:eastAsia="Arial" w:hAnsi="Arial"/>
          <w:sz w:val="20"/>
          <w:szCs w:val="20"/>
          <w:color w:val="auto"/>
        </w:rPr>
        <w:t xml:space="preserve"> has reimbursed </w:t>
      </w:r>
      <w:r>
        <w:rPr>
          <w:rFonts w:ascii="Arial" w:cs="Arial" w:eastAsia="Arial" w:hAnsi="Arial"/>
          <w:sz w:val="17"/>
          <w:szCs w:val="17"/>
          <w:color w:val="auto"/>
        </w:rPr>
        <w:t>[***]</w:t>
      </w:r>
      <w:r>
        <w:rPr>
          <w:rFonts w:ascii="Arial" w:cs="Arial" w:eastAsia="Arial" w:hAnsi="Arial"/>
          <w:sz w:val="20"/>
          <w:szCs w:val="20"/>
          <w:color w:val="auto"/>
        </w:rPr>
        <w:t xml:space="preserve"> for </w:t>
      </w:r>
      <w:r>
        <w:rPr>
          <w:rFonts w:ascii="Arial" w:cs="Arial" w:eastAsia="Arial" w:hAnsi="Arial"/>
          <w:sz w:val="17"/>
          <w:szCs w:val="17"/>
          <w:color w:val="auto"/>
        </w:rPr>
        <w:t>[***]</w:t>
      </w:r>
      <w:r>
        <w:rPr>
          <w:rFonts w:ascii="Arial" w:cs="Arial" w:eastAsia="Arial" w:hAnsi="Arial"/>
          <w:sz w:val="20"/>
          <w:szCs w:val="20"/>
          <w:color w:val="auto"/>
        </w:rPr>
        <w:t xml:space="preserve"> of </w:t>
      </w:r>
      <w:r>
        <w:rPr>
          <w:rFonts w:ascii="Arial" w:cs="Arial" w:eastAsia="Arial" w:hAnsi="Arial"/>
          <w:sz w:val="17"/>
          <w:szCs w:val="17"/>
          <w:color w:val="auto"/>
        </w:rPr>
        <w:t>[***]</w:t>
      </w:r>
      <w:r>
        <w:rPr>
          <w:rFonts w:ascii="Arial" w:cs="Arial" w:eastAsia="Arial" w:hAnsi="Arial"/>
          <w:sz w:val="20"/>
          <w:szCs w:val="20"/>
          <w:color w:val="auto"/>
        </w:rPr>
        <w:t xml:space="preserve"> Prosecution costs and expenses incurred under this subsection (iii). In such case, </w:t>
      </w:r>
      <w:r>
        <w:rPr>
          <w:rFonts w:ascii="Arial" w:cs="Arial" w:eastAsia="Arial" w:hAnsi="Arial"/>
          <w:sz w:val="17"/>
          <w:szCs w:val="17"/>
          <w:color w:val="auto"/>
        </w:rPr>
        <w:t>[***]</w:t>
      </w:r>
      <w:r>
        <w:rPr>
          <w:rFonts w:ascii="Arial" w:cs="Arial" w:eastAsia="Arial" w:hAnsi="Arial"/>
          <w:sz w:val="20"/>
          <w:szCs w:val="20"/>
          <w:color w:val="auto"/>
        </w:rPr>
        <w:t xml:space="preserve"> shall provide </w:t>
      </w:r>
      <w:r>
        <w:rPr>
          <w:rFonts w:ascii="Arial" w:cs="Arial" w:eastAsia="Arial" w:hAnsi="Arial"/>
          <w:sz w:val="17"/>
          <w:szCs w:val="17"/>
          <w:color w:val="auto"/>
        </w:rPr>
        <w:t>[***]</w:t>
      </w:r>
      <w:r>
        <w:rPr>
          <w:rFonts w:ascii="Arial" w:cs="Arial" w:eastAsia="Arial" w:hAnsi="Arial"/>
          <w:sz w:val="20"/>
          <w:szCs w:val="20"/>
          <w:color w:val="auto"/>
        </w:rPr>
        <w:t xml:space="preserve"> reasonable assistance in </w:t>
      </w:r>
      <w:r>
        <w:rPr>
          <w:rFonts w:ascii="Arial" w:cs="Arial" w:eastAsia="Arial" w:hAnsi="Arial"/>
          <w:sz w:val="17"/>
          <w:szCs w:val="17"/>
          <w:color w:val="auto"/>
        </w:rPr>
        <w:t>[***]</w:t>
      </w:r>
      <w:r>
        <w:rPr>
          <w:rFonts w:ascii="Arial" w:cs="Arial" w:eastAsia="Arial" w:hAnsi="Arial"/>
          <w:sz w:val="20"/>
          <w:szCs w:val="20"/>
          <w:color w:val="auto"/>
        </w:rPr>
        <w:t xml:space="preserve"> Prosecution (at [***] expense) of such assigned Combined Therapy Patent Right in such country, including the timely provision of all documents in </w:t>
      </w:r>
      <w:r>
        <w:rPr>
          <w:rFonts w:ascii="Arial" w:cs="Arial" w:eastAsia="Arial" w:hAnsi="Arial"/>
          <w:sz w:val="17"/>
          <w:szCs w:val="17"/>
          <w:color w:val="auto"/>
        </w:rPr>
        <w:t>[***]</w:t>
      </w:r>
      <w:r>
        <w:rPr>
          <w:rFonts w:ascii="Arial" w:cs="Arial" w:eastAsia="Arial" w:hAnsi="Arial"/>
          <w:sz w:val="20"/>
          <w:szCs w:val="20"/>
          <w:color w:val="auto"/>
        </w:rPr>
        <w:t xml:space="preserve"> possession required under national provisions to register said assignment of rights with the corresponding national authorities at the sole expenses of the Party who wishes to file or maintain such Combined Therapy Patent Right in that given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1" w:name="page122"/>
    <w:bookmarkEnd w:id="121"/>
    <w:p>
      <w:pPr>
        <w:jc w:val="both"/>
        <w:ind w:firstLine="1304"/>
        <w:spacing w:after="0" w:line="277" w:lineRule="auto"/>
        <w:tabs>
          <w:tab w:leader="none" w:pos="2005"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Separation of Patent Rights. </w:t>
      </w:r>
      <w:r>
        <w:rPr>
          <w:rFonts w:ascii="Arial" w:cs="Arial" w:eastAsia="Arial" w:hAnsi="Arial"/>
          <w:sz w:val="18"/>
          <w:szCs w:val="18"/>
          <w:color w:val="auto"/>
        </w:rPr>
        <w:t>In order to more efficiently enable the Prosecution and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of the Novartis Study Patent Rights, Olema Study Patent Rights, and the Combined Therapy Patent Rights relating to applicable Study Inventions as provided and described above, the Parties will use good faith efforts to separate Novartis Study Patent Rights, Olema Study Patent Rights, Combined Therapy Patent Rights, Novartis Background Patent Rights and Olema Background Patent Rights into separate patent filings to the extent reasonably possible and without adversely impacting such Prosecution and maintenance or the scope of the protected patentable subject matter.</w:t>
      </w:r>
    </w:p>
    <w:p>
      <w:pPr>
        <w:spacing w:after="0" w:line="11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b w:val="1"/>
          <w:bCs w:val="1"/>
          <w:color w:val="auto"/>
        </w:rPr>
        <w:t xml:space="preserve">6.3 Disclosure and Assignment of Inventions. </w:t>
      </w:r>
      <w:r>
        <w:rPr>
          <w:rFonts w:ascii="Arial" w:cs="Arial" w:eastAsia="Arial" w:hAnsi="Arial"/>
          <w:sz w:val="20"/>
          <w:szCs w:val="20"/>
          <w:color w:val="auto"/>
        </w:rPr>
        <w:t>Each Party shall disclose promptly to the other Party in writing</w:t>
      </w:r>
      <w:r>
        <w:rPr>
          <w:rFonts w:ascii="Arial" w:cs="Arial" w:eastAsia="Arial" w:hAnsi="Arial"/>
          <w:sz w:val="20"/>
          <w:szCs w:val="20"/>
          <w:b w:val="1"/>
          <w:bCs w:val="1"/>
          <w:color w:val="auto"/>
        </w:rPr>
        <w:t xml:space="preserve"> </w:t>
      </w:r>
      <w:r>
        <w:rPr>
          <w:rFonts w:ascii="Arial" w:cs="Arial" w:eastAsia="Arial" w:hAnsi="Arial"/>
          <w:sz w:val="20"/>
          <w:szCs w:val="20"/>
          <w:color w:val="auto"/>
        </w:rPr>
        <w:t>and on a confidential basis all Study Inventions prior to any public disclosure thereof or filing of Patent Rights therefor and allowing sufficient time for comment by the other Party. In addition, each Party shall, and does hereby, assign, and shall cause its Affiliates and contractors to so assign, to the other Party, without additional compensation, such right, title and interest in and to any Inventions as well as any Patent Rights and other intellectual property rights with respect thereto, as is necessary to fully effect, as applicable, the sole ownership provided for in Sections 6.2(a) and 6.2(b) and the joint ownership provided for in Section 6.2(c).</w:t>
      </w:r>
    </w:p>
    <w:p>
      <w:pPr>
        <w:spacing w:after="0" w:line="15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6.4</w:t>
      </w:r>
      <w:r>
        <w:rPr>
          <w:sz w:val="20"/>
          <w:szCs w:val="20"/>
          <w:color w:val="auto"/>
        </w:rPr>
        <w:tab/>
      </w:r>
      <w:r>
        <w:rPr>
          <w:rFonts w:ascii="Arial" w:cs="Arial" w:eastAsia="Arial" w:hAnsi="Arial"/>
          <w:sz w:val="18"/>
          <w:szCs w:val="18"/>
          <w:b w:val="1"/>
          <w:bCs w:val="1"/>
          <w:color w:val="auto"/>
        </w:rPr>
        <w:t>Infringement of Patent Rights by Third Parties.</w:t>
      </w:r>
    </w:p>
    <w:p>
      <w:pPr>
        <w:spacing w:after="0" w:line="175" w:lineRule="exact"/>
        <w:rPr>
          <w:sz w:val="20"/>
          <w:szCs w:val="20"/>
          <w:color w:val="auto"/>
        </w:rPr>
      </w:pPr>
    </w:p>
    <w:p>
      <w:pPr>
        <w:ind w:firstLine="1304"/>
        <w:spacing w:after="0" w:line="267" w:lineRule="auto"/>
        <w:tabs>
          <w:tab w:leader="none" w:pos="2005"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w:t>
      </w:r>
      <w:r>
        <w:rPr>
          <w:rFonts w:ascii="Arial" w:cs="Arial" w:eastAsia="Arial" w:hAnsi="Arial"/>
          <w:sz w:val="20"/>
          <w:szCs w:val="20"/>
          <w:color w:val="auto"/>
        </w:rPr>
        <w:t>Each Party shall promptly notify the other Party in writing of any Infringement of</w:t>
      </w:r>
      <w:r>
        <w:rPr>
          <w:rFonts w:ascii="Arial" w:cs="Arial" w:eastAsia="Arial" w:hAnsi="Arial"/>
          <w:sz w:val="20"/>
          <w:szCs w:val="20"/>
          <w:b w:val="1"/>
          <w:bCs w:val="1"/>
          <w:color w:val="auto"/>
        </w:rPr>
        <w:t xml:space="preserve"> </w:t>
      </w:r>
      <w:r>
        <w:rPr>
          <w:rFonts w:ascii="Arial" w:cs="Arial" w:eastAsia="Arial" w:hAnsi="Arial"/>
          <w:sz w:val="20"/>
          <w:szCs w:val="20"/>
          <w:color w:val="auto"/>
        </w:rPr>
        <w:t>Combined Therapy Patent Rights, of which it becomes aware.</w:t>
      </w:r>
    </w:p>
    <w:p>
      <w:pPr>
        <w:spacing w:after="0" w:line="122" w:lineRule="exact"/>
        <w:rPr>
          <w:rFonts w:ascii="Arial" w:cs="Arial" w:eastAsia="Arial" w:hAnsi="Arial"/>
          <w:sz w:val="20"/>
          <w:szCs w:val="20"/>
          <w:b w:val="1"/>
          <w:bCs w:val="1"/>
          <w:color w:val="auto"/>
        </w:rPr>
      </w:pPr>
    </w:p>
    <w:p>
      <w:pPr>
        <w:jc w:val="both"/>
        <w:ind w:firstLine="1304"/>
        <w:spacing w:after="0" w:line="260" w:lineRule="auto"/>
        <w:tabs>
          <w:tab w:leader="none" w:pos="2005"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Infringement of Olema Patent Rights. </w:t>
      </w:r>
      <w:r>
        <w:rPr>
          <w:rFonts w:ascii="Arial" w:cs="Arial" w:eastAsia="Arial" w:hAnsi="Arial"/>
          <w:sz w:val="19"/>
          <w:szCs w:val="19"/>
          <w:color w:val="auto"/>
        </w:rPr>
        <w:t>For all Infringements of Olema Study Patent Rights or</w:t>
      </w:r>
      <w:r>
        <w:rPr>
          <w:rFonts w:ascii="Arial" w:cs="Arial" w:eastAsia="Arial" w:hAnsi="Arial"/>
          <w:sz w:val="19"/>
          <w:szCs w:val="19"/>
          <w:b w:val="1"/>
          <w:bCs w:val="1"/>
          <w:color w:val="auto"/>
        </w:rPr>
        <w:t xml:space="preserve"> </w:t>
      </w:r>
      <w:r>
        <w:rPr>
          <w:rFonts w:ascii="Arial" w:cs="Arial" w:eastAsia="Arial" w:hAnsi="Arial"/>
          <w:sz w:val="19"/>
          <w:szCs w:val="19"/>
          <w:color w:val="auto"/>
        </w:rPr>
        <w:t>Olema Background Patent Rights anywhere in the world, Olema shall have the exclusive right to enforce its Patent Rights against such Infringements as it may determine in its sole and absolute discretion (including settling any such enforcements), and Olema shall bear all related expenses and retain all related recoveries. Novartis shall reasonably cooperate with Olema or its designee (to the extent Novartis has relevant information arising out of this Agreement), at Olema’s request and expense, in any such action to enforce such Patent Rights.</w:t>
      </w:r>
    </w:p>
    <w:p>
      <w:pPr>
        <w:spacing w:after="0" w:line="145" w:lineRule="exact"/>
        <w:rPr>
          <w:rFonts w:ascii="Arial" w:cs="Arial" w:eastAsia="Arial" w:hAnsi="Arial"/>
          <w:sz w:val="19"/>
          <w:szCs w:val="19"/>
          <w:b w:val="1"/>
          <w:bCs w:val="1"/>
          <w:color w:val="auto"/>
        </w:rPr>
      </w:pPr>
    </w:p>
    <w:p>
      <w:pPr>
        <w:jc w:val="both"/>
        <w:ind w:firstLine="1304"/>
        <w:spacing w:after="0" w:line="260" w:lineRule="auto"/>
        <w:tabs>
          <w:tab w:leader="none" w:pos="2005" w:val="left"/>
        </w:tabs>
        <w:numPr>
          <w:ilvl w:val="0"/>
          <w:numId w:val="8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Infringement of Novartis Patent Rights. </w:t>
      </w:r>
      <w:r>
        <w:rPr>
          <w:rFonts w:ascii="Arial" w:cs="Arial" w:eastAsia="Arial" w:hAnsi="Arial"/>
          <w:sz w:val="19"/>
          <w:szCs w:val="19"/>
          <w:color w:val="auto"/>
        </w:rPr>
        <w:t>For all Infringements of Novartis Study Patent Rights</w:t>
      </w:r>
      <w:r>
        <w:rPr>
          <w:rFonts w:ascii="Arial" w:cs="Arial" w:eastAsia="Arial" w:hAnsi="Arial"/>
          <w:sz w:val="19"/>
          <w:szCs w:val="19"/>
          <w:b w:val="1"/>
          <w:bCs w:val="1"/>
          <w:color w:val="auto"/>
        </w:rPr>
        <w:t xml:space="preserve"> </w:t>
      </w:r>
      <w:r>
        <w:rPr>
          <w:rFonts w:ascii="Arial" w:cs="Arial" w:eastAsia="Arial" w:hAnsi="Arial"/>
          <w:sz w:val="19"/>
          <w:szCs w:val="19"/>
          <w:color w:val="auto"/>
        </w:rPr>
        <w:t>or Novartis Background Patent Rights anywhere in the world, Novartis shall have the exclusive right to enforce its Patent Rights against such Infringements as it may determine in its sole and absolute discretion (including settling any such enforcements), and Novartis shall bear all related expenses and retain all related recoveries. Olema shall reasonably cooperate with Novartis or its designee (to the extent that Olema has relevant information arising out of this Agreement), at Novartis’s request and expense, in any such action to enforce such Patent Rights.</w:t>
      </w:r>
    </w:p>
    <w:p>
      <w:pPr>
        <w:spacing w:after="0" w:line="132" w:lineRule="exact"/>
        <w:rPr>
          <w:rFonts w:ascii="Arial" w:cs="Arial" w:eastAsia="Arial" w:hAnsi="Arial"/>
          <w:sz w:val="19"/>
          <w:szCs w:val="19"/>
          <w:b w:val="1"/>
          <w:bCs w:val="1"/>
          <w:color w:val="auto"/>
        </w:rPr>
      </w:pPr>
    </w:p>
    <w:p>
      <w:pPr>
        <w:ind w:left="1960" w:hanging="656"/>
        <w:spacing w:after="0"/>
        <w:tabs>
          <w:tab w:leader="none" w:pos="1960" w:val="left"/>
        </w:tabs>
        <w:numPr>
          <w:ilvl w:val="0"/>
          <w:numId w:val="81"/>
        </w:numPr>
        <w:rPr>
          <w:rFonts w:ascii="Arial" w:cs="Arial" w:eastAsia="Arial" w:hAnsi="Arial"/>
          <w:sz w:val="20"/>
          <w:szCs w:val="20"/>
          <w:b w:val="1"/>
          <w:bCs w:val="1"/>
          <w:color w:val="auto"/>
        </w:rPr>
      </w:pPr>
      <w:r>
        <w:rPr>
          <w:rFonts w:ascii="Arial" w:cs="Arial" w:eastAsia="Arial" w:hAnsi="Arial"/>
          <w:sz w:val="20"/>
          <w:szCs w:val="20"/>
          <w:b w:val="1"/>
          <w:bCs w:val="1"/>
          <w:color w:val="auto"/>
        </w:rPr>
        <w:t>Infringement of Combined Therapy Patent Rights</w:t>
      </w:r>
      <w:r>
        <w:rPr>
          <w:rFonts w:ascii="Arial" w:cs="Arial" w:eastAsia="Arial" w:hAnsi="Arial"/>
          <w:sz w:val="20"/>
          <w:szCs w:val="20"/>
          <w:color w:val="auto"/>
        </w:rPr>
        <w:t>.</w:t>
      </w:r>
    </w:p>
    <w:p>
      <w:pPr>
        <w:spacing w:after="0" w:line="181" w:lineRule="exact"/>
        <w:rPr>
          <w:rFonts w:ascii="Arial" w:cs="Arial" w:eastAsia="Arial" w:hAnsi="Arial"/>
          <w:sz w:val="20"/>
          <w:szCs w:val="20"/>
          <w:b w:val="1"/>
          <w:bCs w:val="1"/>
          <w:color w:val="auto"/>
        </w:rPr>
      </w:pPr>
    </w:p>
    <w:p>
      <w:pPr>
        <w:jc w:val="both"/>
        <w:ind w:firstLine="1952"/>
        <w:spacing w:after="0" w:line="246" w:lineRule="auto"/>
        <w:tabs>
          <w:tab w:leader="none" w:pos="2592" w:val="left"/>
        </w:tabs>
        <w:numPr>
          <w:ilvl w:val="1"/>
          <w:numId w:val="81"/>
        </w:numPr>
        <w:rPr>
          <w:rFonts w:ascii="Arial" w:cs="Arial" w:eastAsia="Arial" w:hAnsi="Arial"/>
          <w:sz w:val="20"/>
          <w:szCs w:val="20"/>
          <w:b w:val="1"/>
          <w:bCs w:val="1"/>
          <w:color w:val="auto"/>
        </w:rPr>
      </w:pPr>
      <w:r>
        <w:rPr>
          <w:rFonts w:ascii="Arial" w:cs="Arial" w:eastAsia="Arial" w:hAnsi="Arial"/>
          <w:sz w:val="20"/>
          <w:szCs w:val="20"/>
          <w:color w:val="auto"/>
        </w:rPr>
        <w:t>With respect to Infringements of Combined Therapy Patent Rights, the Parties shall discuss reasonably and mutually agree as to whether to bring an enforcement action to seek the removal or prevention of such Infringements and damages therefor and, if so, which Party shall bring such action, with any costs and expenses relating thereto to be allocated in accordance with Section 6.4(d)(ii).</w:t>
      </w:r>
    </w:p>
    <w:p>
      <w:pPr>
        <w:spacing w:after="0" w:line="164" w:lineRule="exact"/>
        <w:rPr>
          <w:rFonts w:ascii="Arial" w:cs="Arial" w:eastAsia="Arial" w:hAnsi="Arial"/>
          <w:sz w:val="20"/>
          <w:szCs w:val="20"/>
          <w:b w:val="1"/>
          <w:bCs w:val="1"/>
          <w:color w:val="auto"/>
        </w:rPr>
      </w:pPr>
    </w:p>
    <w:p>
      <w:pPr>
        <w:jc w:val="both"/>
        <w:ind w:firstLine="1952"/>
        <w:spacing w:after="0" w:line="273" w:lineRule="auto"/>
        <w:tabs>
          <w:tab w:leader="none" w:pos="2592" w:val="left"/>
        </w:tabs>
        <w:numPr>
          <w:ilvl w:val="1"/>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Regardless of which Party brings an enforcement action pursuant to Section 6.4(d)(i) or whether the Parties reach agreement to initiate such an enforcement action, the other Party hereby agrees to cooperate reasonably in any such action, including, if required, by bringing a legal action, furnishing a power of attorney or joining as a plaintiff to such a legal action. If the Parties mutually agree to bring an enforcement action, Novartis shall be responsible for </w:t>
      </w:r>
      <w:r>
        <w:rPr>
          <w:rFonts w:ascii="Arial" w:cs="Arial" w:eastAsia="Arial" w:hAnsi="Arial"/>
          <w:sz w:val="15"/>
          <w:szCs w:val="15"/>
          <w:color w:val="auto"/>
        </w:rPr>
        <w:t>[***]</w:t>
      </w:r>
      <w:r>
        <w:rPr>
          <w:rFonts w:ascii="Arial" w:cs="Arial" w:eastAsia="Arial" w:hAnsi="Arial"/>
          <w:sz w:val="18"/>
          <w:szCs w:val="18"/>
          <w:color w:val="auto"/>
        </w:rPr>
        <w:t xml:space="preserve">, and Olema shall be responsible for </w:t>
      </w:r>
      <w:r>
        <w:rPr>
          <w:rFonts w:ascii="Arial" w:cs="Arial" w:eastAsia="Arial" w:hAnsi="Arial"/>
          <w:sz w:val="15"/>
          <w:szCs w:val="15"/>
          <w:color w:val="auto"/>
        </w:rPr>
        <w:t>[***]</w:t>
      </w:r>
      <w:r>
        <w:rPr>
          <w:rFonts w:ascii="Arial" w:cs="Arial" w:eastAsia="Arial" w:hAnsi="Arial"/>
          <w:sz w:val="18"/>
          <w:szCs w:val="18"/>
          <w:color w:val="auto"/>
        </w:rPr>
        <w:t xml:space="preserve"> (or as the Parties otherwise agree in writing), of the reasonable and verifiable external costs and expenses incurred in connection with any such action. If either Party recovers monetary damages from any Third Party in an enforcement action agreed to by the Parties, such recovery shall be allocated first to the reimbursement of any actual, unreimbursed external costs and expenses incurred by either of the Parties in</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22" w:name="page123"/>
    <w:bookmarkEnd w:id="122"/>
    <w:p>
      <w:pPr>
        <w:jc w:val="both"/>
        <w:spacing w:after="0" w:line="272" w:lineRule="auto"/>
        <w:rPr>
          <w:sz w:val="20"/>
          <w:szCs w:val="20"/>
          <w:color w:val="auto"/>
        </w:rPr>
      </w:pPr>
      <w:r>
        <w:rPr>
          <w:rFonts w:ascii="Arial" w:cs="Arial" w:eastAsia="Arial" w:hAnsi="Arial"/>
          <w:sz w:val="18"/>
          <w:szCs w:val="18"/>
          <w:color w:val="auto"/>
        </w:rPr>
        <w:t xml:space="preserve">such litigation pro rata in accordance with the aggregate amounts spent by both Parties, and any remaining amounts shall be split </w:t>
      </w:r>
      <w:r>
        <w:rPr>
          <w:rFonts w:ascii="Arial" w:cs="Arial" w:eastAsia="Arial" w:hAnsi="Arial"/>
          <w:sz w:val="15"/>
          <w:szCs w:val="15"/>
          <w:color w:val="auto"/>
        </w:rPr>
        <w:t>[***]</w:t>
      </w:r>
      <w:r>
        <w:rPr>
          <w:rFonts w:ascii="Arial" w:cs="Arial" w:eastAsia="Arial" w:hAnsi="Arial"/>
          <w:sz w:val="18"/>
          <w:szCs w:val="18"/>
          <w:color w:val="auto"/>
        </w:rPr>
        <w:t xml:space="preserve"> to Olema and </w:t>
      </w:r>
      <w:r>
        <w:rPr>
          <w:rFonts w:ascii="Arial" w:cs="Arial" w:eastAsia="Arial" w:hAnsi="Arial"/>
          <w:sz w:val="15"/>
          <w:szCs w:val="15"/>
          <w:color w:val="auto"/>
        </w:rPr>
        <w:t>[***]</w:t>
      </w:r>
      <w:r>
        <w:rPr>
          <w:rFonts w:ascii="Arial" w:cs="Arial" w:eastAsia="Arial" w:hAnsi="Arial"/>
          <w:sz w:val="18"/>
          <w:szCs w:val="18"/>
          <w:color w:val="auto"/>
        </w:rPr>
        <w:t xml:space="preserve"> to Novartis, unless the Parties agree in writing to a different allocation. If the Parties do not agree to initiating such an enforcement action, then either Party may initiate such action, under the following terms: (A)</w:t>
      </w:r>
    </w:p>
    <w:p>
      <w:pPr>
        <w:spacing w:after="0" w:line="1" w:lineRule="exact"/>
        <w:rPr>
          <w:sz w:val="20"/>
          <w:szCs w:val="20"/>
          <w:color w:val="auto"/>
        </w:rPr>
      </w:pPr>
    </w:p>
    <w:p>
      <w:pPr>
        <w:ind w:firstLine="8"/>
        <w:spacing w:after="0" w:line="244" w:lineRule="auto"/>
        <w:tabs>
          <w:tab w:leader="none" w:pos="435" w:val="left"/>
        </w:tabs>
        <w:numPr>
          <w:ilvl w:val="0"/>
          <w:numId w:val="82"/>
        </w:numPr>
        <w:rPr>
          <w:rFonts w:ascii="Arial" w:cs="Arial" w:eastAsia="Arial" w:hAnsi="Arial"/>
          <w:sz w:val="18"/>
          <w:szCs w:val="18"/>
          <w:color w:val="auto"/>
        </w:rPr>
      </w:pPr>
      <w:r>
        <w:rPr>
          <w:rFonts w:ascii="Arial" w:cs="Arial" w:eastAsia="Arial" w:hAnsi="Arial"/>
          <w:sz w:val="20"/>
          <w:szCs w:val="20"/>
          <w:color w:val="auto"/>
        </w:rPr>
        <w:t xml:space="preserve">and (B) </w:t>
      </w:r>
      <w:r>
        <w:rPr>
          <w:rFonts w:ascii="Arial" w:cs="Arial" w:eastAsia="Arial" w:hAnsi="Arial"/>
          <w:sz w:val="17"/>
          <w:szCs w:val="17"/>
          <w:color w:val="auto"/>
        </w:rPr>
        <w:t>[***]</w:t>
      </w:r>
      <w:r>
        <w:rPr>
          <w:rFonts w:ascii="Arial" w:cs="Arial" w:eastAsia="Arial" w:hAnsi="Arial"/>
          <w:sz w:val="20"/>
          <w:szCs w:val="20"/>
          <w:color w:val="auto"/>
        </w:rPr>
        <w:t>. Neither Party shall enter into any settlement of any enforcement action under this Section 6.4(d) without the prior written consent of the other Party, such consent not to be unreasonably withheld.</w:t>
      </w:r>
    </w:p>
    <w:p>
      <w:pPr>
        <w:spacing w:after="0" w:line="14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6.5</w:t>
      </w:r>
      <w:r>
        <w:rPr>
          <w:sz w:val="20"/>
          <w:szCs w:val="20"/>
          <w:color w:val="auto"/>
        </w:rPr>
        <w:tab/>
      </w:r>
      <w:r>
        <w:rPr>
          <w:rFonts w:ascii="Arial" w:cs="Arial" w:eastAsia="Arial" w:hAnsi="Arial"/>
          <w:sz w:val="18"/>
          <w:szCs w:val="18"/>
          <w:b w:val="1"/>
          <w:bCs w:val="1"/>
          <w:color w:val="auto"/>
        </w:rPr>
        <w:t>Infringement of Third Party Rights.</w:t>
      </w:r>
    </w:p>
    <w:p>
      <w:pPr>
        <w:spacing w:after="0" w:line="189" w:lineRule="exact"/>
        <w:rPr>
          <w:sz w:val="20"/>
          <w:szCs w:val="20"/>
          <w:color w:val="auto"/>
        </w:rPr>
      </w:pPr>
    </w:p>
    <w:p>
      <w:pPr>
        <w:jc w:val="both"/>
        <w:ind w:firstLine="1304"/>
        <w:spacing w:after="0" w:line="252" w:lineRule="auto"/>
        <w:tabs>
          <w:tab w:leader="none" w:pos="194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Notice. </w:t>
      </w:r>
      <w:r>
        <w:rPr>
          <w:rFonts w:ascii="Arial" w:cs="Arial" w:eastAsia="Arial" w:hAnsi="Arial"/>
          <w:sz w:val="18"/>
          <w:szCs w:val="18"/>
          <w:color w:val="auto"/>
        </w:rPr>
        <w:t>If activities conducted by a Party relating to the Combined Therapy Clinical Trials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otherwise pursuant to this Agreement become the subject of a claim of infringement or misappropriation of a patent, copyright or other proprietary right by a Third Party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3</w:t>
      </w:r>
      <w:r>
        <w:rPr>
          <w:rFonts w:ascii="Arial" w:cs="Arial" w:eastAsia="Arial" w:hAnsi="Arial"/>
          <w:sz w:val="26"/>
          <w:szCs w:val="26"/>
          <w:b w:val="1"/>
          <w:bCs w:val="1"/>
          <w:i w:val="1"/>
          <w:iCs w:val="1"/>
          <w:color w:val="auto"/>
          <w:vertAlign w:val="superscript"/>
        </w:rPr>
        <w:t>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Party Infringement Claim</w:t>
      </w:r>
      <w:r>
        <w:rPr>
          <w:rFonts w:ascii="Arial" w:cs="Arial" w:eastAsia="Arial" w:hAnsi="Arial"/>
          <w:sz w:val="18"/>
          <w:szCs w:val="18"/>
          <w:b w:val="1"/>
          <w:bCs w:val="1"/>
          <w:color w:val="auto"/>
        </w:rPr>
        <w:t>”</w:t>
      </w:r>
      <w:r>
        <w:rPr>
          <w:rFonts w:ascii="Arial" w:cs="Arial" w:eastAsia="Arial" w:hAnsi="Arial"/>
          <w:sz w:val="18"/>
          <w:szCs w:val="18"/>
          <w:color w:val="auto"/>
        </w:rPr>
        <w:t>) anywhere in the world against a Party, the Party first having notice of the claim shall promptly notify the other Party and, without regard to which Party is charged with said infringement and the venue of such claim, the Parties shall promptly confer to discuss the claim.</w:t>
      </w:r>
    </w:p>
    <w:p>
      <w:pPr>
        <w:spacing w:after="0" w:line="139" w:lineRule="exact"/>
        <w:rPr>
          <w:rFonts w:ascii="Arial" w:cs="Arial" w:eastAsia="Arial" w:hAnsi="Arial"/>
          <w:sz w:val="18"/>
          <w:szCs w:val="18"/>
          <w:b w:val="1"/>
          <w:bCs w:val="1"/>
          <w:color w:val="auto"/>
        </w:rPr>
      </w:pPr>
    </w:p>
    <w:p>
      <w:pPr>
        <w:jc w:val="both"/>
        <w:ind w:firstLine="1304"/>
        <w:spacing w:after="0" w:line="268" w:lineRule="auto"/>
        <w:tabs>
          <w:tab w:leader="none" w:pos="202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Defense. </w:t>
      </w:r>
      <w:r>
        <w:rPr>
          <w:rFonts w:ascii="Arial" w:cs="Arial" w:eastAsia="Arial" w:hAnsi="Arial"/>
          <w:sz w:val="18"/>
          <w:szCs w:val="18"/>
          <w:color w:val="auto"/>
        </w:rPr>
        <w:t>If both Parties are charged with infringement pursuant to a 3rd Party Infringement Claim</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described in Section 6.5(a), each Party shall have the right to defend itself against such claim, and the Parties shall discuss in good faith defending such claim jointly. If only one Party is charged with infringement in such 3rd Party Infringement Claim, such Party will have the first right but not the obligation to defend such claim. If the charged Party does not commence actions to defend such claim within </w:t>
      </w:r>
      <w:r>
        <w:rPr>
          <w:rFonts w:ascii="Arial" w:cs="Arial" w:eastAsia="Arial" w:hAnsi="Arial"/>
          <w:sz w:val="15"/>
          <w:szCs w:val="15"/>
          <w:color w:val="auto"/>
        </w:rPr>
        <w:t>[***]</w:t>
      </w:r>
      <w:r>
        <w:rPr>
          <w:rFonts w:ascii="Arial" w:cs="Arial" w:eastAsia="Arial" w:hAnsi="Arial"/>
          <w:sz w:val="18"/>
          <w:szCs w:val="18"/>
          <w:color w:val="auto"/>
        </w:rPr>
        <w:t xml:space="preserve"> after request by the other Party to do so, then the other Party shall have the right, but not the obligation, to defend any such claim to the extent such claim pertains to the other Party’s Single Agent Compound. In any event, the non-defending Party shall reasonably cooperate with the Party conducting the defense of the 3rd Party Infringement Claim and shall have the right to participate with separate counsel at its own expense (but solely with respect to its interests, and shall not interfere with the defending Party’s defense of the claim), and the defending Party shall consider comments and suggestions on strategy for defending the action by the non-defending Party in good faith. The Party defending the claim shall </w:t>
      </w:r>
      <w:r>
        <w:rPr>
          <w:rFonts w:ascii="Arial" w:cs="Arial" w:eastAsia="Arial" w:hAnsi="Arial"/>
          <w:sz w:val="15"/>
          <w:szCs w:val="15"/>
          <w:color w:val="auto"/>
        </w:rPr>
        <w:t>[***]</w:t>
      </w:r>
      <w:r>
        <w:rPr>
          <w:rFonts w:ascii="Arial" w:cs="Arial" w:eastAsia="Arial" w:hAnsi="Arial"/>
          <w:sz w:val="18"/>
          <w:szCs w:val="18"/>
          <w:color w:val="auto"/>
        </w:rPr>
        <w:t xml:space="preserve"> and shall </w:t>
      </w:r>
      <w:r>
        <w:rPr>
          <w:rFonts w:ascii="Arial" w:cs="Arial" w:eastAsia="Arial" w:hAnsi="Arial"/>
          <w:sz w:val="15"/>
          <w:szCs w:val="15"/>
          <w:color w:val="auto"/>
        </w:rPr>
        <w:t>[***]</w:t>
      </w:r>
      <w:r>
        <w:rPr>
          <w:rFonts w:ascii="Arial" w:cs="Arial" w:eastAsia="Arial" w:hAnsi="Arial"/>
          <w:sz w:val="18"/>
          <w:szCs w:val="18"/>
          <w:color w:val="auto"/>
        </w:rPr>
        <w:t xml:space="preserve">. If the Parties jointly defend the claim, Olema shall bear </w:t>
      </w:r>
      <w:r>
        <w:rPr>
          <w:rFonts w:ascii="Arial" w:cs="Arial" w:eastAsia="Arial" w:hAnsi="Arial"/>
          <w:sz w:val="15"/>
          <w:szCs w:val="15"/>
          <w:color w:val="auto"/>
        </w:rPr>
        <w:t>[***]</w:t>
      </w:r>
      <w:r>
        <w:rPr>
          <w:rFonts w:ascii="Arial" w:cs="Arial" w:eastAsia="Arial" w:hAnsi="Arial"/>
          <w:sz w:val="18"/>
          <w:szCs w:val="18"/>
          <w:color w:val="auto"/>
        </w:rPr>
        <w:t xml:space="preserve">, and Novartis shall bear </w:t>
      </w:r>
      <w:r>
        <w:rPr>
          <w:rFonts w:ascii="Arial" w:cs="Arial" w:eastAsia="Arial" w:hAnsi="Arial"/>
          <w:sz w:val="15"/>
          <w:szCs w:val="15"/>
          <w:color w:val="auto"/>
        </w:rPr>
        <w:t>[***]</w:t>
      </w:r>
      <w:r>
        <w:rPr>
          <w:rFonts w:ascii="Arial" w:cs="Arial" w:eastAsia="Arial" w:hAnsi="Arial"/>
          <w:sz w:val="18"/>
          <w:szCs w:val="18"/>
          <w:color w:val="auto"/>
        </w:rPr>
        <w:t xml:space="preserve"> of any external costs and expenses of the defense of any such Third Party infringement claim;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however, that, </w:t>
      </w:r>
      <w:r>
        <w:rPr>
          <w:rFonts w:ascii="Arial" w:cs="Arial" w:eastAsia="Arial" w:hAnsi="Arial"/>
          <w:sz w:val="18"/>
          <w:szCs w:val="18"/>
          <w:color w:val="auto"/>
        </w:rPr>
        <w:t>notwithstanding the foregoing, if the claim relates solely to one Party’s Compound, such Party will bear one</w:t>
      </w:r>
      <w:r>
        <w:rPr>
          <w:rFonts w:ascii="Arial" w:cs="Arial" w:eastAsia="Arial" w:hAnsi="Arial"/>
          <w:sz w:val="18"/>
          <w:szCs w:val="18"/>
          <w:i w:val="1"/>
          <w:iCs w:val="1"/>
          <w:color w:val="auto"/>
        </w:rPr>
        <w:t xml:space="preserve"> </w:t>
      </w:r>
      <w:r>
        <w:rPr>
          <w:rFonts w:ascii="Arial" w:cs="Arial" w:eastAsia="Arial" w:hAnsi="Arial"/>
          <w:sz w:val="18"/>
          <w:szCs w:val="18"/>
          <w:color w:val="auto"/>
        </w:rPr>
        <w:t>hundred percent (100%) of the costs and expenses of the defense of such claim and shall have the sole right, but not the obligation, to defend, settle and otherwise handle the disposition of such claim. Neither Party shall enter into any settlement of any such Third Party infringement action under this Section 6.5 concerning activities under this Agreement or the Combined Therapy that materially negatively affects the other Party’s rights under this Agreement or imposes any material obligations on the other Party, including any admissions of wrongdoing on behalf of the other Party, without such other Party’s prior written consent, not to be unreasonably withheld or delayed, except that a Party may settle any claim that solely relates to its Single Agent Compound without the consent of the other Party and Novartis may settle any claim that solely relates to the Novartis Alpelisib Metabolite without the Consent of Olema as long as such other Party’s rights under this Agreement are not materially adversely impacted (and in the case such a settlement would materially adversely affect the other Party’s rights under this Agreement, such settlement cannot be entered into, unless the Party obtains such other Party’s prior written consent, not to be unreasonably withheld or delayed).</w:t>
      </w:r>
    </w:p>
    <w:p>
      <w:pPr>
        <w:spacing w:after="0" w:line="13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b w:val="1"/>
          <w:bCs w:val="1"/>
          <w:color w:val="auto"/>
        </w:rPr>
        <w:t xml:space="preserve">6.6 Clinical Trial Regulatory Documentation. </w:t>
      </w:r>
      <w:r>
        <w:rPr>
          <w:rFonts w:ascii="Arial" w:cs="Arial" w:eastAsia="Arial" w:hAnsi="Arial"/>
          <w:sz w:val="18"/>
          <w:szCs w:val="18"/>
          <w:color w:val="auto"/>
        </w:rPr>
        <w:t>Subject to the license and other rights granted by each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other Party pursuant to this Agreement, Olema shall solely own all right, title and interest in and to the Combined Therapy Clinical Trials Regulatory Documentation;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for clarity, Novartis shall retain sole and exclusive ownership of any Novartis Regulatory Documentation that is submitted with or referenced in the Combined Therapy Clinical Trials Regulatory Documentation and that Olema shall retain sole and exclusive ownership of any Olema Regulatory Documentation that is submitted with or referenced in the Combined Therapy Clinical Trials Regulatory Documentation. This Section 6.6 is without limitation of any other disclosure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3" w:name="page124"/>
    <w:bookmarkEnd w:id="123"/>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6.7 No Other Use. </w:t>
      </w:r>
      <w:r>
        <w:rPr>
          <w:rFonts w:ascii="Arial" w:cs="Arial" w:eastAsia="Arial" w:hAnsi="Arial"/>
          <w:sz w:val="20"/>
          <w:szCs w:val="20"/>
          <w:color w:val="auto"/>
        </w:rPr>
        <w:t>Except as expressly provided or permitted in Section 6.2, Olema agrees not to apply for any</w:t>
      </w:r>
      <w:r>
        <w:rPr>
          <w:rFonts w:ascii="Arial" w:cs="Arial" w:eastAsia="Arial" w:hAnsi="Arial"/>
          <w:sz w:val="20"/>
          <w:szCs w:val="20"/>
          <w:b w:val="1"/>
          <w:bCs w:val="1"/>
          <w:color w:val="auto"/>
        </w:rPr>
        <w:t xml:space="preserve"> </w:t>
      </w:r>
      <w:r>
        <w:rPr>
          <w:rFonts w:ascii="Arial" w:cs="Arial" w:eastAsia="Arial" w:hAnsi="Arial"/>
          <w:sz w:val="20"/>
          <w:szCs w:val="20"/>
          <w:color w:val="auto"/>
        </w:rPr>
        <w:t>Patent Rights based on or containing Novartis Confidential Information, and to give no assistance to any Third Party for such application without Novartis’s prior written authorization, and Novartis agrees not to apply for any Patent Rights based on or containing Olema’s Confidential Information, and to give no assistance to any Third Party for such application without Olema’s prior written authorization.</w:t>
      </w:r>
    </w:p>
    <w:p>
      <w:pPr>
        <w:spacing w:after="0" w:line="14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20"/>
          <w:szCs w:val="20"/>
          <w:b w:val="1"/>
          <w:bCs w:val="1"/>
          <w:color w:val="auto"/>
        </w:rPr>
        <w:t xml:space="preserve">6.8 Joint Research Agreement. </w:t>
      </w:r>
      <w:r>
        <w:rPr>
          <w:rFonts w:ascii="Arial" w:cs="Arial" w:eastAsia="Arial" w:hAnsi="Arial"/>
          <w:sz w:val="20"/>
          <w:szCs w:val="20"/>
          <w:color w:val="auto"/>
        </w:rPr>
        <w:t>The Parties acknowledge and agree that this Agreement is a “joint research</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as defined in 35 USC § 100 (h).</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7</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RECORDS AND STUDY DATA</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9"/>
          <w:szCs w:val="19"/>
          <w:b w:val="1"/>
          <w:bCs w:val="1"/>
          <w:color w:val="auto"/>
        </w:rPr>
        <w:t xml:space="preserve">7.1 </w:t>
      </w:r>
      <w:r>
        <w:rPr>
          <w:rFonts w:ascii="Arial" w:cs="Arial" w:eastAsia="Arial" w:hAnsi="Arial"/>
          <w:sz w:val="20"/>
          <w:szCs w:val="20"/>
          <w:b w:val="1"/>
          <w:bCs w:val="1"/>
          <w:color w:val="auto"/>
        </w:rPr>
        <w:t>Records.</w:t>
      </w:r>
      <w:r>
        <w:rPr>
          <w:rFonts w:ascii="Arial" w:cs="Arial" w:eastAsia="Arial" w:hAnsi="Arial"/>
          <w:sz w:val="19"/>
          <w:szCs w:val="19"/>
          <w:b w:val="1"/>
          <w:bCs w:val="1"/>
          <w:color w:val="auto"/>
        </w:rPr>
        <w:t xml:space="preserve"> </w:t>
      </w:r>
      <w:r>
        <w:rPr>
          <w:rFonts w:ascii="Arial" w:cs="Arial" w:eastAsia="Arial" w:hAnsi="Arial"/>
          <w:sz w:val="20"/>
          <w:szCs w:val="20"/>
          <w:color w:val="auto"/>
        </w:rPr>
        <w:t>Each Party shall maintain complete and accurate records of all work conducted with</w:t>
      </w:r>
      <w:r>
        <w:rPr>
          <w:rFonts w:ascii="Arial" w:cs="Arial" w:eastAsia="Arial" w:hAnsi="Arial"/>
          <w:sz w:val="19"/>
          <w:szCs w:val="19"/>
          <w:b w:val="1"/>
          <w:bCs w:val="1"/>
          <w:color w:val="auto"/>
        </w:rPr>
        <w:t xml:space="preserve"> </w:t>
      </w:r>
      <w:r>
        <w:rPr>
          <w:rFonts w:ascii="Arial" w:cs="Arial" w:eastAsia="Arial" w:hAnsi="Arial"/>
          <w:sz w:val="20"/>
          <w:szCs w:val="20"/>
          <w:color w:val="auto"/>
        </w:rPr>
        <w:t>respect to the Combined Therapy Clinical Trials and of all Study Inventions and Study Data made, discovered or generated by or on behalf of such Party or its Affiliate, or by the Parties together, in the course of such Party’s (ies’) efforts with respect to the Combined Therapy Clinical Trials. Such records shall fully and properly reflect all work done and results achieved in the performance of the Combined Therapy Clinical Trials in sufficient detail and in good scientific manner appropriate for patent and regulatory purposes.</w:t>
      </w:r>
    </w:p>
    <w:p>
      <w:pPr>
        <w:spacing w:after="0" w:line="13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7.2 Ownership of Study Data. </w:t>
      </w:r>
      <w:r>
        <w:rPr>
          <w:rFonts w:ascii="Arial" w:cs="Arial" w:eastAsia="Arial" w:hAnsi="Arial"/>
          <w:sz w:val="19"/>
          <w:szCs w:val="19"/>
          <w:color w:val="auto"/>
        </w:rPr>
        <w:t>As between Novartis and Olema, (a) Novartis shall own the particular Study</w:t>
      </w:r>
      <w:r>
        <w:rPr>
          <w:rFonts w:ascii="Arial" w:cs="Arial" w:eastAsia="Arial" w:hAnsi="Arial"/>
          <w:sz w:val="19"/>
          <w:szCs w:val="19"/>
          <w:b w:val="1"/>
          <w:bCs w:val="1"/>
          <w:color w:val="auto"/>
        </w:rPr>
        <w:t xml:space="preserve"> </w:t>
      </w:r>
      <w:r>
        <w:rPr>
          <w:rFonts w:ascii="Arial" w:cs="Arial" w:eastAsia="Arial" w:hAnsi="Arial"/>
          <w:sz w:val="19"/>
          <w:szCs w:val="19"/>
          <w:color w:val="auto"/>
        </w:rPr>
        <w:t>Data that relate exclusively to the Novartis Study Drugs and the particular Study Data that relates exclusively to the Novartis Alpelisib Metabolite (collectively, “</w:t>
      </w:r>
      <w:r>
        <w:rPr>
          <w:rFonts w:ascii="Arial" w:cs="Arial" w:eastAsia="Arial" w:hAnsi="Arial"/>
          <w:sz w:val="19"/>
          <w:szCs w:val="19"/>
          <w:b w:val="1"/>
          <w:bCs w:val="1"/>
          <w:i w:val="1"/>
          <w:iCs w:val="1"/>
          <w:color w:val="auto"/>
        </w:rPr>
        <w:t>Novartis Study Data</w:t>
      </w:r>
      <w:r>
        <w:rPr>
          <w:rFonts w:ascii="Arial" w:cs="Arial" w:eastAsia="Arial" w:hAnsi="Arial"/>
          <w:sz w:val="19"/>
          <w:szCs w:val="19"/>
          <w:color w:val="auto"/>
        </w:rPr>
        <w:t>”), and Olema shall own the particular Study Data that relate exclusively to Olema Study Drug (“</w:t>
      </w:r>
      <w:r>
        <w:rPr>
          <w:rFonts w:ascii="Arial" w:cs="Arial" w:eastAsia="Arial" w:hAnsi="Arial"/>
          <w:sz w:val="19"/>
          <w:szCs w:val="19"/>
          <w:b w:val="1"/>
          <w:bCs w:val="1"/>
          <w:i w:val="1"/>
          <w:iCs w:val="1"/>
          <w:color w:val="auto"/>
        </w:rPr>
        <w:t>Olema Study Data</w:t>
      </w:r>
      <w:r>
        <w:rPr>
          <w:rFonts w:ascii="Arial" w:cs="Arial" w:eastAsia="Arial" w:hAnsi="Arial"/>
          <w:sz w:val="19"/>
          <w:szCs w:val="19"/>
          <w:color w:val="auto"/>
        </w:rPr>
        <w:t>”), and (b) both Parties shall jointly own any and all Study Data that is not Olema Study Data or the Novartis Study Data (“</w:t>
      </w:r>
      <w:r>
        <w:rPr>
          <w:rFonts w:ascii="Arial" w:cs="Arial" w:eastAsia="Arial" w:hAnsi="Arial"/>
          <w:sz w:val="19"/>
          <w:szCs w:val="19"/>
          <w:b w:val="1"/>
          <w:bCs w:val="1"/>
          <w:i w:val="1"/>
          <w:iCs w:val="1"/>
          <w:color w:val="auto"/>
        </w:rPr>
        <w:t>Combined Therapy Study Data</w:t>
      </w:r>
      <w:r>
        <w:rPr>
          <w:rFonts w:ascii="Arial" w:cs="Arial" w:eastAsia="Arial" w:hAnsi="Arial"/>
          <w:sz w:val="19"/>
          <w:szCs w:val="19"/>
          <w:color w:val="auto"/>
        </w:rPr>
        <w:t>”). Each Party shall, and does hereby, assign, and shall cause its Affiliates to so assign, to the other Party, without additional compensation, its right, title and interest in and to any Study Data as is necessary to fully effect the foregoing ownership, and agrees to execute all instruments as may be reasonably necessary to effect same.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7.3</w:t>
      </w:r>
      <w:r>
        <w:rPr>
          <w:sz w:val="20"/>
          <w:szCs w:val="20"/>
          <w:color w:val="auto"/>
        </w:rPr>
        <w:tab/>
      </w:r>
      <w:r>
        <w:rPr>
          <w:rFonts w:ascii="Arial" w:cs="Arial" w:eastAsia="Arial" w:hAnsi="Arial"/>
          <w:sz w:val="16"/>
          <w:szCs w:val="16"/>
          <w:b w:val="1"/>
          <w:bCs w:val="1"/>
          <w:color w:val="auto"/>
        </w:rPr>
        <w:t>Use of Study Data.</w:t>
      </w:r>
    </w:p>
    <w:p>
      <w:pPr>
        <w:spacing w:after="0" w:line="175" w:lineRule="exact"/>
        <w:rPr>
          <w:sz w:val="20"/>
          <w:szCs w:val="20"/>
          <w:color w:val="auto"/>
        </w:rPr>
      </w:pPr>
    </w:p>
    <w:p>
      <w:pPr>
        <w:jc w:val="both"/>
        <w:ind w:firstLine="1304"/>
        <w:spacing w:after="0" w:line="265" w:lineRule="auto"/>
        <w:tabs>
          <w:tab w:leader="none" w:pos="1944"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a Party’s Own Study Data. </w:t>
      </w:r>
      <w:r>
        <w:rPr>
          <w:rFonts w:ascii="Arial" w:cs="Arial" w:eastAsia="Arial" w:hAnsi="Arial"/>
          <w:sz w:val="19"/>
          <w:szCs w:val="19"/>
          <w:color w:val="auto"/>
        </w:rPr>
        <w:t>Novartis may use and analyze the Novartis Study Data for any</w:t>
      </w:r>
      <w:r>
        <w:rPr>
          <w:rFonts w:ascii="Arial" w:cs="Arial" w:eastAsia="Arial" w:hAnsi="Arial"/>
          <w:sz w:val="19"/>
          <w:szCs w:val="19"/>
          <w:b w:val="1"/>
          <w:bCs w:val="1"/>
          <w:color w:val="auto"/>
        </w:rPr>
        <w:t xml:space="preserve"> </w:t>
      </w:r>
      <w:r>
        <w:rPr>
          <w:rFonts w:ascii="Arial" w:cs="Arial" w:eastAsia="Arial" w:hAnsi="Arial"/>
          <w:sz w:val="19"/>
          <w:szCs w:val="19"/>
          <w:color w:val="auto"/>
        </w:rPr>
        <w:t>purpose without obligation or accounting to Olema, who shall hold the Novartis Study Data in confidence pursuant to this Agreement. Olema may use and analyze Olema Study Data for any purpose without obligation or accounting to Novartis, who shall hold Olema Study Data in confidence pursuant to this Agreement.</w:t>
      </w:r>
    </w:p>
    <w:p>
      <w:pPr>
        <w:spacing w:after="0" w:line="142" w:lineRule="exact"/>
        <w:rPr>
          <w:rFonts w:ascii="Arial" w:cs="Arial" w:eastAsia="Arial" w:hAnsi="Arial"/>
          <w:sz w:val="19"/>
          <w:szCs w:val="19"/>
          <w:b w:val="1"/>
          <w:bCs w:val="1"/>
          <w:color w:val="auto"/>
        </w:rPr>
      </w:pPr>
    </w:p>
    <w:p>
      <w:pPr>
        <w:jc w:val="both"/>
        <w:ind w:firstLine="1304"/>
        <w:spacing w:after="0" w:line="256" w:lineRule="auto"/>
        <w:tabs>
          <w:tab w:leader="none" w:pos="1944"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Combined Therapy Study Data by Novartis. </w:t>
      </w:r>
      <w:r>
        <w:rPr>
          <w:rFonts w:ascii="Arial" w:cs="Arial" w:eastAsia="Arial" w:hAnsi="Arial"/>
          <w:sz w:val="19"/>
          <w:szCs w:val="19"/>
          <w:color w:val="auto"/>
        </w:rPr>
        <w:t>As between Novartis and Olema, Novartis</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and its Affiliates and (sub)licensees have the rights in the Territory to use, analyze and exploit the Combined Therapy Study Data for all purposes, including in connection with the independent development, commercialization or other exploitation of the Novartis Study Drugs or the Novartis Alpelisib Metabolite (each alone or in combination with other drugs and/or other pharmaceutical agents), without the consent of, or any obligation to account to, Olema;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the foregoing grants or shall grant, or is intended or shall be construed as granting, Novartis or its Affiliates or (sub)licensees, any right or license, expressly or impliedly, to make, have made, use, sell, offer for sale, or import Olema Study Drug anywhere in the Territory. Subject to Section 7.5, the results of all such analyses or uses shall be owned by Novartis, including any intellectual property arising out of same, unless the Parties shall have agreed otherwise in a writing separate from this Agreement. The Novartis rights in this subsection (b) are subject to the disclosure limitation in subsection (e)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24" w:name="page125"/>
    <w:bookmarkEnd w:id="124"/>
    <w:p>
      <w:pPr>
        <w:jc w:val="both"/>
        <w:ind w:firstLine="1304"/>
        <w:spacing w:after="0" w:line="256" w:lineRule="auto"/>
        <w:tabs>
          <w:tab w:leader="none" w:pos="2025" w:val="left"/>
        </w:tabs>
        <w:numPr>
          <w:ilvl w:val="0"/>
          <w:numId w:val="8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Use of Combined Therapy Study Data by Olema. </w:t>
      </w:r>
      <w:r>
        <w:rPr>
          <w:rFonts w:ascii="Arial" w:cs="Arial" w:eastAsia="Arial" w:hAnsi="Arial"/>
          <w:sz w:val="19"/>
          <w:szCs w:val="19"/>
          <w:color w:val="auto"/>
        </w:rPr>
        <w:t>As between Olema and Novartis, Olema and</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its Affiliates and (sub)licensees have the rights in the Territory to use, analyze and exploit the Combined Therapy Study Data for all purposes, including in connection with the independent development, commercialization or other exploitation of Olema Study Drug (alone or in combination with other drugs and/or other pharmaceutical agents other than Novartis Study Drugs and the Novartis Alpelisib Metabolite), without the consent of, or any obligation to account to, Novartis;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in the foregoing grants or shall grant, or is intended or shall be construed as granting, Olema or its Affiliates or (sub)licensees, any right or license, expressly or impliedly, to make, have made, use, sell, offer for sale, or import the Novartis Study Drugs or the Novartis Alpelisib Metabolite in the Territory. Subject to Section 7.5, the results of all such analyses or uses shall be owned by Olema, including any intellectual property arising out of same, unless the Parties shall have agreed otherwise in a writing separate from this Agreement.</w:t>
      </w:r>
    </w:p>
    <w:p>
      <w:pPr>
        <w:spacing w:after="0" w:line="139" w:lineRule="exact"/>
        <w:rPr>
          <w:rFonts w:ascii="Arial" w:cs="Arial" w:eastAsia="Arial" w:hAnsi="Arial"/>
          <w:sz w:val="19"/>
          <w:szCs w:val="19"/>
          <w:b w:val="1"/>
          <w:bCs w:val="1"/>
          <w:color w:val="auto"/>
        </w:rPr>
      </w:pPr>
    </w:p>
    <w:p>
      <w:pPr>
        <w:jc w:val="both"/>
        <w:ind w:firstLine="1304"/>
        <w:spacing w:after="0" w:line="257" w:lineRule="auto"/>
        <w:tabs>
          <w:tab w:leader="none" w:pos="2025" w:val="left"/>
        </w:tabs>
        <w:numPr>
          <w:ilvl w:val="0"/>
          <w:numId w:val="85"/>
        </w:numPr>
        <w:rPr>
          <w:rFonts w:ascii="Arial" w:cs="Arial" w:eastAsia="Arial" w:hAnsi="Arial"/>
          <w:sz w:val="20"/>
          <w:szCs w:val="20"/>
          <w:b w:val="1"/>
          <w:bCs w:val="1"/>
          <w:color w:val="auto"/>
        </w:rPr>
      </w:pPr>
      <w:r>
        <w:rPr>
          <w:rFonts w:ascii="Arial" w:cs="Arial" w:eastAsia="Arial" w:hAnsi="Arial"/>
          <w:sz w:val="18"/>
          <w:szCs w:val="18"/>
          <w:b w:val="1"/>
          <w:bCs w:val="1"/>
          <w:color w:val="auto"/>
        </w:rPr>
        <w:t>[***]</w:t>
      </w:r>
      <w:r>
        <w:rPr>
          <w:rFonts w:ascii="Arial" w:cs="Arial" w:eastAsia="Arial" w:hAnsi="Arial"/>
          <w:sz w:val="19"/>
          <w:szCs w:val="19"/>
          <w:b w:val="1"/>
          <w:bCs w:val="1"/>
          <w:color w:val="auto"/>
        </w:rPr>
        <w:t>.</w:t>
      </w:r>
      <w:r>
        <w:rPr>
          <w:rFonts w:ascii="Arial" w:cs="Arial" w:eastAsia="Arial" w:hAnsi="Arial"/>
          <w:sz w:val="18"/>
          <w:szCs w:val="18"/>
          <w:b w:val="1"/>
          <w:bCs w:val="1"/>
          <w:color w:val="auto"/>
        </w:rPr>
        <w:t xml:space="preserve"> </w:t>
      </w:r>
      <w:r>
        <w:rPr>
          <w:rFonts w:ascii="Arial" w:cs="Arial" w:eastAsia="Arial" w:hAnsi="Arial"/>
          <w:sz w:val="19"/>
          <w:szCs w:val="19"/>
          <w:color w:val="auto"/>
        </w:rPr>
        <w:t>Each Party may use, and may disclose to a Third Party for such use, under obligations of</w:t>
      </w:r>
      <w:r>
        <w:rPr>
          <w:rFonts w:ascii="Arial" w:cs="Arial" w:eastAsia="Arial" w:hAnsi="Arial"/>
          <w:sz w:val="18"/>
          <w:szCs w:val="18"/>
          <w:b w:val="1"/>
          <w:bCs w:val="1"/>
          <w:color w:val="auto"/>
        </w:rPr>
        <w:t xml:space="preserve"> </w:t>
      </w:r>
      <w:r>
        <w:rPr>
          <w:rFonts w:ascii="Arial" w:cs="Arial" w:eastAsia="Arial" w:hAnsi="Arial"/>
          <w:sz w:val="19"/>
          <w:szCs w:val="19"/>
          <w:color w:val="auto"/>
        </w:rPr>
        <w:t xml:space="preserve">confidentiality consistent with this Agreement, the Combined Therapy Study Data and the Study Data that relate exclusively to its Compound, to </w:t>
      </w:r>
      <w:r>
        <w:rPr>
          <w:rFonts w:ascii="Arial" w:cs="Arial" w:eastAsia="Arial" w:hAnsi="Arial"/>
          <w:sz w:val="17"/>
          <w:szCs w:val="17"/>
          <w:color w:val="auto"/>
        </w:rPr>
        <w:t>[***]</w:t>
      </w:r>
      <w:r>
        <w:rPr>
          <w:rFonts w:ascii="Arial" w:cs="Arial" w:eastAsia="Arial" w:hAnsi="Arial"/>
          <w:sz w:val="19"/>
          <w:szCs w:val="19"/>
          <w:color w:val="auto"/>
        </w:rPr>
        <w:t xml:space="preserve">. Unless otherwise mutually agreed by the Parties in writing, and except as otherwise agreed with any Third Party, each Party will </w:t>
      </w:r>
      <w:r>
        <w:rPr>
          <w:rFonts w:ascii="Arial" w:cs="Arial" w:eastAsia="Arial" w:hAnsi="Arial"/>
          <w:sz w:val="17"/>
          <w:szCs w:val="17"/>
          <w:color w:val="auto"/>
        </w:rPr>
        <w:t>[***]</w:t>
      </w:r>
      <w:r>
        <w:rPr>
          <w:rFonts w:ascii="Arial" w:cs="Arial" w:eastAsia="Arial" w:hAnsi="Arial"/>
          <w:sz w:val="19"/>
          <w:szCs w:val="19"/>
          <w:color w:val="auto"/>
        </w:rPr>
        <w:t xml:space="preserve">, and if requested by the other Party, it shall, to the extent allowed under applicable Third Party agreements, grant to the other Party a </w:t>
      </w:r>
      <w:r>
        <w:rPr>
          <w:rFonts w:ascii="Arial" w:cs="Arial" w:eastAsia="Arial" w:hAnsi="Arial"/>
          <w:sz w:val="17"/>
          <w:szCs w:val="17"/>
          <w:color w:val="auto"/>
        </w:rPr>
        <w:t>[***]</w:t>
      </w:r>
      <w:r>
        <w:rPr>
          <w:rFonts w:ascii="Arial" w:cs="Arial" w:eastAsia="Arial" w:hAnsi="Arial"/>
          <w:sz w:val="19"/>
          <w:szCs w:val="19"/>
          <w:color w:val="auto"/>
        </w:rPr>
        <w:t xml:space="preserve">. The Parties will discuss in good faith any opportunities to jointly participate in </w:t>
      </w:r>
      <w:r>
        <w:rPr>
          <w:rFonts w:ascii="Arial" w:cs="Arial" w:eastAsia="Arial" w:hAnsi="Arial"/>
          <w:sz w:val="17"/>
          <w:szCs w:val="17"/>
          <w:color w:val="auto"/>
        </w:rPr>
        <w:t>[***]</w:t>
      </w:r>
      <w:r>
        <w:rPr>
          <w:rFonts w:ascii="Arial" w:cs="Arial" w:eastAsia="Arial" w:hAnsi="Arial"/>
          <w:sz w:val="19"/>
          <w:szCs w:val="19"/>
          <w:color w:val="auto"/>
        </w:rPr>
        <w:t>.</w:t>
      </w:r>
    </w:p>
    <w:p>
      <w:pPr>
        <w:spacing w:after="0" w:line="149" w:lineRule="exact"/>
        <w:rPr>
          <w:rFonts w:ascii="Arial" w:cs="Arial" w:eastAsia="Arial" w:hAnsi="Arial"/>
          <w:sz w:val="20"/>
          <w:szCs w:val="20"/>
          <w:b w:val="1"/>
          <w:bCs w:val="1"/>
          <w:color w:val="auto"/>
        </w:rPr>
      </w:pPr>
    </w:p>
    <w:p>
      <w:pPr>
        <w:jc w:val="both"/>
        <w:ind w:firstLine="1304"/>
        <w:spacing w:after="0" w:line="277" w:lineRule="auto"/>
        <w:tabs>
          <w:tab w:leader="none" w:pos="2025"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Limitation on Disclosure of Data. </w:t>
      </w:r>
      <w:r>
        <w:rPr>
          <w:rFonts w:ascii="Arial" w:cs="Arial" w:eastAsia="Arial" w:hAnsi="Arial"/>
          <w:sz w:val="18"/>
          <w:szCs w:val="18"/>
          <w:color w:val="auto"/>
        </w:rPr>
        <w:t>The Parties agree that, prior to the publication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Therapy Study Data, neither Party (or its Affiliate or sublicensee) shall publicly disclose such Combined Therapy Study Data without the written agreement of the Parties, such agreement not to be unreasonably withheld if requested by a Party, and subject to Section 8.4. The Parties agree to cooperate reasonably and in good faith, as provided in Section 8.4, for the orderly and prompt publication of the Combined Therapy Study Data, in accordance with industry standards, and with the clinical trial agreements with the Trial Sites that conduct the Combined Therapy Clinical Trials.</w:t>
      </w:r>
    </w:p>
    <w:p>
      <w:pPr>
        <w:spacing w:after="0" w:line="11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7.4 Access to Study Data. </w:t>
      </w:r>
      <w:r>
        <w:rPr>
          <w:rFonts w:ascii="Arial" w:cs="Arial" w:eastAsia="Arial" w:hAnsi="Arial"/>
          <w:sz w:val="20"/>
          <w:szCs w:val="20"/>
          <w:color w:val="auto"/>
        </w:rPr>
        <w:t>Subject to the provisions of this Article 7, each Party shall have access to all Study</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Data (including de-identified patient records) as and to the extent allowed in Trial Site agreements (which agreements </w:t>
      </w:r>
      <w:r>
        <w:rPr>
          <w:rFonts w:ascii="Arial" w:cs="Arial" w:eastAsia="Arial" w:hAnsi="Arial"/>
          <w:sz w:val="17"/>
          <w:szCs w:val="17"/>
          <w:color w:val="auto"/>
        </w:rPr>
        <w:t>[***]</w:t>
      </w:r>
      <w:r>
        <w:rPr>
          <w:rFonts w:ascii="Arial" w:cs="Arial" w:eastAsia="Arial" w:hAnsi="Arial"/>
          <w:sz w:val="20"/>
          <w:szCs w:val="20"/>
          <w:color w:val="auto"/>
        </w:rPr>
        <w:t xml:space="preserve">). Olema shall make such Study Data in its possession available to Novartis on a </w:t>
      </w:r>
      <w:r>
        <w:rPr>
          <w:rFonts w:ascii="Arial" w:cs="Arial" w:eastAsia="Arial" w:hAnsi="Arial"/>
          <w:sz w:val="17"/>
          <w:szCs w:val="17"/>
          <w:color w:val="auto"/>
        </w:rPr>
        <w:t>[***]</w:t>
      </w:r>
      <w:r>
        <w:rPr>
          <w:rFonts w:ascii="Arial" w:cs="Arial" w:eastAsia="Arial" w:hAnsi="Arial"/>
          <w:sz w:val="20"/>
          <w:szCs w:val="20"/>
          <w:color w:val="auto"/>
        </w:rPr>
        <w:t xml:space="preserve"> basis within a reasonable period of time, but not to exceed </w:t>
      </w:r>
      <w:r>
        <w:rPr>
          <w:rFonts w:ascii="Arial" w:cs="Arial" w:eastAsia="Arial" w:hAnsi="Arial"/>
          <w:sz w:val="17"/>
          <w:szCs w:val="17"/>
          <w:color w:val="auto"/>
        </w:rPr>
        <w:t>[***]</w:t>
      </w:r>
      <w:r>
        <w:rPr>
          <w:rFonts w:ascii="Arial" w:cs="Arial" w:eastAsia="Arial" w:hAnsi="Arial"/>
          <w:sz w:val="20"/>
          <w:szCs w:val="20"/>
          <w:color w:val="auto"/>
        </w:rPr>
        <w:t xml:space="preserve">, after </w:t>
      </w:r>
      <w:r>
        <w:rPr>
          <w:rFonts w:ascii="Arial" w:cs="Arial" w:eastAsia="Arial" w:hAnsi="Arial"/>
          <w:sz w:val="17"/>
          <w:szCs w:val="17"/>
          <w:color w:val="auto"/>
        </w:rPr>
        <w:t>[***]</w:t>
      </w:r>
      <w:r>
        <w:rPr>
          <w:rFonts w:ascii="Arial" w:cs="Arial" w:eastAsia="Arial" w:hAnsi="Arial"/>
          <w:sz w:val="20"/>
          <w:szCs w:val="20"/>
          <w:color w:val="auto"/>
        </w:rPr>
        <w:t>.</w:t>
      </w:r>
    </w:p>
    <w:p>
      <w:pPr>
        <w:spacing w:after="0" w:line="13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7.5 </w:t>
      </w:r>
      <w:r>
        <w:rPr>
          <w:rFonts w:ascii="Arial" w:cs="Arial" w:eastAsia="Arial" w:hAnsi="Arial"/>
          <w:sz w:val="20"/>
          <w:szCs w:val="20"/>
          <w:b w:val="1"/>
          <w:bCs w:val="1"/>
          <w:color w:val="auto"/>
        </w:rPr>
        <w:t>Samples.</w:t>
      </w:r>
      <w:r>
        <w:rPr>
          <w:rFonts w:ascii="Arial" w:cs="Arial" w:eastAsia="Arial" w:hAnsi="Arial"/>
          <w:sz w:val="19"/>
          <w:szCs w:val="19"/>
          <w:b w:val="1"/>
          <w:bCs w:val="1"/>
          <w:color w:val="auto"/>
        </w:rPr>
        <w:t xml:space="preserve"> </w:t>
      </w:r>
      <w:r>
        <w:rPr>
          <w:rFonts w:ascii="Arial" w:cs="Arial" w:eastAsia="Arial" w:hAnsi="Arial"/>
          <w:sz w:val="20"/>
          <w:szCs w:val="20"/>
          <w:color w:val="auto"/>
        </w:rPr>
        <w:t>All Samples shall be</w:t>
      </w:r>
      <w:r>
        <w:rPr>
          <w:rFonts w:ascii="Arial" w:cs="Arial" w:eastAsia="Arial" w:hAnsi="Arial"/>
          <w:sz w:val="19"/>
          <w:szCs w:val="19"/>
          <w:b w:val="1"/>
          <w:bCs w:val="1"/>
          <w:color w:val="auto"/>
        </w:rPr>
        <w:t xml:space="preserve"> </w:t>
      </w:r>
      <w:r>
        <w:rPr>
          <w:rFonts w:ascii="Arial" w:cs="Arial" w:eastAsia="Arial" w:hAnsi="Arial"/>
          <w:sz w:val="16"/>
          <w:szCs w:val="16"/>
          <w:color w:val="auto"/>
        </w:rPr>
        <w:t>[***]</w:t>
      </w:r>
      <w:r>
        <w:rPr>
          <w:rFonts w:ascii="Arial" w:cs="Arial" w:eastAsia="Arial" w:hAnsi="Arial"/>
          <w:sz w:val="20"/>
          <w:szCs w:val="20"/>
          <w:color w:val="auto"/>
        </w:rPr>
        <w:t>. Any such Samples shall be collected in accordance with the</w:t>
      </w:r>
      <w:r>
        <w:rPr>
          <w:rFonts w:ascii="Arial" w:cs="Arial" w:eastAsia="Arial" w:hAnsi="Arial"/>
          <w:sz w:val="19"/>
          <w:szCs w:val="19"/>
          <w:b w:val="1"/>
          <w:bCs w:val="1"/>
          <w:color w:val="auto"/>
        </w:rPr>
        <w:t xml:space="preserve"> </w:t>
      </w:r>
      <w:r>
        <w:rPr>
          <w:rFonts w:ascii="Arial" w:cs="Arial" w:eastAsia="Arial" w:hAnsi="Arial"/>
          <w:sz w:val="20"/>
          <w:szCs w:val="20"/>
          <w:color w:val="auto"/>
        </w:rPr>
        <w:t xml:space="preserve">applicable Protocol and applicable ICFs. Any data and intellectual property arising out of such Sample use shall be </w:t>
      </w:r>
      <w:r>
        <w:rPr>
          <w:rFonts w:ascii="Arial" w:cs="Arial" w:eastAsia="Arial" w:hAnsi="Arial"/>
          <w:sz w:val="16"/>
          <w:szCs w:val="16"/>
          <w:color w:val="auto"/>
        </w:rPr>
        <w:t>[***]</w:t>
      </w:r>
      <w:r>
        <w:rPr>
          <w:rFonts w:ascii="Arial" w:cs="Arial" w:eastAsia="Arial" w:hAnsi="Arial"/>
          <w:sz w:val="20"/>
          <w:szCs w:val="20"/>
          <w:color w:val="auto"/>
        </w:rPr>
        <w:t xml:space="preserve">; </w:t>
      </w:r>
      <w:r>
        <w:rPr>
          <w:rFonts w:ascii="Arial" w:cs="Arial" w:eastAsia="Arial" w:hAnsi="Arial"/>
          <w:sz w:val="20"/>
          <w:szCs w:val="20"/>
          <w:i w:val="1"/>
          <w:iCs w:val="1"/>
          <w:color w:val="auto"/>
        </w:rPr>
        <w:t>provided that,</w:t>
      </w:r>
      <w:r>
        <w:rPr>
          <w:rFonts w:ascii="Arial" w:cs="Arial" w:eastAsia="Arial" w:hAnsi="Arial"/>
          <w:sz w:val="20"/>
          <w:szCs w:val="20"/>
          <w:color w:val="auto"/>
        </w:rPr>
        <w:t xml:space="preserve"> to the extent that any such data or intellectual property relates solely to the Combined Therapy (or biomarkers solely for use with the Combined Therapy), shall be considered Combined Therapy Study Data, Combined Therapy Inventions and/or Combined Therapy Patent Rights, as the case may be. Samples will be stored for future use in </w:t>
      </w:r>
      <w:r>
        <w:rPr>
          <w:rFonts w:ascii="Arial" w:cs="Arial" w:eastAsia="Arial" w:hAnsi="Arial"/>
          <w:sz w:val="16"/>
          <w:szCs w:val="16"/>
          <w:color w:val="auto"/>
        </w:rPr>
        <w:t>[***]</w:t>
      </w:r>
      <w:r>
        <w:rPr>
          <w:rFonts w:ascii="Arial" w:cs="Arial" w:eastAsia="Arial" w:hAnsi="Arial"/>
          <w:sz w:val="20"/>
          <w:szCs w:val="20"/>
          <w:color w:val="auto"/>
        </w:rPr>
        <w:t xml:space="preserve"> sample repository. If </w:t>
      </w:r>
      <w:r>
        <w:rPr>
          <w:rFonts w:ascii="Arial" w:cs="Arial" w:eastAsia="Arial" w:hAnsi="Arial"/>
          <w:sz w:val="16"/>
          <w:szCs w:val="16"/>
          <w:color w:val="auto"/>
        </w:rPr>
        <w:t>[***]</w:t>
      </w:r>
      <w:r>
        <w:rPr>
          <w:rFonts w:ascii="Arial" w:cs="Arial" w:eastAsia="Arial" w:hAnsi="Arial"/>
          <w:sz w:val="20"/>
          <w:szCs w:val="20"/>
          <w:color w:val="auto"/>
        </w:rPr>
        <w:t xml:space="preserve">, and provided that sufficient quantities of Samples are available and subject to the terms of the applicable ICF and Applicable Law, </w:t>
      </w:r>
      <w:r>
        <w:rPr>
          <w:rFonts w:ascii="Arial" w:cs="Arial" w:eastAsia="Arial" w:hAnsi="Arial"/>
          <w:sz w:val="16"/>
          <w:szCs w:val="16"/>
          <w:color w:val="auto"/>
        </w:rPr>
        <w:t>[***]</w:t>
      </w:r>
      <w:r>
        <w:rPr>
          <w:rFonts w:ascii="Arial" w:cs="Arial" w:eastAsia="Arial" w:hAnsi="Arial"/>
          <w:sz w:val="20"/>
          <w:szCs w:val="20"/>
          <w:color w:val="auto"/>
        </w:rPr>
        <w:t xml:space="preserve"> and, to the extent that such tests are performed, </w:t>
      </w:r>
      <w:r>
        <w:rPr>
          <w:rFonts w:ascii="Arial" w:cs="Arial" w:eastAsia="Arial" w:hAnsi="Arial"/>
          <w:sz w:val="16"/>
          <w:szCs w:val="16"/>
          <w:color w:val="auto"/>
        </w:rPr>
        <w:t>[***]</w:t>
      </w:r>
      <w:r>
        <w:rPr>
          <w:rFonts w:ascii="Arial" w:cs="Arial" w:eastAsia="Arial" w:hAnsi="Arial"/>
          <w:sz w:val="20"/>
          <w:szCs w:val="20"/>
          <w:color w:val="auto"/>
        </w:rPr>
        <w:t xml:space="preserve">. If the Parties agree that they no longer have a use for the Samples, then the remaining Samples will be destroyed pursuant to </w:t>
      </w:r>
      <w:r>
        <w:rPr>
          <w:rFonts w:ascii="Arial" w:cs="Arial" w:eastAsia="Arial" w:hAnsi="Arial"/>
          <w:sz w:val="16"/>
          <w:szCs w:val="16"/>
          <w:color w:val="auto"/>
        </w:rPr>
        <w:t>[***]</w:t>
      </w:r>
      <w:r>
        <w:rPr>
          <w:rFonts w:ascii="Arial" w:cs="Arial" w:eastAsia="Arial" w:hAnsi="Arial"/>
          <w:sz w:val="20"/>
          <w:szCs w:val="20"/>
          <w:color w:val="auto"/>
        </w:rPr>
        <w:t xml:space="preserve"> standard operating procedures for sample retention and destruction, subject to the terms of and permission(s) granted in the informed consent forms signed by the subjects contributing the Samples in the Combined Therapy Clinical Trials.</w:t>
      </w:r>
    </w:p>
    <w:p>
      <w:pPr>
        <w:spacing w:after="0" w:line="147" w:lineRule="exact"/>
        <w:rPr>
          <w:sz w:val="20"/>
          <w:szCs w:val="20"/>
          <w:color w:val="auto"/>
        </w:rPr>
      </w:pPr>
    </w:p>
    <w:p>
      <w:pPr>
        <w:ind w:left="4440"/>
        <w:spacing w:after="0"/>
        <w:rPr>
          <w:sz w:val="20"/>
          <w:szCs w:val="20"/>
          <w:color w:val="auto"/>
        </w:rPr>
      </w:pPr>
      <w:r>
        <w:rPr>
          <w:rFonts w:ascii="Arial" w:cs="Arial" w:eastAsia="Arial" w:hAnsi="Arial"/>
          <w:sz w:val="20"/>
          <w:szCs w:val="20"/>
          <w:b w:val="1"/>
          <w:bCs w:val="1"/>
          <w:color w:val="auto"/>
        </w:rPr>
        <w:t>ARTICLE 8</w:t>
      </w:r>
    </w:p>
    <w:p>
      <w:pPr>
        <w:spacing w:after="0" w:line="175" w:lineRule="exact"/>
        <w:rPr>
          <w:sz w:val="20"/>
          <w:szCs w:val="20"/>
          <w:color w:val="auto"/>
        </w:rPr>
      </w:pPr>
    </w:p>
    <w:p>
      <w:pPr>
        <w:ind w:left="4020"/>
        <w:spacing w:after="0"/>
        <w:rPr>
          <w:sz w:val="20"/>
          <w:szCs w:val="20"/>
          <w:color w:val="auto"/>
        </w:rPr>
      </w:pPr>
      <w:r>
        <w:rPr>
          <w:rFonts w:ascii="Arial" w:cs="Arial" w:eastAsia="Arial" w:hAnsi="Arial"/>
          <w:sz w:val="20"/>
          <w:szCs w:val="20"/>
          <w:b w:val="1"/>
          <w:bCs w:val="1"/>
          <w:color w:val="auto"/>
        </w:rPr>
        <w:t>CONFIDENTIALITY</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8.1</w:t>
      </w:r>
      <w:r>
        <w:rPr>
          <w:sz w:val="20"/>
          <w:szCs w:val="20"/>
          <w:color w:val="auto"/>
        </w:rPr>
        <w:tab/>
      </w:r>
      <w:r>
        <w:rPr>
          <w:rFonts w:ascii="Arial" w:cs="Arial" w:eastAsia="Arial" w:hAnsi="Arial"/>
          <w:sz w:val="16"/>
          <w:szCs w:val="16"/>
          <w:b w:val="1"/>
          <w:bCs w:val="1"/>
          <w:color w:val="auto"/>
        </w:rPr>
        <w:t>Nondisclosure of Confidential Information.</w:t>
      </w:r>
    </w:p>
    <w:p>
      <w:pPr>
        <w:spacing w:after="0" w:line="195" w:lineRule="exact"/>
        <w:rPr>
          <w:sz w:val="20"/>
          <w:szCs w:val="20"/>
          <w:color w:val="auto"/>
        </w:rPr>
      </w:pPr>
    </w:p>
    <w:p>
      <w:pPr>
        <w:ind w:left="2060" w:hanging="756"/>
        <w:spacing w:after="0"/>
        <w:tabs>
          <w:tab w:leader="none" w:pos="2060" w:val="left"/>
        </w:tabs>
        <w:numPr>
          <w:ilvl w:val="1"/>
          <w:numId w:val="86"/>
        </w:numPr>
        <w:rPr>
          <w:rFonts w:ascii="Arial" w:cs="Arial" w:eastAsia="Arial" w:hAnsi="Arial"/>
          <w:sz w:val="18"/>
          <w:szCs w:val="18"/>
          <w:b w:val="1"/>
          <w:bCs w:val="1"/>
          <w:color w:val="auto"/>
        </w:rPr>
      </w:pPr>
      <w:r>
        <w:rPr>
          <w:rFonts w:ascii="Arial" w:cs="Arial" w:eastAsia="Arial" w:hAnsi="Arial"/>
          <w:sz w:val="18"/>
          <w:szCs w:val="18"/>
          <w:color w:val="auto"/>
        </w:rPr>
        <w:t>Prior to the Effective Date, Olema and Novartis entered into that certain Nondisclosure Agreement</w:t>
      </w:r>
    </w:p>
    <w:p>
      <w:pPr>
        <w:spacing w:after="0" w:line="38" w:lineRule="exact"/>
        <w:rPr>
          <w:rFonts w:ascii="Arial" w:cs="Arial" w:eastAsia="Arial" w:hAnsi="Arial"/>
          <w:sz w:val="18"/>
          <w:szCs w:val="18"/>
          <w:b w:val="1"/>
          <w:bCs w:val="1"/>
          <w:color w:val="auto"/>
        </w:rPr>
      </w:pPr>
    </w:p>
    <w:p>
      <w:pPr>
        <w:ind w:left="440" w:hanging="432"/>
        <w:spacing w:after="0"/>
        <w:tabs>
          <w:tab w:leader="none" w:pos="440" w:val="left"/>
        </w:tabs>
        <w:numPr>
          <w:ilvl w:val="0"/>
          <w:numId w:val="86"/>
        </w:numPr>
        <w:rPr>
          <w:rFonts w:ascii="Arial" w:cs="Arial" w:eastAsia="Arial" w:hAnsi="Arial"/>
          <w:sz w:val="18"/>
          <w:szCs w:val="18"/>
          <w:color w:val="auto"/>
        </w:rPr>
      </w:pPr>
      <w:r>
        <w:rPr>
          <w:rFonts w:ascii="Arial" w:cs="Arial" w:eastAsia="Arial" w:hAnsi="Arial"/>
          <w:sz w:val="20"/>
          <w:szCs w:val="20"/>
          <w:color w:val="auto"/>
        </w:rPr>
        <w:t>(the “</w:t>
      </w:r>
      <w:r>
        <w:rPr>
          <w:rFonts w:ascii="Arial" w:cs="Arial" w:eastAsia="Arial" w:hAnsi="Arial"/>
          <w:sz w:val="20"/>
          <w:szCs w:val="20"/>
          <w:b w:val="1"/>
          <w:bCs w:val="1"/>
          <w:i w:val="1"/>
          <w:iCs w:val="1"/>
          <w:color w:val="auto"/>
        </w:rPr>
        <w:t>CDA</w:t>
      </w:r>
      <w:r>
        <w:rPr>
          <w:rFonts w:ascii="Arial" w:cs="Arial" w:eastAsia="Arial" w:hAnsi="Arial"/>
          <w:sz w:val="20"/>
          <w:szCs w:val="20"/>
          <w:color w:val="auto"/>
        </w:rPr>
        <w:t>”). As it relates to disclosures pursuant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25" w:name="page126"/>
    <w:bookmarkEnd w:id="125"/>
    <w:p>
      <w:pPr>
        <w:jc w:val="both"/>
        <w:spacing w:after="0" w:line="269" w:lineRule="auto"/>
        <w:rPr>
          <w:sz w:val="20"/>
          <w:szCs w:val="20"/>
          <w:color w:val="auto"/>
        </w:rPr>
      </w:pPr>
      <w:r>
        <w:rPr>
          <w:rFonts w:ascii="Arial" w:cs="Arial" w:eastAsia="Arial" w:hAnsi="Arial"/>
          <w:sz w:val="18"/>
          <w:szCs w:val="18"/>
          <w:color w:val="auto"/>
        </w:rPr>
        <w:t>involving the Novartis Study Drugs, Olema Study Drug or the Combined Therapy solely with respect to conduct of the Combined Therapy Clinical Trials (including plans for such study or its conduct) only, and subject to the provisions of Section 8.7 and Section 12.11 hereof, the CDA is hereby superseded and replaced by the terms of this Agreement, and any Confidential Information disclosed hereunder relating to or for the purpose of conducting the Combined Therapy Clinical Trials disclosed by either Party to the other Party shall be Confidential Information (of the disclosing Party) subject to the terms of this Agreement, and each of the Parties shall treat all such Confidential Information as such in accordance with the terms hereof. All written, visual, oral and electronic data, information, know-how or other proprietary information or materials, both technical and non-technical, disclosed by one Party to any other Party pursuant to this Agreement, or prior to the Effective Date and relating to matters contemplated by this Agreement, and disclosed hereunder, shall be “</w:t>
      </w:r>
      <w:r>
        <w:rPr>
          <w:rFonts w:ascii="Arial" w:cs="Arial" w:eastAsia="Arial" w:hAnsi="Arial"/>
          <w:sz w:val="18"/>
          <w:szCs w:val="18"/>
          <w:b w:val="1"/>
          <w:bCs w:val="1"/>
          <w:i w:val="1"/>
          <w:iCs w:val="1"/>
          <w:color w:val="auto"/>
        </w:rPr>
        <w:t>Confidential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Information</w:t>
      </w:r>
      <w:r>
        <w:rPr>
          <w:rFonts w:ascii="Arial" w:cs="Arial" w:eastAsia="Arial" w:hAnsi="Arial"/>
          <w:sz w:val="18"/>
          <w:szCs w:val="18"/>
          <w:color w:val="auto"/>
        </w:rPr>
        <w:t>” of the disclosing Party. All Study Data and Study Inventions shall be the Confidential Information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owning such Study Data or Study Invention (as provided in Section 7.2 with regard to Study Data and Section 6.2 with regard to Study Inventions). For purposes of this Agreement, regardless of which Party discloses such Confidential Information to the other, (i) all Olema Study Inventions, Olema Background Technology and Olema Regulatory Documentation shall be Confidential Information of Olema, and Novartis shall be deemed the receiving Party with respect thereto, and (ii) all Novartis Study Inventions, Novartis Background Technology, and Novartis Regulatory Documentation shall be Confidential Information of Novartis, and Olema shall be deemed the receiving Party with respect thereto.</w:t>
      </w:r>
    </w:p>
    <w:p>
      <w:pPr>
        <w:spacing w:after="0" w:line="136" w:lineRule="exact"/>
        <w:rPr>
          <w:sz w:val="20"/>
          <w:szCs w:val="20"/>
          <w:color w:val="auto"/>
        </w:rPr>
      </w:pPr>
    </w:p>
    <w:p>
      <w:pPr>
        <w:jc w:val="both"/>
        <w:ind w:firstLine="1304"/>
        <w:spacing w:after="0" w:line="278" w:lineRule="auto"/>
        <w:tabs>
          <w:tab w:leader="none" w:pos="1944"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The Parties agree that the terms of this Agreement shall be treated as Confidential Information of each of the Parties, and thus may be disclosed by either Party only as permitted by Section 8.3. Except as required by Applicable Law, each Party agrees not to issue any press release or public statement disclosing information relating to this Agreement or the transactions contemplated hereby or the terms hereof without the prior written consent of the other Party (such consent not to be unreasonably withheld), except as permitted by Sections 8.3 and 8.4.</w:t>
      </w:r>
    </w:p>
    <w:p>
      <w:pPr>
        <w:spacing w:after="0" w:line="137" w:lineRule="exact"/>
        <w:rPr>
          <w:rFonts w:ascii="Arial" w:cs="Arial" w:eastAsia="Arial" w:hAnsi="Arial"/>
          <w:sz w:val="18"/>
          <w:szCs w:val="18"/>
          <w:b w:val="1"/>
          <w:bCs w:val="1"/>
          <w:color w:val="auto"/>
        </w:rPr>
      </w:pPr>
    </w:p>
    <w:p>
      <w:pPr>
        <w:jc w:val="both"/>
        <w:ind w:firstLine="1304"/>
        <w:spacing w:after="0" w:line="269" w:lineRule="auto"/>
        <w:tabs>
          <w:tab w:leader="none" w:pos="1944" w:val="left"/>
        </w:tabs>
        <w:numPr>
          <w:ilvl w:val="1"/>
          <w:numId w:val="87"/>
        </w:numPr>
        <w:rPr>
          <w:rFonts w:ascii="Arial" w:cs="Arial" w:eastAsia="Arial" w:hAnsi="Arial"/>
          <w:sz w:val="18"/>
          <w:szCs w:val="18"/>
          <w:b w:val="1"/>
          <w:bCs w:val="1"/>
          <w:color w:val="auto"/>
        </w:rPr>
      </w:pPr>
      <w:r>
        <w:rPr>
          <w:rFonts w:ascii="Arial" w:cs="Arial" w:eastAsia="Arial" w:hAnsi="Arial"/>
          <w:sz w:val="18"/>
          <w:szCs w:val="18"/>
          <w:color w:val="auto"/>
        </w:rPr>
        <w:t xml:space="preserve">Except to the extent expressly authorized in this Article 8, or as otherwise agreed in writing by the Parties, each Party agrees that, for the Term and for a period of </w:t>
      </w:r>
      <w:r>
        <w:rPr>
          <w:rFonts w:ascii="Arial" w:cs="Arial" w:eastAsia="Arial" w:hAnsi="Arial"/>
          <w:sz w:val="15"/>
          <w:szCs w:val="15"/>
          <w:color w:val="auto"/>
        </w:rPr>
        <w:t>[***]</w:t>
      </w:r>
      <w:r>
        <w:rPr>
          <w:rFonts w:ascii="Arial" w:cs="Arial" w:eastAsia="Arial" w:hAnsi="Arial"/>
          <w:sz w:val="18"/>
          <w:szCs w:val="18"/>
          <w:color w:val="auto"/>
        </w:rPr>
        <w:t xml:space="preserve"> thereafter, it shall (A) keep confidential and shall not publish or otherwise disclose and shall not use for any purpose other than as expressly provided for in this Agreement any Confidential Information of the other Party (including information relating to this Agreement or the transactions contemplated hereby or the terms hereof), (B) treat the other Party’s Confidential Information with the same degree of care the receiving Party uses for its own confidential information but in no event with less than a reasonable degree of care; and</w:t>
      </w:r>
    </w:p>
    <w:p>
      <w:pPr>
        <w:spacing w:after="0" w:line="1" w:lineRule="exact"/>
        <w:rPr>
          <w:rFonts w:ascii="Arial" w:cs="Arial" w:eastAsia="Arial" w:hAnsi="Arial"/>
          <w:sz w:val="18"/>
          <w:szCs w:val="18"/>
          <w:b w:val="1"/>
          <w:bCs w:val="1"/>
          <w:color w:val="auto"/>
        </w:rPr>
      </w:pPr>
    </w:p>
    <w:p>
      <w:pPr>
        <w:jc w:val="both"/>
        <w:ind w:firstLine="8"/>
        <w:spacing w:after="0" w:line="253" w:lineRule="auto"/>
        <w:tabs>
          <w:tab w:leader="none" w:pos="347"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reproduce the disclosing Party’s Confidential Information solely to the extent reasonably needed to accomplish the receiving Party’s obligations under this Agreement or exercise the receiving Party’s rights to use and disclose such Confidential Information as expressly provided for in this Agreement, with all such reproductions being considered the disclosing Party’s Confidential Information. Notwithstanding anything to the contrary in this Section 8.1, the receiving Party may disclose the disclosing Party’s Confidential Information to its employees, consultants, contractors, agents or permitted (sub)licensees solely on a need-to-know basis for the purpose of fulfilling the receiving Party’s obligations under this Agreement and exercising the receiving Party’s rights to use and disclose such Confidential Information as expressly provided for in this Agreement; </w:t>
      </w:r>
      <w:r>
        <w:rPr>
          <w:rFonts w:ascii="Arial" w:cs="Arial" w:eastAsia="Arial" w:hAnsi="Arial"/>
          <w:sz w:val="19"/>
          <w:szCs w:val="19"/>
          <w:i w:val="1"/>
          <w:iCs w:val="1"/>
          <w:color w:val="auto"/>
        </w:rPr>
        <w:t>provided, however, that</w:t>
      </w:r>
      <w:r>
        <w:rPr>
          <w:rFonts w:ascii="Arial" w:cs="Arial" w:eastAsia="Arial" w:hAnsi="Arial"/>
          <w:sz w:val="19"/>
          <w:szCs w:val="19"/>
          <w:color w:val="auto"/>
        </w:rPr>
        <w:t xml:space="preserve"> (1) any such employees, consultants, agents or permitted (sub)licensees are bound by obligations of confidentiality and non-use at least as restrictive as those set forth in this Agreement, and (2) the receiving Party remains liable for the compliance of such employees, consultants, agents or permitted (sub)licensees with such obligations.</w:t>
      </w:r>
    </w:p>
    <w:p>
      <w:pPr>
        <w:spacing w:after="0" w:line="150" w:lineRule="exact"/>
        <w:rPr>
          <w:rFonts w:ascii="Arial" w:cs="Arial" w:eastAsia="Arial" w:hAnsi="Arial"/>
          <w:sz w:val="19"/>
          <w:szCs w:val="19"/>
          <w:color w:val="auto"/>
        </w:rPr>
      </w:pPr>
    </w:p>
    <w:p>
      <w:pPr>
        <w:jc w:val="both"/>
        <w:ind w:firstLine="1304"/>
        <w:spacing w:after="0" w:line="276" w:lineRule="auto"/>
        <w:tabs>
          <w:tab w:leader="none" w:pos="1944" w:val="left"/>
        </w:tabs>
        <w:numPr>
          <w:ilvl w:val="1"/>
          <w:numId w:val="88"/>
        </w:numPr>
        <w:rPr>
          <w:rFonts w:ascii="Arial" w:cs="Arial" w:eastAsia="Arial" w:hAnsi="Arial"/>
          <w:sz w:val="18"/>
          <w:szCs w:val="18"/>
          <w:b w:val="1"/>
          <w:bCs w:val="1"/>
          <w:color w:val="auto"/>
        </w:rPr>
      </w:pPr>
      <w:r>
        <w:rPr>
          <w:rFonts w:ascii="Arial" w:cs="Arial" w:eastAsia="Arial" w:hAnsi="Arial"/>
          <w:sz w:val="18"/>
          <w:szCs w:val="18"/>
          <w:color w:val="auto"/>
        </w:rPr>
        <w:t>Each receiving Party acknowledges that in connection with its and its representatives examination of the Confidential Information of the disclosing Party, the receiving Party and its representatives may have access to material, non-public information, and that the receiving Party is aware, and will advise its representatives who are informed as to the matters that are the subject of this Agreement, that State and Federal laws, including United States securities laws, may impose restrictions on the dissemination of such information and trading in securities when in possession of such information. Each receiving Party agrees that it will not, and will advise its representatives who are informed as to the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6" w:name="page127"/>
    <w:bookmarkEnd w:id="126"/>
    <w:p>
      <w:pPr>
        <w:jc w:val="both"/>
        <w:spacing w:after="0" w:line="250" w:lineRule="auto"/>
        <w:rPr>
          <w:sz w:val="20"/>
          <w:szCs w:val="20"/>
          <w:color w:val="auto"/>
        </w:rPr>
      </w:pPr>
      <w:r>
        <w:rPr>
          <w:rFonts w:ascii="Arial" w:cs="Arial" w:eastAsia="Arial" w:hAnsi="Arial"/>
          <w:sz w:val="20"/>
          <w:szCs w:val="20"/>
          <w:color w:val="auto"/>
        </w:rPr>
        <w:t>matters that are the subject of this Agreement to not, purchase or sell any security of the disclosing Party on the basis of the Confidential Information of the disclosing Party to the extent such Confidential Information constitute material nonpublic information about the disclosing Party or such security.</w:t>
      </w:r>
    </w:p>
    <w:p>
      <w:pPr>
        <w:spacing w:after="0" w:line="145" w:lineRule="exact"/>
        <w:rPr>
          <w:sz w:val="20"/>
          <w:szCs w:val="20"/>
          <w:color w:val="auto"/>
        </w:rPr>
      </w:pPr>
    </w:p>
    <w:p>
      <w:pPr>
        <w:jc w:val="both"/>
        <w:ind w:firstLine="1304"/>
        <w:spacing w:after="0" w:line="260" w:lineRule="auto"/>
        <w:tabs>
          <w:tab w:leader="none" w:pos="2025" w:val="left"/>
        </w:tabs>
        <w:numPr>
          <w:ilvl w:val="0"/>
          <w:numId w:val="89"/>
        </w:numPr>
        <w:rPr>
          <w:rFonts w:ascii="Arial" w:cs="Arial" w:eastAsia="Arial" w:hAnsi="Arial"/>
          <w:sz w:val="19"/>
          <w:szCs w:val="19"/>
          <w:b w:val="1"/>
          <w:bCs w:val="1"/>
          <w:color w:val="auto"/>
        </w:rPr>
      </w:pPr>
      <w:r>
        <w:rPr>
          <w:rFonts w:ascii="Arial" w:cs="Arial" w:eastAsia="Arial" w:hAnsi="Arial"/>
          <w:sz w:val="19"/>
          <w:szCs w:val="19"/>
          <w:color w:val="auto"/>
        </w:rPr>
        <w:t>Combined Therapy Study Data shall be treated as Confidential Information of each Party and shall not be disclosed to Third Parties except to the extent: (i) it falls within the exceptions set forth in Section 8.2 below, (ii) is authorized under this Section 8.1 or Section 8.3 to be disclosed, (iii) is required to be filed with a Regulatory Authority or included in a product’s label or package insert, (iv) is reasonably necessary to be disclosed in order for a Party to exercise its rights under Section 8.3, or (v) is disclosed pursuant to Section 8.4.</w:t>
      </w:r>
    </w:p>
    <w:p>
      <w:pPr>
        <w:spacing w:after="0" w:line="1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8.2 Exceptions. </w:t>
      </w:r>
      <w:r>
        <w:rPr>
          <w:rFonts w:ascii="Arial" w:cs="Arial" w:eastAsia="Arial" w:hAnsi="Arial"/>
          <w:sz w:val="20"/>
          <w:szCs w:val="20"/>
          <w:color w:val="auto"/>
        </w:rPr>
        <w:t>The obligations in Section 8.1 shall not apply with respect to any specific portion of</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that the receiving Party can demonstrate by contemporaneous tangible records or other competent proof:</w:t>
      </w:r>
    </w:p>
    <w:p>
      <w:pPr>
        <w:spacing w:after="0" w:line="143" w:lineRule="exact"/>
        <w:rPr>
          <w:sz w:val="20"/>
          <w:szCs w:val="20"/>
          <w:color w:val="auto"/>
        </w:rPr>
      </w:pPr>
    </w:p>
    <w:p>
      <w:pPr>
        <w:jc w:val="both"/>
        <w:ind w:firstLine="1304"/>
        <w:spacing w:after="0" w:line="250" w:lineRule="auto"/>
        <w:tabs>
          <w:tab w:leader="none" w:pos="194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was already known to the receiving Party (or its Affiliates), other than under an obligation of confidentiality, either (i) at the time of disclosure by the disclosing Party, or (ii) if applicable, at the time that it was generated hereunder, whichever ((i) or (ii)) is earlier;</w:t>
      </w:r>
    </w:p>
    <w:p>
      <w:pPr>
        <w:spacing w:after="0" w:line="145" w:lineRule="exact"/>
        <w:rPr>
          <w:rFonts w:ascii="Arial" w:cs="Arial" w:eastAsia="Arial" w:hAnsi="Arial"/>
          <w:sz w:val="20"/>
          <w:szCs w:val="20"/>
          <w:b w:val="1"/>
          <w:bCs w:val="1"/>
          <w:color w:val="auto"/>
        </w:rPr>
      </w:pPr>
    </w:p>
    <w:p>
      <w:pPr>
        <w:jc w:val="both"/>
        <w:ind w:firstLine="1304"/>
        <w:spacing w:after="0" w:line="250" w:lineRule="auto"/>
        <w:tabs>
          <w:tab w:leader="none" w:pos="194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was generally available to the public or otherwise part of the public domain either (i) at the time of its disclosure to the receiving Party, or (ii) if applicable, at the time that it was generated hereunder, whichever ((i) or (ii)) is earlier;</w:t>
      </w:r>
    </w:p>
    <w:p>
      <w:pPr>
        <w:spacing w:after="0" w:line="158" w:lineRule="exact"/>
        <w:rPr>
          <w:rFonts w:ascii="Arial" w:cs="Arial" w:eastAsia="Arial" w:hAnsi="Arial"/>
          <w:sz w:val="20"/>
          <w:szCs w:val="20"/>
          <w:b w:val="1"/>
          <w:bCs w:val="1"/>
          <w:color w:val="auto"/>
        </w:rPr>
      </w:pPr>
    </w:p>
    <w:p>
      <w:pPr>
        <w:ind w:firstLine="1304"/>
        <w:spacing w:after="0" w:line="260" w:lineRule="auto"/>
        <w:tabs>
          <w:tab w:leader="none" w:pos="194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became generally available to the public or otherwise part of the public domain after its disclosure and other than through any act or omission of the receiving Party in breach of this Agreement;</w:t>
      </w:r>
    </w:p>
    <w:p>
      <w:pPr>
        <w:spacing w:after="0" w:line="136" w:lineRule="exact"/>
        <w:rPr>
          <w:rFonts w:ascii="Arial" w:cs="Arial" w:eastAsia="Arial" w:hAnsi="Arial"/>
          <w:sz w:val="20"/>
          <w:szCs w:val="20"/>
          <w:b w:val="1"/>
          <w:bCs w:val="1"/>
          <w:color w:val="auto"/>
        </w:rPr>
      </w:pPr>
    </w:p>
    <w:p>
      <w:pPr>
        <w:jc w:val="both"/>
        <w:ind w:firstLine="1304"/>
        <w:spacing w:after="0" w:line="250" w:lineRule="auto"/>
        <w:tabs>
          <w:tab w:leader="none" w:pos="194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was disclosed to the receiving Party (or its Affiliates), other than under an obligation of confidentiality, by a Third Party who had no obligation to the Party owning or Controlling the information not to disclose such information to others; or</w:t>
      </w:r>
    </w:p>
    <w:p>
      <w:pPr>
        <w:spacing w:after="0" w:line="145" w:lineRule="exact"/>
        <w:rPr>
          <w:rFonts w:ascii="Arial" w:cs="Arial" w:eastAsia="Arial" w:hAnsi="Arial"/>
          <w:sz w:val="20"/>
          <w:szCs w:val="20"/>
          <w:b w:val="1"/>
          <w:bCs w:val="1"/>
          <w:color w:val="auto"/>
        </w:rPr>
      </w:pPr>
    </w:p>
    <w:p>
      <w:pPr>
        <w:ind w:firstLine="1304"/>
        <w:spacing w:after="0" w:line="260" w:lineRule="auto"/>
        <w:tabs>
          <w:tab w:leader="none" w:pos="1944" w:val="left"/>
        </w:tabs>
        <w:numPr>
          <w:ilvl w:val="0"/>
          <w:numId w:val="90"/>
        </w:numPr>
        <w:rPr>
          <w:rFonts w:ascii="Arial" w:cs="Arial" w:eastAsia="Arial" w:hAnsi="Arial"/>
          <w:sz w:val="20"/>
          <w:szCs w:val="20"/>
          <w:b w:val="1"/>
          <w:bCs w:val="1"/>
          <w:color w:val="auto"/>
        </w:rPr>
      </w:pPr>
      <w:r>
        <w:rPr>
          <w:rFonts w:ascii="Arial" w:cs="Arial" w:eastAsia="Arial" w:hAnsi="Arial"/>
          <w:sz w:val="20"/>
          <w:szCs w:val="20"/>
          <w:color w:val="auto"/>
        </w:rPr>
        <w:t>was independently discovered or developed by the receiving Party (or its Affiliates) without the use of, or reference to, the Confidential Information of the disclosing Party.</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8.3 Authorized Disclosure. </w:t>
      </w:r>
      <w:r>
        <w:rPr>
          <w:rFonts w:ascii="Arial" w:cs="Arial" w:eastAsia="Arial" w:hAnsi="Arial"/>
          <w:sz w:val="20"/>
          <w:szCs w:val="20"/>
          <w:color w:val="auto"/>
        </w:rPr>
        <w:t>Notwithstanding any other provision of this Agreement and excluding Novartis</w:t>
      </w:r>
      <w:r>
        <w:rPr>
          <w:rFonts w:ascii="Arial" w:cs="Arial" w:eastAsia="Arial" w:hAnsi="Arial"/>
          <w:sz w:val="20"/>
          <w:szCs w:val="20"/>
          <w:b w:val="1"/>
          <w:bCs w:val="1"/>
          <w:color w:val="auto"/>
        </w:rPr>
        <w:t xml:space="preserve"> </w:t>
      </w:r>
      <w:r>
        <w:rPr>
          <w:rFonts w:ascii="Arial" w:cs="Arial" w:eastAsia="Arial" w:hAnsi="Arial"/>
          <w:sz w:val="20"/>
          <w:szCs w:val="20"/>
          <w:color w:val="auto"/>
        </w:rPr>
        <w:t>Confidential Information related to the Novartis Alpelisib Metabolite for Section 8.3(a), (b), and (g) herein, each Party may disclose particular Confidential Information of the other Party to the extent such disclosure is reasonably necessary in the following instances:</w:t>
      </w:r>
    </w:p>
    <w:p>
      <w:pPr>
        <w:spacing w:after="0" w:line="149" w:lineRule="exact"/>
        <w:rPr>
          <w:sz w:val="20"/>
          <w:szCs w:val="20"/>
          <w:color w:val="auto"/>
        </w:rPr>
      </w:pPr>
    </w:p>
    <w:p>
      <w:pPr>
        <w:ind w:left="1960" w:hanging="656"/>
        <w:spacing w:after="0"/>
        <w:tabs>
          <w:tab w:leader="none" w:pos="196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filing or prosecuting Patent Rights pursuant to Section 6.2(c);</w:t>
      </w:r>
    </w:p>
    <w:p>
      <w:pPr>
        <w:spacing w:after="0" w:line="175" w:lineRule="exact"/>
        <w:rPr>
          <w:rFonts w:ascii="Arial" w:cs="Arial" w:eastAsia="Arial" w:hAnsi="Arial"/>
          <w:sz w:val="20"/>
          <w:szCs w:val="20"/>
          <w:b w:val="1"/>
          <w:bCs w:val="1"/>
          <w:color w:val="auto"/>
        </w:rPr>
      </w:pPr>
    </w:p>
    <w:p>
      <w:pPr>
        <w:ind w:left="1960" w:hanging="656"/>
        <w:spacing w:after="0"/>
        <w:tabs>
          <w:tab w:leader="none" w:pos="1960"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prosecuting or defending litigation;</w:t>
      </w:r>
    </w:p>
    <w:p>
      <w:pPr>
        <w:spacing w:after="0" w:line="188" w:lineRule="exact"/>
        <w:rPr>
          <w:rFonts w:ascii="Arial" w:cs="Arial" w:eastAsia="Arial" w:hAnsi="Arial"/>
          <w:sz w:val="20"/>
          <w:szCs w:val="20"/>
          <w:b w:val="1"/>
          <w:bCs w:val="1"/>
          <w:color w:val="auto"/>
        </w:rPr>
      </w:pPr>
    </w:p>
    <w:p>
      <w:pPr>
        <w:ind w:firstLine="1304"/>
        <w:spacing w:after="0" w:line="260" w:lineRule="auto"/>
        <w:tabs>
          <w:tab w:leader="none" w:pos="1944"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complying with Applicable Law or the rules or regulations of any securities exchange on which such Party’s stock is listed;</w:t>
      </w:r>
    </w:p>
    <w:p>
      <w:pPr>
        <w:spacing w:after="0" w:line="136" w:lineRule="exact"/>
        <w:rPr>
          <w:rFonts w:ascii="Arial" w:cs="Arial" w:eastAsia="Arial" w:hAnsi="Arial"/>
          <w:sz w:val="20"/>
          <w:szCs w:val="20"/>
          <w:b w:val="1"/>
          <w:bCs w:val="1"/>
          <w:color w:val="auto"/>
        </w:rPr>
      </w:pPr>
    </w:p>
    <w:p>
      <w:pPr>
        <w:jc w:val="both"/>
        <w:ind w:firstLine="1304"/>
        <w:spacing w:after="0" w:line="244" w:lineRule="auto"/>
        <w:tabs>
          <w:tab w:leader="none" w:pos="1944"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disclosure, in connection with the performance of this Agreement, to Affiliates, permitted (sub)licensees, contractors, IRBs, CROs, academic institutions, consultants, agents, investigators, and employees and contractors engaged by Study Sites and investigators involved with the Combined Therapy Clinical Trials, each of whom prior to disclosure must be bound by terms of confidentiality and non-use at least as protective of Confidential Information as those set forth in this Article 8;</w:t>
      </w:r>
    </w:p>
    <w:p>
      <w:pPr>
        <w:spacing w:after="0" w:line="153" w:lineRule="exact"/>
        <w:rPr>
          <w:rFonts w:ascii="Arial" w:cs="Arial" w:eastAsia="Arial" w:hAnsi="Arial"/>
          <w:sz w:val="20"/>
          <w:szCs w:val="20"/>
          <w:b w:val="1"/>
          <w:bCs w:val="1"/>
          <w:color w:val="auto"/>
        </w:rPr>
      </w:pPr>
    </w:p>
    <w:p>
      <w:pPr>
        <w:jc w:val="both"/>
        <w:ind w:right="20" w:firstLine="1304"/>
        <w:spacing w:after="0" w:line="250" w:lineRule="auto"/>
        <w:tabs>
          <w:tab w:leader="none" w:pos="1944" w:val="left"/>
        </w:tabs>
        <w:numPr>
          <w:ilvl w:val="0"/>
          <w:numId w:val="91"/>
        </w:numPr>
        <w:rPr>
          <w:rFonts w:ascii="Arial" w:cs="Arial" w:eastAsia="Arial" w:hAnsi="Arial"/>
          <w:sz w:val="20"/>
          <w:szCs w:val="20"/>
          <w:b w:val="1"/>
          <w:bCs w:val="1"/>
          <w:color w:val="auto"/>
        </w:rPr>
      </w:pPr>
      <w:r>
        <w:rPr>
          <w:rFonts w:ascii="Arial" w:cs="Arial" w:eastAsia="Arial" w:hAnsi="Arial"/>
          <w:sz w:val="20"/>
          <w:szCs w:val="20"/>
          <w:color w:val="auto"/>
        </w:rPr>
        <w:t>disclosure of the Combined Therapy Study Data, Combined Therapy Inventions and Combined Therapy Patent Rights to Regulatory Authorities in connection with the development of the Combined Therapy, Olema Study Drug or the Novartis Study Drugs;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7" w:name="page128"/>
    <w:bookmarkEnd w:id="127"/>
    <w:p>
      <w:pPr>
        <w:jc w:val="both"/>
        <w:ind w:firstLine="1304"/>
        <w:spacing w:after="0" w:line="259" w:lineRule="auto"/>
        <w:tabs>
          <w:tab w:leader="none" w:pos="1944"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disclosure of relevant safety information contained within the Combined Therapy Study Data to investigators, IRBs and/or ethics committees and Regulatory Authorities that are involved in other clinical trials of Olema Study Drug with respect to Olema, and the Novartis Study Drugs with respect to Novartis, and, in the event of a Material Safety Issue, to Third Parties that are collaborating with Olema or Novartis, respectively in the conduct of such other clinical trials of Olema Study Drug or the Novartis Study Drugs, in each case solely to the extent necessary for the conduct of such clinical trials and/or to comply with Applicable Law and regulatory requirements; and</w:t>
      </w:r>
    </w:p>
    <w:p>
      <w:pPr>
        <w:spacing w:after="0" w:line="137" w:lineRule="exact"/>
        <w:rPr>
          <w:rFonts w:ascii="Arial" w:cs="Arial" w:eastAsia="Arial" w:hAnsi="Arial"/>
          <w:sz w:val="19"/>
          <w:szCs w:val="19"/>
          <w:b w:val="1"/>
          <w:bCs w:val="1"/>
          <w:color w:val="auto"/>
        </w:rPr>
      </w:pPr>
    </w:p>
    <w:p>
      <w:pPr>
        <w:jc w:val="both"/>
        <w:ind w:firstLine="1304"/>
        <w:spacing w:after="0" w:line="259" w:lineRule="auto"/>
        <w:tabs>
          <w:tab w:leader="none" w:pos="1944" w:val="left"/>
        </w:tabs>
        <w:numPr>
          <w:ilvl w:val="0"/>
          <w:numId w:val="92"/>
        </w:numPr>
        <w:rPr>
          <w:rFonts w:ascii="Arial" w:cs="Arial" w:eastAsia="Arial" w:hAnsi="Arial"/>
          <w:sz w:val="19"/>
          <w:szCs w:val="19"/>
          <w:b w:val="1"/>
          <w:bCs w:val="1"/>
          <w:color w:val="auto"/>
        </w:rPr>
      </w:pPr>
      <w:r>
        <w:rPr>
          <w:rFonts w:ascii="Arial" w:cs="Arial" w:eastAsia="Arial" w:hAnsi="Arial"/>
          <w:sz w:val="19"/>
          <w:szCs w:val="19"/>
          <w:color w:val="auto"/>
        </w:rPr>
        <w:t>disclosure of Combined Therapy Study Data, Combined Therapy Inventions and Combined Therapy Patent Rights, and the terms of this Agreement, to prospective (sub)licensees, strategic partners, acquirers, or merger partners, and their respective professional advisors, in connection with discussions of a possible transaction with the disclosing Party and solely for use in due diligence review and evaluation in connection with the negotiation of such transaction, and provided that such recipients must be bound by terms of confidentiality and non-use at least as protective of Confidential Information as those set forth in this Article 8.</w:t>
      </w:r>
    </w:p>
    <w:p>
      <w:pPr>
        <w:spacing w:after="0" w:line="15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Notwithstanding the foregoing, if a Party is required or otherwise intends to make a disclosure of any other Party’s Confidential Information pursuant to Section 8.3(b) and/or Section 8.3(c), it shall give advance notice to such other Party of such impending disclosure and endeavor in good faith to secure confidential treatment of such Confidential Information and/or reasonably assist the Party that owns such Confidential Information in seeking a protective order or other confidential treatment.</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8.4</w:t>
      </w:r>
      <w:r>
        <w:rPr>
          <w:sz w:val="20"/>
          <w:szCs w:val="20"/>
          <w:color w:val="auto"/>
        </w:rPr>
        <w:tab/>
      </w:r>
      <w:r>
        <w:rPr>
          <w:rFonts w:ascii="Arial" w:cs="Arial" w:eastAsia="Arial" w:hAnsi="Arial"/>
          <w:sz w:val="16"/>
          <w:szCs w:val="16"/>
          <w:b w:val="1"/>
          <w:bCs w:val="1"/>
          <w:color w:val="auto"/>
        </w:rPr>
        <w:t>Press Releases and Publications.</w:t>
      </w:r>
    </w:p>
    <w:p>
      <w:pPr>
        <w:spacing w:after="0" w:line="181" w:lineRule="exact"/>
        <w:rPr>
          <w:sz w:val="20"/>
          <w:szCs w:val="20"/>
          <w:color w:val="auto"/>
        </w:rPr>
      </w:pPr>
    </w:p>
    <w:p>
      <w:pPr>
        <w:jc w:val="both"/>
        <w:ind w:firstLine="1304"/>
        <w:spacing w:after="0" w:line="255" w:lineRule="auto"/>
        <w:tabs>
          <w:tab w:leader="none" w:pos="1944" w:val="left"/>
        </w:tabs>
        <w:numPr>
          <w:ilvl w:val="0"/>
          <w:numId w:val="93"/>
        </w:numPr>
        <w:rPr>
          <w:rFonts w:ascii="Arial" w:cs="Arial" w:eastAsia="Arial" w:hAnsi="Arial"/>
          <w:sz w:val="19"/>
          <w:szCs w:val="19"/>
          <w:b w:val="1"/>
          <w:bCs w:val="1"/>
          <w:color w:val="auto"/>
        </w:rPr>
      </w:pPr>
      <w:r>
        <w:rPr>
          <w:rFonts w:ascii="Arial" w:cs="Arial" w:eastAsia="Arial" w:hAnsi="Arial"/>
          <w:sz w:val="19"/>
          <w:szCs w:val="19"/>
          <w:color w:val="auto"/>
        </w:rPr>
        <w:t xml:space="preserve">The Parties shall jointly agree (such agreement not to be unreasonably withheld by either Party) to the content and timing of all public communications with respect to this Agreement (including without limitation press release(s) pertaining to execution of this Agreement (if any) and other press releases), Q&amp;As, and the content of, and wording for, any listing of the Combined Therapy Clinical Trials required to be listed on a public database or other public registry (such as www.clinicaltrials.gov). For clarity, if either Party terminates this Agreement pursuant to Section 11.4, the Parties shall mutually agree upon any external communication related to such termination, which shall not include the rationale for such termination unless (and to the extent) mutually agreed by the Parties;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either Party shall be permitted to publicly disclose information that such Party determines in good faith is necessary to be disclosed to comply with Applicable Law or the rules or regulations of any securities exchange on which such Party’s stock may be listed, or pursuant to an order of a court or governmental entity.</w:t>
      </w:r>
    </w:p>
    <w:p>
      <w:pPr>
        <w:spacing w:after="0" w:line="162" w:lineRule="exact"/>
        <w:rPr>
          <w:rFonts w:ascii="Arial" w:cs="Arial" w:eastAsia="Arial" w:hAnsi="Arial"/>
          <w:sz w:val="19"/>
          <w:szCs w:val="19"/>
          <w:b w:val="1"/>
          <w:bCs w:val="1"/>
          <w:color w:val="auto"/>
        </w:rPr>
      </w:pPr>
    </w:p>
    <w:p>
      <w:pPr>
        <w:jc w:val="both"/>
        <w:ind w:firstLine="1304"/>
        <w:spacing w:after="0" w:line="269" w:lineRule="auto"/>
        <w:tabs>
          <w:tab w:leader="none" w:pos="1944"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 xml:space="preserve">Olema shall have the exclusive right to publicly disclose, publish or present (i) top-line results from the Combined Therapy Clinical Trials, limited </w:t>
      </w:r>
      <w:r>
        <w:rPr>
          <w:rFonts w:ascii="Arial" w:cs="Arial" w:eastAsia="Arial" w:hAnsi="Arial"/>
          <w:sz w:val="15"/>
          <w:szCs w:val="15"/>
          <w:color w:val="auto"/>
        </w:rPr>
        <w:t>[***]</w:t>
      </w:r>
      <w:r>
        <w:rPr>
          <w:rFonts w:ascii="Arial" w:cs="Arial" w:eastAsia="Arial" w:hAnsi="Arial"/>
          <w:sz w:val="18"/>
          <w:szCs w:val="18"/>
          <w:color w:val="auto"/>
        </w:rPr>
        <w:t>, solely for the purpose of disclosing, as soon as reasonably practicable, the safety or efficacy results and conclusions that are material to either Party under applicable securities laws, and (ii) the conclusions and outcomes of the Combined Therapy Clinical Trials (the “</w:t>
      </w:r>
      <w:r>
        <w:rPr>
          <w:rFonts w:ascii="Arial" w:cs="Arial" w:eastAsia="Arial" w:hAnsi="Arial"/>
          <w:sz w:val="18"/>
          <w:szCs w:val="18"/>
          <w:b w:val="1"/>
          <w:bCs w:val="1"/>
          <w:i w:val="1"/>
          <w:iCs w:val="1"/>
          <w:color w:val="auto"/>
        </w:rPr>
        <w:t>Results</w:t>
      </w:r>
      <w:r>
        <w:rPr>
          <w:rFonts w:ascii="Arial" w:cs="Arial" w:eastAsia="Arial" w:hAnsi="Arial"/>
          <w:sz w:val="18"/>
          <w:szCs w:val="18"/>
          <w:color w:val="auto"/>
        </w:rPr>
        <w:t xml:space="preserve">”), as set forth in the Final Study Report, at a scientific conference as soon as reasonably practicable following the completion of such Combined Therapy Clinical Trials, subject in the case of (ii) to the following terms and conditions. Olema shall deliver to Novartis a copy of the proposed disclosure, publication or presentation at least </w:t>
      </w:r>
      <w:r>
        <w:rPr>
          <w:rFonts w:ascii="Arial" w:cs="Arial" w:eastAsia="Arial" w:hAnsi="Arial"/>
          <w:sz w:val="15"/>
          <w:szCs w:val="15"/>
          <w:color w:val="auto"/>
        </w:rPr>
        <w:t>[***]</w:t>
      </w:r>
      <w:r>
        <w:rPr>
          <w:rFonts w:ascii="Arial" w:cs="Arial" w:eastAsia="Arial" w:hAnsi="Arial"/>
          <w:sz w:val="18"/>
          <w:szCs w:val="18"/>
          <w:color w:val="auto"/>
        </w:rPr>
        <w:t xml:space="preserve"> before submission to a Third Party. Novartis shall determine whether any of its Confidential Information that is contained in such proposed disclosure, publication or presentation should be modified or deleted, and whether to file a patent application on any Novartis Study Invention disclosed therein. The disclosure, publication or presentation shall be delayed for an additional </w:t>
      </w:r>
      <w:r>
        <w:rPr>
          <w:rFonts w:ascii="Arial" w:cs="Arial" w:eastAsia="Arial" w:hAnsi="Arial"/>
          <w:sz w:val="15"/>
          <w:szCs w:val="15"/>
          <w:color w:val="auto"/>
        </w:rPr>
        <w:t>[***]</w:t>
      </w:r>
      <w:r>
        <w:rPr>
          <w:rFonts w:ascii="Arial" w:cs="Arial" w:eastAsia="Arial" w:hAnsi="Arial"/>
          <w:sz w:val="18"/>
          <w:szCs w:val="18"/>
          <w:color w:val="auto"/>
        </w:rPr>
        <w:t xml:space="preserve"> (i.e., a total </w:t>
      </w:r>
      <w:r>
        <w:rPr>
          <w:rFonts w:ascii="Arial" w:cs="Arial" w:eastAsia="Arial" w:hAnsi="Arial"/>
          <w:sz w:val="15"/>
          <w:szCs w:val="15"/>
          <w:color w:val="auto"/>
        </w:rPr>
        <w:t>[***]</w:t>
      </w:r>
      <w:r>
        <w:rPr>
          <w:rFonts w:ascii="Arial" w:cs="Arial" w:eastAsia="Arial" w:hAnsi="Arial"/>
          <w:sz w:val="18"/>
          <w:szCs w:val="18"/>
          <w:color w:val="auto"/>
        </w:rPr>
        <w:t xml:space="preserve"> from the initial proposal) if Novartis reasonably requests such extension to allow time for the preparation and filing of relevant patent applications directed to a Novartis Study Invention. If Novartis reasonably requests modifications to the disclosure, publication or presentation to prevent the disclosure of Confidential Information of Novartis (other than the Results or Combined Therapy Study Data), Olema shall </w:t>
      </w:r>
      <w:r>
        <w:rPr>
          <w:rFonts w:ascii="Arial" w:cs="Arial" w:eastAsia="Arial" w:hAnsi="Arial"/>
          <w:sz w:val="15"/>
          <w:szCs w:val="15"/>
          <w:color w:val="auto"/>
        </w:rPr>
        <w:t>[***]</w:t>
      </w:r>
      <w:r>
        <w:rPr>
          <w:rFonts w:ascii="Arial" w:cs="Arial" w:eastAsia="Arial" w:hAnsi="Arial"/>
          <w:sz w:val="18"/>
          <w:szCs w:val="18"/>
          <w:color w:val="auto"/>
        </w:rPr>
        <w:t>. In the event of a disagreement as to content, timing and/or venue or forum for any disclosure, publication or presentation of the Results, such dispute (a “</w:t>
      </w:r>
      <w:r>
        <w:rPr>
          <w:rFonts w:ascii="Arial" w:cs="Arial" w:eastAsia="Arial" w:hAnsi="Arial"/>
          <w:sz w:val="18"/>
          <w:szCs w:val="18"/>
          <w:b w:val="1"/>
          <w:bCs w:val="1"/>
          <w:i w:val="1"/>
          <w:iCs w:val="1"/>
          <w:color w:val="auto"/>
        </w:rPr>
        <w:t>Publication Dispute</w:t>
      </w:r>
      <w:r>
        <w:rPr>
          <w:rFonts w:ascii="Arial" w:cs="Arial" w:eastAsia="Arial" w:hAnsi="Arial"/>
          <w:sz w:val="18"/>
          <w:szCs w:val="18"/>
          <w:color w:val="auto"/>
        </w:rPr>
        <w:t>”) shall be referred to the Executive Officers (or their respective designees); provided</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8" w:name="page129"/>
    <w:bookmarkEnd w:id="128"/>
    <w:p>
      <w:pPr>
        <w:jc w:val="both"/>
        <w:spacing w:after="0" w:line="254" w:lineRule="auto"/>
        <w:rPr>
          <w:sz w:val="20"/>
          <w:szCs w:val="20"/>
          <w:color w:val="auto"/>
        </w:rPr>
      </w:pPr>
      <w:r>
        <w:rPr>
          <w:rFonts w:ascii="Arial" w:cs="Arial" w:eastAsia="Arial" w:hAnsi="Arial"/>
          <w:sz w:val="19"/>
          <w:szCs w:val="19"/>
          <w:color w:val="auto"/>
        </w:rPr>
        <w:t xml:space="preserve">that, in the absence of agreement after such good faith discussions, and upon expiration of the additional </w:t>
      </w:r>
      <w:r>
        <w:rPr>
          <w:rFonts w:ascii="Arial" w:cs="Arial" w:eastAsia="Arial" w:hAnsi="Arial"/>
          <w:sz w:val="16"/>
          <w:szCs w:val="16"/>
          <w:color w:val="auto"/>
        </w:rPr>
        <w:t>[***]</w:t>
      </w:r>
      <w:r>
        <w:rPr>
          <w:rFonts w:ascii="Arial" w:cs="Arial" w:eastAsia="Arial" w:hAnsi="Arial"/>
          <w:sz w:val="19"/>
          <w:szCs w:val="19"/>
          <w:color w:val="auto"/>
        </w:rPr>
        <w:t>-period, (A) academic collaborators or Study Sites engaged by Olema in connection with the performance of the Combined Therapy Clinical Trials may publish Combined Therapy Study Data obtained by such academic collaborator or Study Site solely to the extent that such ability to publish such Combined Therapy Study Data is set forth in an agreement between Olema and such academic collaborator or Study Site relating to the conduct of Combined Therapy Clinical Trials and (B) Olema may proceed with the disclosure, publication or presentation provided that such disclosure, publication or presentation is consistent with its internal publication guidelines and customary industry practices for the publication of similar data and does not disclose the Confidential Information of Novartis (other than the Results or Combined Therapy Study Data). Authorship of any publication shall be determined based on the accepted standards used in peer-reviewed academic journals at the time of the proposed disclosure, publication or presentation. The Parties agree that they shall make reasonable efforts to prevent publication of a press release that could jeopardize the future publication of Study Data at a scientific conference or in a scientific journal but in no way will this or any other provision of this Agreement supersede the requirements of any Applicable Law or the rules or regulations of any securities exchange or listing entity on which a Party’s stock is listed (including any such rule or regulation that may require a Party to make public disclosures about interim results of the Combined Therapy Clinical Trials).</w:t>
      </w:r>
    </w:p>
    <w:p>
      <w:pPr>
        <w:spacing w:after="0" w:line="150" w:lineRule="exact"/>
        <w:rPr>
          <w:sz w:val="20"/>
          <w:szCs w:val="20"/>
          <w:color w:val="auto"/>
        </w:rPr>
      </w:pPr>
    </w:p>
    <w:p>
      <w:pPr>
        <w:jc w:val="both"/>
        <w:ind w:firstLine="1304"/>
        <w:spacing w:after="0" w:line="244" w:lineRule="auto"/>
        <w:tabs>
          <w:tab w:leader="none" w:pos="2025" w:val="left"/>
        </w:tabs>
        <w:numPr>
          <w:ilvl w:val="0"/>
          <w:numId w:val="94"/>
        </w:numPr>
        <w:rPr>
          <w:rFonts w:ascii="Arial" w:cs="Arial" w:eastAsia="Arial" w:hAnsi="Arial"/>
          <w:sz w:val="20"/>
          <w:szCs w:val="20"/>
          <w:b w:val="1"/>
          <w:bCs w:val="1"/>
          <w:color w:val="auto"/>
        </w:rPr>
      </w:pPr>
      <w:r>
        <w:rPr>
          <w:rFonts w:ascii="Arial" w:cs="Arial" w:eastAsia="Arial" w:hAnsi="Arial"/>
          <w:sz w:val="20"/>
          <w:szCs w:val="20"/>
          <w:color w:val="auto"/>
        </w:rPr>
        <w:t>Olema agrees to include in all press releases, presentations and publications it makes related to the Combined Therapy Clinical Trials specific mention, if applicable, of the Novartis Study Drugs and the support and involvement of Novartis. Subject to the limitation set forth in this Section 8.4, Novartis agrees to include in all press releases, presentations and publications it makes related to the Combined Therapy Clinical Trials specific mention, if applicable, of Olema Study Drug and the support and involvement of Olema.</w:t>
      </w:r>
    </w:p>
    <w:p>
      <w:pPr>
        <w:spacing w:after="0" w:line="16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8.5</w:t>
      </w:r>
      <w:r>
        <w:rPr>
          <w:sz w:val="20"/>
          <w:szCs w:val="20"/>
          <w:color w:val="auto"/>
        </w:rPr>
        <w:tab/>
      </w:r>
      <w:r>
        <w:rPr>
          <w:rFonts w:ascii="Arial" w:cs="Arial" w:eastAsia="Arial" w:hAnsi="Arial"/>
          <w:sz w:val="16"/>
          <w:szCs w:val="16"/>
          <w:b w:val="1"/>
          <w:bCs w:val="1"/>
          <w:color w:val="auto"/>
        </w:rPr>
        <w:t>Compliance with Sunshine Laws.</w:t>
      </w:r>
    </w:p>
    <w:p>
      <w:pPr>
        <w:spacing w:after="0" w:line="181" w:lineRule="exact"/>
        <w:rPr>
          <w:sz w:val="20"/>
          <w:szCs w:val="20"/>
          <w:color w:val="auto"/>
        </w:rPr>
      </w:pPr>
    </w:p>
    <w:p>
      <w:pPr>
        <w:jc w:val="both"/>
        <w:ind w:firstLine="1304"/>
        <w:spacing w:after="0" w:line="272" w:lineRule="auto"/>
        <w:tabs>
          <w:tab w:leader="none" w:pos="202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As between the Parties, as and when applicable, each Party (as the “Reporting Party”) will report payments or other transfers of value (“</w:t>
      </w:r>
      <w:r>
        <w:rPr>
          <w:rFonts w:ascii="Arial" w:cs="Arial" w:eastAsia="Arial" w:hAnsi="Arial"/>
          <w:sz w:val="18"/>
          <w:szCs w:val="18"/>
          <w:b w:val="1"/>
          <w:bCs w:val="1"/>
          <w:i w:val="1"/>
          <w:iCs w:val="1"/>
          <w:color w:val="auto"/>
        </w:rPr>
        <w:t>POTV</w:t>
      </w:r>
      <w:r>
        <w:rPr>
          <w:rFonts w:ascii="Arial" w:cs="Arial" w:eastAsia="Arial" w:hAnsi="Arial"/>
          <w:sz w:val="18"/>
          <w:szCs w:val="18"/>
          <w:color w:val="auto"/>
        </w:rPr>
        <w:t>”) made by the other Party or its contractor(s) related to the conduct of the Combined Therapy Clinical Trials and any applicable associated contractor engagements as required under the Sunshine Laws for the Combined Therapy Clinical Trials. Novartis shall request delayed publication for any reported POTV for studies sponsored by Olema as permitted under the Sunshine Laws and if consistent with Novartis’s normal business practices. In the event that Olema becomes responsible for reporting POTV for studies sponsored by it in a given country during the Term, Olema shall provide written notification to Novartis and the Parties will meet to confer to discuss how they wish to handle reporting thereafter. Interpretation of the Sunshine Laws for purposes of reporting any POTV by a Party shall be in such Party’s sole discretion so long as the interpretation complies with Applicable Law.</w:t>
      </w:r>
    </w:p>
    <w:p>
      <w:pPr>
        <w:spacing w:after="0" w:line="129" w:lineRule="exact"/>
        <w:rPr>
          <w:rFonts w:ascii="Arial" w:cs="Arial" w:eastAsia="Arial" w:hAnsi="Arial"/>
          <w:sz w:val="18"/>
          <w:szCs w:val="18"/>
          <w:b w:val="1"/>
          <w:bCs w:val="1"/>
          <w:color w:val="auto"/>
        </w:rPr>
      </w:pPr>
    </w:p>
    <w:p>
      <w:pPr>
        <w:jc w:val="both"/>
        <w:ind w:firstLine="1304"/>
        <w:spacing w:after="0" w:line="270" w:lineRule="auto"/>
        <w:tabs>
          <w:tab w:leader="none" w:pos="2025"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Olema (i) will provide (to the extent in the possession of Olema), or will utilize Commercially Reasonable Efforts to obligate and ensure that each CRO and other applicable Third Party contractors for the Combined Therapy Clinical Trials provides, Novartis with any information requested by Novartis as Novartis may reasonably determine is necessary for Novartis to comply with its reporting obligations under Sunshine Laws (with such amounts paid to, or at the direction of, healthcare providers, teaching hospitals and/or any other persons for whom POTVs must be reported under Sunshine Laws to be reported to Novartis within a reasonable time period specified by Novartis) and (ii) will reasonably cooperate with, and will utilize Commercially Reasonable Efforts to obligate and ensure that each CRO and other applicable Third Party contractors for the Combined Therapy Clinical Trials reasonably cooperates with, Novartis in connection with its compliance with such Sunshine Laws. The form in which Olema provides any such information shall be mutually agreed but sufficient to enable Novartis to comply with its reporting obligations and Novartis may disclose any information that it believes is necessary to comply with Sunshine Laws. Without limiting the foregoing, Novartis shall have the right to allocate POTVs in connection with this Agreement in any required reporting under Sunshine Laws in accordance with its normal business practices. These obligations shall survive the expiration and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29" w:name="page130"/>
    <w:bookmarkEnd w:id="129"/>
    <w:p>
      <w:pPr>
        <w:jc w:val="both"/>
        <w:spacing w:after="0" w:line="282" w:lineRule="auto"/>
        <w:rPr>
          <w:sz w:val="20"/>
          <w:szCs w:val="20"/>
          <w:color w:val="auto"/>
        </w:rPr>
      </w:pPr>
      <w:r>
        <w:rPr>
          <w:rFonts w:ascii="Arial" w:cs="Arial" w:eastAsia="Arial" w:hAnsi="Arial"/>
          <w:sz w:val="18"/>
          <w:szCs w:val="18"/>
          <w:color w:val="auto"/>
        </w:rPr>
        <w:t>Agreement to the extent necessary for Novartis to comply with Sunshine Laws. Olema shall not be required to provide any information to Novartis that is subject to disclosure pursuant to Olema’s own obligations under the Sunshine Laws. The provisions of this Section 8.5(b) shall be applicable mutatis mutandis, with respect to each Party’s obligations herein, in connection with Olema’s reporting of POTV under the Sunshine Laws as and when applicable to Olema.</w:t>
      </w:r>
    </w:p>
    <w:p>
      <w:pPr>
        <w:spacing w:after="0" w:line="121" w:lineRule="exact"/>
        <w:rPr>
          <w:sz w:val="20"/>
          <w:szCs w:val="20"/>
          <w:color w:val="auto"/>
        </w:rPr>
      </w:pPr>
    </w:p>
    <w:p>
      <w:pPr>
        <w:jc w:val="both"/>
        <w:ind w:firstLine="1304"/>
        <w:spacing w:after="0" w:line="246" w:lineRule="auto"/>
        <w:tabs>
          <w:tab w:leader="none" w:pos="2025" w:val="left"/>
        </w:tabs>
        <w:numPr>
          <w:ilvl w:val="0"/>
          <w:numId w:val="96"/>
        </w:numPr>
        <w:rPr>
          <w:rFonts w:ascii="Arial" w:cs="Arial" w:eastAsia="Arial" w:hAnsi="Arial"/>
          <w:sz w:val="20"/>
          <w:szCs w:val="20"/>
          <w:b w:val="1"/>
          <w:bCs w:val="1"/>
          <w:color w:val="auto"/>
        </w:rPr>
      </w:pPr>
      <w:r>
        <w:rPr>
          <w:rFonts w:ascii="Arial" w:cs="Arial" w:eastAsia="Arial" w:hAnsi="Arial"/>
          <w:sz w:val="20"/>
          <w:szCs w:val="20"/>
          <w:color w:val="auto"/>
        </w:rPr>
        <w:t>For purposes of this Section 8.5, “</w:t>
      </w:r>
      <w:r>
        <w:rPr>
          <w:rFonts w:ascii="Arial" w:cs="Arial" w:eastAsia="Arial" w:hAnsi="Arial"/>
          <w:sz w:val="20"/>
          <w:szCs w:val="20"/>
          <w:b w:val="1"/>
          <w:bCs w:val="1"/>
          <w:i w:val="1"/>
          <w:iCs w:val="1"/>
          <w:color w:val="auto"/>
        </w:rPr>
        <w:t>Sunshine Laws</w:t>
      </w:r>
      <w:r>
        <w:rPr>
          <w:rFonts w:ascii="Arial" w:cs="Arial" w:eastAsia="Arial" w:hAnsi="Arial"/>
          <w:sz w:val="20"/>
          <w:szCs w:val="20"/>
          <w:color w:val="auto"/>
        </w:rPr>
        <w:t>” shall mean Applicable Laws requiring collection, reporting and disclosure of POTVs to certain healthcare providers, entities and individuals. These Applicable Laws may include relevant provisions of the Patient Protection and Affordable Health Care Act of 2010 and implementing regulations thereunder.</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b w:val="1"/>
          <w:bCs w:val="1"/>
          <w:color w:val="auto"/>
        </w:rPr>
        <w:t xml:space="preserve">8.6 Destruction of Confidential Information. </w:t>
      </w:r>
      <w:r>
        <w:rPr>
          <w:rFonts w:ascii="Arial" w:cs="Arial" w:eastAsia="Arial" w:hAnsi="Arial"/>
          <w:sz w:val="18"/>
          <w:szCs w:val="18"/>
          <w:color w:val="auto"/>
        </w:rPr>
        <w:t>Upon expiration or termination of the Agreement, the receiving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Party shall, upon request by the other Party, immediately destroy or return all of the other Party’s Confidential Information relating solely to the other Party’s Compound as monotherapy (but not to the Combined Therapy or the Combined Therapy Study Data) and Olema shall, upon request by Novartis immediately destroy or return all of Novartis’s Confidential information relating to the Novartis Alpelisib Metabolite in its possession;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w:t>
      </w:r>
      <w:r>
        <w:rPr>
          <w:rFonts w:ascii="Arial" w:cs="Arial" w:eastAsia="Arial" w:hAnsi="Arial"/>
          <w:sz w:val="18"/>
          <w:szCs w:val="18"/>
          <w:i w:val="1"/>
          <w:iCs w:val="1"/>
          <w:color w:val="auto"/>
        </w:rPr>
        <w:t>that</w:t>
      </w:r>
      <w:r>
        <w:rPr>
          <w:rFonts w:ascii="Arial" w:cs="Arial" w:eastAsia="Arial" w:hAnsi="Arial"/>
          <w:sz w:val="18"/>
          <w:szCs w:val="18"/>
          <w:color w:val="auto"/>
        </w:rPr>
        <w:t xml:space="preserve"> the receiving Party shall be entitled to retain one (1) copy of Confidential Information solely for record-keeping purposes, or as needed to exercise its surviving rights under this Agreement, and shall not be required to destroy any Confidential Information required, or reasonably necessary, to be retained for any clinical trial activities that continue after expiration or termination, or off-site computer files created during automatic system back up which are subsequently stored securely by the receiving Party.</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9</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REPRESENTATIONS AND WARRANTIES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9.1 Authority and Binding Agreement. </w:t>
      </w:r>
      <w:r>
        <w:rPr>
          <w:rFonts w:ascii="Arial" w:cs="Arial" w:eastAsia="Arial" w:hAnsi="Arial"/>
          <w:sz w:val="19"/>
          <w:szCs w:val="19"/>
          <w:color w:val="auto"/>
        </w:rPr>
        <w:t>Each Party represents and warrants to the other Party as of the</w:t>
      </w:r>
      <w:r>
        <w:rPr>
          <w:rFonts w:ascii="Arial" w:cs="Arial" w:eastAsia="Arial" w:hAnsi="Arial"/>
          <w:sz w:val="19"/>
          <w:szCs w:val="19"/>
          <w:b w:val="1"/>
          <w:bCs w:val="1"/>
          <w:color w:val="auto"/>
        </w:rPr>
        <w:t xml:space="preserve"> </w:t>
      </w:r>
      <w:r>
        <w:rPr>
          <w:rFonts w:ascii="Arial" w:cs="Arial" w:eastAsia="Arial" w:hAnsi="Arial"/>
          <w:sz w:val="19"/>
          <w:szCs w:val="19"/>
          <w:color w:val="auto"/>
        </w:rPr>
        <w:t>Effective Date that (a) it has the corporate power and authority and the legal right to enter into this Agreement and perform its obligations hereunder, (b) it has taken all necessary corporate action on its part required to authorize the execution and delivery of the Agreement and the performance of its obligations hereunder, and (c) the Agreement has been duly executed and delivered on behalf of such Party and constitutes a legal, valid and binding obligation of such Party that is enforceable against it in accordance with its terms subject to bankruptcy, insolvency, reorganization, arrangement, winding-up, moratorium, and similar laws of general application affecting the enforcement of creditors’ rights generally, and subject to general equitable principles, including the fact that the availability of equitable remedies, such as injunctive relief or specific performance, is in the discretion of the court.</w:t>
      </w:r>
    </w:p>
    <w:p>
      <w:pPr>
        <w:spacing w:after="0" w:line="135"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9.2 No Conflicts. </w:t>
      </w:r>
      <w:r>
        <w:rPr>
          <w:rFonts w:ascii="Arial" w:cs="Arial" w:eastAsia="Arial" w:hAnsi="Arial"/>
          <w:sz w:val="20"/>
          <w:szCs w:val="20"/>
          <w:color w:val="auto"/>
        </w:rPr>
        <w:t>Each Party represents and warrants to the other Party as of the Effective Date that, to the best</w:t>
      </w:r>
      <w:r>
        <w:rPr>
          <w:rFonts w:ascii="Arial" w:cs="Arial" w:eastAsia="Arial" w:hAnsi="Arial"/>
          <w:sz w:val="20"/>
          <w:szCs w:val="20"/>
          <w:b w:val="1"/>
          <w:bCs w:val="1"/>
          <w:color w:val="auto"/>
        </w:rPr>
        <w:t xml:space="preserve"> </w:t>
      </w:r>
      <w:r>
        <w:rPr>
          <w:rFonts w:ascii="Arial" w:cs="Arial" w:eastAsia="Arial" w:hAnsi="Arial"/>
          <w:sz w:val="20"/>
          <w:szCs w:val="20"/>
          <w:color w:val="auto"/>
        </w:rPr>
        <w:t>of its knowledge, it has not entered, and shall not enter, into any agreement with any Third Party that is in conflict with the rights granted to the other Party under this Agreement, and has not taken any action that would in any way prevent it from granting the rights granted to the other Party under this Agreement, or that would otherwise materially conflict with the rights granted to the other Party under this Agreement.</w:t>
      </w:r>
    </w:p>
    <w:p>
      <w:pPr>
        <w:spacing w:after="0" w:line="144"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9.3 Litigation. </w:t>
      </w:r>
      <w:r>
        <w:rPr>
          <w:rFonts w:ascii="Arial" w:cs="Arial" w:eastAsia="Arial" w:hAnsi="Arial"/>
          <w:sz w:val="20"/>
          <w:szCs w:val="20"/>
          <w:color w:val="auto"/>
        </w:rPr>
        <w:t>Each Party represents and warrants to the other Party as of the Effective Date that, to the best of</w:t>
      </w:r>
      <w:r>
        <w:rPr>
          <w:rFonts w:ascii="Arial" w:cs="Arial" w:eastAsia="Arial" w:hAnsi="Arial"/>
          <w:sz w:val="20"/>
          <w:szCs w:val="20"/>
          <w:b w:val="1"/>
          <w:bCs w:val="1"/>
          <w:color w:val="auto"/>
        </w:rPr>
        <w:t xml:space="preserve"> </w:t>
      </w:r>
      <w:r>
        <w:rPr>
          <w:rFonts w:ascii="Arial" w:cs="Arial" w:eastAsia="Arial" w:hAnsi="Arial"/>
          <w:sz w:val="20"/>
          <w:szCs w:val="20"/>
          <w:color w:val="auto"/>
        </w:rPr>
        <w:t>its knowledge, it is not aware of any pending or threatened litigation (and has not received any written communication) that alleges that its activities related to this Agreement have violated, or that by conducting the activities as contemplated in this Agreement it would violate, any of the intellectual property rights of any other Person (after giving effect to the license grants in this Agreement).</w:t>
      </w:r>
    </w:p>
    <w:p>
      <w:pPr>
        <w:spacing w:after="0" w:line="158"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9.4 No Adverse Proceedings. </w:t>
      </w:r>
      <w:r>
        <w:rPr>
          <w:rFonts w:ascii="Arial" w:cs="Arial" w:eastAsia="Arial" w:hAnsi="Arial"/>
          <w:sz w:val="20"/>
          <w:szCs w:val="20"/>
          <w:color w:val="auto"/>
        </w:rPr>
        <w:t>Each Party represents and warrants to the other Party as of the Effective Date</w:t>
      </w:r>
      <w:r>
        <w:rPr>
          <w:rFonts w:ascii="Arial" w:cs="Arial" w:eastAsia="Arial" w:hAnsi="Arial"/>
          <w:sz w:val="20"/>
          <w:szCs w:val="20"/>
          <w:b w:val="1"/>
          <w:bCs w:val="1"/>
          <w:color w:val="auto"/>
        </w:rPr>
        <w:t xml:space="preserve"> </w:t>
      </w:r>
      <w:r>
        <w:rPr>
          <w:rFonts w:ascii="Arial" w:cs="Arial" w:eastAsia="Arial" w:hAnsi="Arial"/>
          <w:sz w:val="20"/>
          <w:szCs w:val="20"/>
          <w:color w:val="auto"/>
        </w:rPr>
        <w:t>that, except as otherwise notified to the other Party, there is not pending or, to the knowledge of such Party, threatened, against such Party, any claim, suit, action or governmental proceeding that would,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0" w:name="page131"/>
    <w:bookmarkEnd w:id="130"/>
    <w:p>
      <w:pPr>
        <w:spacing w:after="0"/>
        <w:rPr>
          <w:sz w:val="20"/>
          <w:szCs w:val="20"/>
          <w:color w:val="auto"/>
        </w:rPr>
      </w:pPr>
      <w:r>
        <w:rPr>
          <w:rFonts w:ascii="Arial" w:cs="Arial" w:eastAsia="Arial" w:hAnsi="Arial"/>
          <w:sz w:val="19"/>
          <w:szCs w:val="19"/>
          <w:color w:val="auto"/>
        </w:rPr>
        <w:t>if adversely determined, materially impair the ability of such Party to perform its obligations under this Agreement.</w:t>
      </w:r>
    </w:p>
    <w:p>
      <w:pPr>
        <w:spacing w:after="0" w:line="181"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9.5 Consents. </w:t>
      </w:r>
      <w:r>
        <w:rPr>
          <w:rFonts w:ascii="Arial" w:cs="Arial" w:eastAsia="Arial" w:hAnsi="Arial"/>
          <w:sz w:val="19"/>
          <w:szCs w:val="19"/>
          <w:color w:val="auto"/>
        </w:rPr>
        <w:t>Each Party represents and warrants to the other Party as of the Effective Date that, to the best of</w:t>
      </w:r>
      <w:r>
        <w:rPr>
          <w:rFonts w:ascii="Arial" w:cs="Arial" w:eastAsia="Arial" w:hAnsi="Arial"/>
          <w:sz w:val="19"/>
          <w:szCs w:val="19"/>
          <w:b w:val="1"/>
          <w:bCs w:val="1"/>
          <w:color w:val="auto"/>
        </w:rPr>
        <w:t xml:space="preserve"> </w:t>
      </w:r>
      <w:r>
        <w:rPr>
          <w:rFonts w:ascii="Arial" w:cs="Arial" w:eastAsia="Arial" w:hAnsi="Arial"/>
          <w:sz w:val="19"/>
          <w:szCs w:val="19"/>
          <w:color w:val="auto"/>
        </w:rPr>
        <w:t>its knowledge, all necessary consents, approvals and authorizations of all regulatory and governmental authorities and other Persons (a) required to be obtained by such Party in connection with the execution and delivery of this Agreement have been obtained and (b) required to be obtained by such Party in connection with the performance of its obligations under this Agreement have been obtained or will be obtained prior to such performance.</w:t>
      </w:r>
    </w:p>
    <w:p>
      <w:pPr>
        <w:spacing w:after="0" w:line="14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9.6 No Debarment. </w:t>
      </w:r>
      <w:r>
        <w:rPr>
          <w:rFonts w:ascii="Arial" w:cs="Arial" w:eastAsia="Arial" w:hAnsi="Arial"/>
          <w:sz w:val="19"/>
          <w:szCs w:val="19"/>
          <w:color w:val="auto"/>
        </w:rPr>
        <w:t>Each Party hereby certifies to the other that it has not used, and will not use the services of</w:t>
      </w:r>
      <w:r>
        <w:rPr>
          <w:rFonts w:ascii="Arial" w:cs="Arial" w:eastAsia="Arial" w:hAnsi="Arial"/>
          <w:sz w:val="19"/>
          <w:szCs w:val="19"/>
          <w:b w:val="1"/>
          <w:bCs w:val="1"/>
          <w:color w:val="auto"/>
        </w:rPr>
        <w:t xml:space="preserve"> </w:t>
      </w:r>
      <w:r>
        <w:rPr>
          <w:rFonts w:ascii="Arial" w:cs="Arial" w:eastAsia="Arial" w:hAnsi="Arial"/>
          <w:sz w:val="19"/>
          <w:szCs w:val="19"/>
          <w:color w:val="auto"/>
        </w:rPr>
        <w:t>any person disqualified, debarred, banned, subject to debarment or convicted of a crime for which a person could be debarred by the FDA under 21 U.S.C. 335a, as amended (or subject to a similar sanction of any other Regulatory Authority), in any capacity in connection with any of the services or work provided under the Combined Therapy Clinical Trials and that this certification may be relied upon in any applications to the FDA or any other Regulatory Authority. It is understood and agreed that this certification imposes a continuing obligation upon each Party to notify the other promptly of any change in the truth of this certification. Upon request by a Party, the other Party agrees to provide a list of persons used to perform the services or work provided under any activities conducted for or on behalf of such Party or any of its Affiliates pursuant to this Agreement who, within the five (5) years preceding the Effective Date, or subsequent to the Effective Date, were or are convicted of one of the criminal offenses required by 21 U.S.C. 335a, as amended, to be listed in any application for approval of an abbreviated application for drug approval.</w:t>
      </w:r>
    </w:p>
    <w:p>
      <w:pPr>
        <w:spacing w:after="0" w:line="136"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9"/>
          <w:szCs w:val="19"/>
          <w:b w:val="1"/>
          <w:bCs w:val="1"/>
          <w:color w:val="auto"/>
        </w:rPr>
        <w:t xml:space="preserve">9.7 Compliance with Applicable Law. </w:t>
      </w:r>
      <w:r>
        <w:rPr>
          <w:rFonts w:ascii="Arial" w:cs="Arial" w:eastAsia="Arial" w:hAnsi="Arial"/>
          <w:sz w:val="19"/>
          <w:szCs w:val="19"/>
          <w:color w:val="auto"/>
        </w:rPr>
        <w:t>Each Party represents and warrants to the other Party that it shall</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all Applicable Law of the country or other jurisdiction, or any court or agency thereof, applicable to the performance of its activities hereunder or any obligation or transaction hereunder, including those pertaining to the production and handling of drug products, such as those set forth by the Regulatory Authorities, as applicable, and the applicable terms of this Agreement in the performance of its obligations hereunder.</w:t>
      </w:r>
    </w:p>
    <w:p>
      <w:pPr>
        <w:spacing w:after="0" w:line="13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9.8 Affiliates. </w:t>
      </w:r>
      <w:r>
        <w:rPr>
          <w:rFonts w:ascii="Arial" w:cs="Arial" w:eastAsia="Arial" w:hAnsi="Arial"/>
          <w:sz w:val="20"/>
          <w:szCs w:val="20"/>
          <w:color w:val="auto"/>
        </w:rPr>
        <w:t>Each Party represents and warrants to the other Party that, to the extent the intellectual property,</w:t>
      </w:r>
      <w:r>
        <w:rPr>
          <w:rFonts w:ascii="Arial" w:cs="Arial" w:eastAsia="Arial" w:hAnsi="Arial"/>
          <w:sz w:val="20"/>
          <w:szCs w:val="20"/>
          <w:b w:val="1"/>
          <w:bCs w:val="1"/>
          <w:color w:val="auto"/>
        </w:rPr>
        <w:t xml:space="preserve"> </w:t>
      </w:r>
      <w:r>
        <w:rPr>
          <w:rFonts w:ascii="Arial" w:cs="Arial" w:eastAsia="Arial" w:hAnsi="Arial"/>
          <w:sz w:val="20"/>
          <w:szCs w:val="20"/>
          <w:color w:val="auto"/>
        </w:rPr>
        <w:t>Regulatory Documentation or Technology licensed by it hereunder are Controlled by its Affiliates or a Third Party, it has the right to use, and has the right to grant (sub)licenses to the other Party to use, such intellectual property, Regulatory Documentation or Technology in accordance with the terms of this Agreement.</w:t>
      </w:r>
    </w:p>
    <w:p>
      <w:pPr>
        <w:spacing w:after="0" w:line="15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b w:val="1"/>
          <w:bCs w:val="1"/>
          <w:color w:val="auto"/>
        </w:rPr>
        <w:t xml:space="preserve">9.9 Ethical Business Practices. </w:t>
      </w:r>
      <w:r>
        <w:rPr>
          <w:rFonts w:ascii="Arial" w:cs="Arial" w:eastAsia="Arial" w:hAnsi="Arial"/>
          <w:sz w:val="19"/>
          <w:szCs w:val="19"/>
          <w:color w:val="auto"/>
        </w:rPr>
        <w:t>Each Party represents and warrants to the other Party that neither it nor its</w:t>
      </w:r>
      <w:r>
        <w:rPr>
          <w:rFonts w:ascii="Arial" w:cs="Arial" w:eastAsia="Arial" w:hAnsi="Arial"/>
          <w:sz w:val="19"/>
          <w:szCs w:val="19"/>
          <w:b w:val="1"/>
          <w:bCs w:val="1"/>
          <w:color w:val="auto"/>
        </w:rPr>
        <w:t xml:space="preserve"> </w:t>
      </w:r>
      <w:r>
        <w:rPr>
          <w:rFonts w:ascii="Arial" w:cs="Arial" w:eastAsia="Arial" w:hAnsi="Arial"/>
          <w:sz w:val="19"/>
          <w:szCs w:val="19"/>
          <w:color w:val="auto"/>
        </w:rPr>
        <w:t>Affiliates will make any payment, either directly or indirectly, of money or other assets, including the compensation such Party derives from this Agreement (collectively a “</w:t>
      </w:r>
      <w:r>
        <w:rPr>
          <w:rFonts w:ascii="Arial" w:cs="Arial" w:eastAsia="Arial" w:hAnsi="Arial"/>
          <w:sz w:val="19"/>
          <w:szCs w:val="19"/>
          <w:b w:val="1"/>
          <w:bCs w:val="1"/>
          <w:i w:val="1"/>
          <w:iCs w:val="1"/>
          <w:color w:val="auto"/>
        </w:rPr>
        <w:t>Payment</w:t>
      </w:r>
      <w:r>
        <w:rPr>
          <w:rFonts w:ascii="Arial" w:cs="Arial" w:eastAsia="Arial" w:hAnsi="Arial"/>
          <w:sz w:val="19"/>
          <w:szCs w:val="19"/>
          <w:color w:val="auto"/>
        </w:rPr>
        <w:t>”), to government or political party officials, officials of International Public Organizations, candidates for public office, or representatives of other businesses or persons acting on behalf of any of the foregoing (collectively “</w:t>
      </w:r>
      <w:r>
        <w:rPr>
          <w:rFonts w:ascii="Arial" w:cs="Arial" w:eastAsia="Arial" w:hAnsi="Arial"/>
          <w:sz w:val="19"/>
          <w:szCs w:val="19"/>
          <w:b w:val="1"/>
          <w:bCs w:val="1"/>
          <w:i w:val="1"/>
          <w:iCs w:val="1"/>
          <w:color w:val="auto"/>
        </w:rPr>
        <w:t>Officials</w:t>
      </w:r>
      <w:r>
        <w:rPr>
          <w:rFonts w:ascii="Arial" w:cs="Arial" w:eastAsia="Arial" w:hAnsi="Arial"/>
          <w:sz w:val="19"/>
          <w:szCs w:val="19"/>
          <w:color w:val="auto"/>
        </w:rPr>
        <w:t>”) where such Payment would constitute violation of any law, including the Foreign Corrupt Practices Act of 1977, 15 U.S.C. §§ 78dd-1, et seq. In addition, regardless of legality, neither it nor its Affiliates will make any Payment either directly or indirectly to Officials if such Payment is for the purpose of improperly influencing decisions or actions with respect to the subject matter of this Agreement. All activities will be conducted in compliance with the U.S. False Claims Act and the U.S. Anti-Kickback Statute.</w:t>
      </w:r>
    </w:p>
    <w:p>
      <w:pPr>
        <w:spacing w:after="0" w:line="135"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9.10 Single Agent Compound Safety Issues. </w:t>
      </w:r>
      <w:r>
        <w:rPr>
          <w:rFonts w:ascii="Arial" w:cs="Arial" w:eastAsia="Arial" w:hAnsi="Arial"/>
          <w:sz w:val="20"/>
          <w:szCs w:val="20"/>
          <w:color w:val="auto"/>
        </w:rPr>
        <w:t>Each Party represents and warrants as of the Effective Date that,</w:t>
      </w:r>
      <w:r>
        <w:rPr>
          <w:rFonts w:ascii="Arial" w:cs="Arial" w:eastAsia="Arial" w:hAnsi="Arial"/>
          <w:sz w:val="20"/>
          <w:szCs w:val="20"/>
          <w:b w:val="1"/>
          <w:bCs w:val="1"/>
          <w:color w:val="auto"/>
        </w:rPr>
        <w:t xml:space="preserve"> </w:t>
      </w:r>
      <w:r>
        <w:rPr>
          <w:rFonts w:ascii="Arial" w:cs="Arial" w:eastAsia="Arial" w:hAnsi="Arial"/>
          <w:sz w:val="20"/>
          <w:szCs w:val="20"/>
          <w:color w:val="auto"/>
        </w:rPr>
        <w:t>to the best of its knowledge, it is not aware of any material safety or toxicity issue with respect to its Single Agent Compound that are not reflected in the investigator’s brochure and/or safety information provided to the other Party for its Single Agent Compound existing as of the Effective Date.</w:t>
      </w:r>
    </w:p>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9.11</w:t>
      </w:r>
      <w:r>
        <w:rPr>
          <w:sz w:val="20"/>
          <w:szCs w:val="20"/>
          <w:color w:val="auto"/>
        </w:rPr>
        <w:tab/>
      </w:r>
      <w:r>
        <w:rPr>
          <w:rFonts w:ascii="Arial" w:cs="Arial" w:eastAsia="Arial" w:hAnsi="Arial"/>
          <w:sz w:val="18"/>
          <w:szCs w:val="18"/>
          <w:b w:val="1"/>
          <w:bCs w:val="1"/>
          <w:color w:val="auto"/>
        </w:rPr>
        <w:t xml:space="preserve">Compliance with Licensor Agreements. </w:t>
      </w:r>
      <w:r>
        <w:rPr>
          <w:rFonts w:ascii="Arial" w:cs="Arial" w:eastAsia="Arial" w:hAnsi="Arial"/>
          <w:sz w:val="18"/>
          <w:szCs w:val="18"/>
          <w:color w:val="auto"/>
        </w:rPr>
        <w:t>Each Party will use, and will cause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1" w:name="page132"/>
    <w:bookmarkEnd w:id="131"/>
    <w:p>
      <w:pPr>
        <w:jc w:val="both"/>
        <w:spacing w:after="0" w:line="244" w:lineRule="auto"/>
        <w:rPr>
          <w:sz w:val="20"/>
          <w:szCs w:val="20"/>
          <w:color w:val="auto"/>
        </w:rPr>
      </w:pPr>
      <w:r>
        <w:rPr>
          <w:rFonts w:ascii="Arial" w:cs="Arial" w:eastAsia="Arial" w:hAnsi="Arial"/>
          <w:sz w:val="20"/>
          <w:szCs w:val="20"/>
          <w:color w:val="auto"/>
        </w:rPr>
        <w:t>to use, Commercially Reasonable Efforts to comply with its obligations under any agreements entered into by it or its Affiliates with a Third Party under which it is licensed any intellectual property rights or confidential information relating to its Compound (and not to voluntarily terminate same) to the extent necessary for the Combined Therapy Clinical Trials to be conducted and completed in accordance with the terms of this Agreement and for the other Party to receive the rights and benefits provided to it under this Agreement.</w:t>
      </w:r>
    </w:p>
    <w:p>
      <w:pPr>
        <w:spacing w:after="0" w:line="1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b w:val="1"/>
          <w:bCs w:val="1"/>
          <w:color w:val="auto"/>
        </w:rPr>
        <w:t xml:space="preserve">9.12 Novartis Drug Warranty. </w:t>
      </w:r>
      <w:r>
        <w:rPr>
          <w:rFonts w:ascii="Arial" w:cs="Arial" w:eastAsia="Arial" w:hAnsi="Arial"/>
          <w:sz w:val="19"/>
          <w:szCs w:val="19"/>
          <w:color w:val="auto"/>
        </w:rPr>
        <w:t>Novartis represents and warrants that the Novartis Study Drugs manufactured</w:t>
      </w:r>
      <w:r>
        <w:rPr>
          <w:rFonts w:ascii="Arial" w:cs="Arial" w:eastAsia="Arial" w:hAnsi="Arial"/>
          <w:sz w:val="19"/>
          <w:szCs w:val="19"/>
          <w:b w:val="1"/>
          <w:bCs w:val="1"/>
          <w:color w:val="auto"/>
        </w:rPr>
        <w:t xml:space="preserve"> </w:t>
      </w:r>
      <w:r>
        <w:rPr>
          <w:rFonts w:ascii="Arial" w:cs="Arial" w:eastAsia="Arial" w:hAnsi="Arial"/>
          <w:sz w:val="19"/>
          <w:szCs w:val="19"/>
          <w:color w:val="auto"/>
        </w:rPr>
        <w:t>and supplied hereunder shall, at the time of Delivery: (a) comply with the specifications for such drug product (as set forth in the regulatory approvals for such product; (b) shall have been manufactured in accordance with all Applicable Laws; and (c) shall not be adulterated or misbranded as such terms are defined in accordance with Applicable Laws.</w:t>
      </w:r>
    </w:p>
    <w:p>
      <w:pPr>
        <w:spacing w:after="0" w:line="14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9.13 DISCLAIMER OF WARRANTY. </w:t>
      </w:r>
      <w:r>
        <w:rPr>
          <w:rFonts w:ascii="Arial" w:cs="Arial" w:eastAsia="Arial" w:hAnsi="Arial"/>
          <w:sz w:val="20"/>
          <w:szCs w:val="20"/>
          <w:color w:val="auto"/>
        </w:rPr>
        <w:t>THE EXPRESS REPRESENTATIONS AND WARRANTIES STATED</w:t>
      </w:r>
      <w:r>
        <w:rPr>
          <w:rFonts w:ascii="Arial" w:cs="Arial" w:eastAsia="Arial" w:hAnsi="Arial"/>
          <w:sz w:val="20"/>
          <w:szCs w:val="20"/>
          <w:b w:val="1"/>
          <w:bCs w:val="1"/>
          <w:color w:val="auto"/>
        </w:rPr>
        <w:t xml:space="preserve"> </w:t>
      </w:r>
      <w:r>
        <w:rPr>
          <w:rFonts w:ascii="Arial" w:cs="Arial" w:eastAsia="Arial" w:hAnsi="Arial"/>
          <w:sz w:val="20"/>
          <w:szCs w:val="20"/>
          <w:color w:val="auto"/>
        </w:rPr>
        <w:t>IN THIS ARTICLE 10 ARE IN LIEU OF, AND THE PARTIES DO HEREBY DISCLAIM, ALL OTHER REPRESENTATIONS AND WARRANTIES, EXPRESS, IMPLIED OR STATUTORY, INCLUDING WARRANTIES OF MERCHANTABILITY, FITNESS FOR A PARTICULAR PURPOSE OR USE, AND NON-INFRINGEMENT OF THIRD PARTY INTELLECTUAL PROPERTY RIGHTS.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10</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INDEMNIFICATION</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b w:val="1"/>
          <w:bCs w:val="1"/>
          <w:color w:val="auto"/>
        </w:rPr>
        <w:t xml:space="preserve">10.1 Novartis Indemnification. </w:t>
      </w:r>
      <w:r>
        <w:rPr>
          <w:rFonts w:ascii="Arial" w:cs="Arial" w:eastAsia="Arial" w:hAnsi="Arial"/>
          <w:sz w:val="19"/>
          <w:szCs w:val="19"/>
          <w:color w:val="auto"/>
        </w:rPr>
        <w:t>Novartis hereby agrees to defend, hold harmless and indemnify (collectively,</w:t>
      </w:r>
      <w:r>
        <w:rPr>
          <w:rFonts w:ascii="Arial" w:cs="Arial" w:eastAsia="Arial" w:hAnsi="Arial"/>
          <w:sz w:val="19"/>
          <w:szCs w:val="19"/>
          <w:b w:val="1"/>
          <w:bCs w:val="1"/>
          <w:color w:val="auto"/>
        </w:rPr>
        <w:t xml:space="preserve"> </w:t>
      </w:r>
      <w:r>
        <w:rPr>
          <w:rFonts w:ascii="Arial" w:cs="Arial" w:eastAsia="Arial" w:hAnsi="Arial"/>
          <w:sz w:val="19"/>
          <w:szCs w:val="19"/>
          <w:color w:val="auto"/>
        </w:rPr>
        <w:t>“</w:t>
      </w:r>
      <w:r>
        <w:rPr>
          <w:rFonts w:ascii="Arial" w:cs="Arial" w:eastAsia="Arial" w:hAnsi="Arial"/>
          <w:sz w:val="19"/>
          <w:szCs w:val="19"/>
          <w:b w:val="1"/>
          <w:bCs w:val="1"/>
          <w:i w:val="1"/>
          <w:iCs w:val="1"/>
          <w:color w:val="auto"/>
        </w:rPr>
        <w:t>Indemnify</w:t>
      </w:r>
      <w:r>
        <w:rPr>
          <w:rFonts w:ascii="Arial" w:cs="Arial" w:eastAsia="Arial" w:hAnsi="Arial"/>
          <w:sz w:val="19"/>
          <w:szCs w:val="19"/>
          <w:color w:val="auto"/>
        </w:rPr>
        <w:t>”) Olema, its Affiliates, and its and their agents, directors, officers, employees and subcontractors (the “</w:t>
      </w:r>
      <w:r>
        <w:rPr>
          <w:rFonts w:ascii="Arial" w:cs="Arial" w:eastAsia="Arial" w:hAnsi="Arial"/>
          <w:sz w:val="19"/>
          <w:szCs w:val="19"/>
          <w:b w:val="1"/>
          <w:bCs w:val="1"/>
          <w:i w:val="1"/>
          <w:iCs w:val="1"/>
          <w:color w:val="auto"/>
        </w:rPr>
        <w:t>Olema</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Indemnitees</w:t>
      </w:r>
      <w:r>
        <w:rPr>
          <w:rFonts w:ascii="Arial" w:cs="Arial" w:eastAsia="Arial" w:hAnsi="Arial"/>
          <w:sz w:val="19"/>
          <w:szCs w:val="19"/>
          <w:color w:val="auto"/>
        </w:rPr>
        <w:t>”) from and against any and all liabilities, judgments, costs, expenses and/or losses, including reasonable legal</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expenses and attorneys’ fees (collectively “</w:t>
      </w:r>
      <w:r>
        <w:rPr>
          <w:rFonts w:ascii="Arial" w:cs="Arial" w:eastAsia="Arial" w:hAnsi="Arial"/>
          <w:sz w:val="19"/>
          <w:szCs w:val="19"/>
          <w:b w:val="1"/>
          <w:bCs w:val="1"/>
          <w:i w:val="1"/>
          <w:iCs w:val="1"/>
          <w:color w:val="auto"/>
        </w:rPr>
        <w:t>Losses</w:t>
      </w:r>
      <w:r>
        <w:rPr>
          <w:rFonts w:ascii="Arial" w:cs="Arial" w:eastAsia="Arial" w:hAnsi="Arial"/>
          <w:sz w:val="19"/>
          <w:szCs w:val="19"/>
          <w:color w:val="auto"/>
        </w:rPr>
        <w:t>”) resulting from Third Party suits, claims, actions, allegations and demands (each, a “</w:t>
      </w:r>
      <w:r>
        <w:rPr>
          <w:rFonts w:ascii="Arial" w:cs="Arial" w:eastAsia="Arial" w:hAnsi="Arial"/>
          <w:sz w:val="19"/>
          <w:szCs w:val="19"/>
          <w:b w:val="1"/>
          <w:bCs w:val="1"/>
          <w:i w:val="1"/>
          <w:iCs w:val="1"/>
          <w:color w:val="auto"/>
        </w:rPr>
        <w:t>Third Party Claim</w:t>
      </w:r>
      <w:r>
        <w:rPr>
          <w:rFonts w:ascii="Arial" w:cs="Arial" w:eastAsia="Arial" w:hAnsi="Arial"/>
          <w:sz w:val="19"/>
          <w:szCs w:val="19"/>
          <w:color w:val="auto"/>
        </w:rPr>
        <w:t>”) against a Olema Indemnitee to the extent that they arise or result from (a) the negligence or intentional misconduct of any Novartis Indemnitee or any (sub)licensee of Novartis (or its Affiliate) conducting activities on behalf of Novartis (or its Affiliate) under this Agreement, (b) any breach by Novartis of any provision of this Agreement, (c) any injury to a subject in the Combined Therapy Clinical Trials to the extent attributable to the Novartis Study Drugs, or (d) the use by Novartis, its Affiliates, contractors or (sub)licensees of Combined Therapy Study Data, Novartis Study Data, Novartis Study Inventions, Novartis Study Patent Rights, Combined Therapy Inventions and Combined Therapy Patent Rights; but excluding, in each case ((a) through (d)), any such Losses to the extent arising or resulting from a cause or event for which Olema is obligated to Indemnify the Novartis Indemnitees pursuant to Section 10.2.</w:t>
      </w:r>
    </w:p>
    <w:p>
      <w:pPr>
        <w:spacing w:after="0" w:line="14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10.2 Olema Indemnification. </w:t>
      </w:r>
      <w:r>
        <w:rPr>
          <w:rFonts w:ascii="Arial" w:cs="Arial" w:eastAsia="Arial" w:hAnsi="Arial"/>
          <w:sz w:val="19"/>
          <w:szCs w:val="19"/>
          <w:color w:val="auto"/>
        </w:rPr>
        <w:t>Olema hereby agrees to Indemnify Novartis, its Affiliates, and its and their</w:t>
      </w:r>
      <w:r>
        <w:rPr>
          <w:rFonts w:ascii="Arial" w:cs="Arial" w:eastAsia="Arial" w:hAnsi="Arial"/>
          <w:sz w:val="19"/>
          <w:szCs w:val="19"/>
          <w:b w:val="1"/>
          <w:bCs w:val="1"/>
          <w:color w:val="auto"/>
        </w:rPr>
        <w:t xml:space="preserve"> </w:t>
      </w:r>
      <w:r>
        <w:rPr>
          <w:rFonts w:ascii="Arial" w:cs="Arial" w:eastAsia="Arial" w:hAnsi="Arial"/>
          <w:sz w:val="19"/>
          <w:szCs w:val="19"/>
          <w:color w:val="auto"/>
        </w:rPr>
        <w:t>agents, directors, officers, employees and subcontractors (the “</w:t>
      </w:r>
      <w:r>
        <w:rPr>
          <w:rFonts w:ascii="Arial" w:cs="Arial" w:eastAsia="Arial" w:hAnsi="Arial"/>
          <w:sz w:val="19"/>
          <w:szCs w:val="19"/>
          <w:b w:val="1"/>
          <w:bCs w:val="1"/>
          <w:i w:val="1"/>
          <w:iCs w:val="1"/>
          <w:color w:val="auto"/>
        </w:rPr>
        <w:t>Novartis Indemnitees</w:t>
      </w:r>
      <w:r>
        <w:rPr>
          <w:rFonts w:ascii="Arial" w:cs="Arial" w:eastAsia="Arial" w:hAnsi="Arial"/>
          <w:sz w:val="19"/>
          <w:szCs w:val="19"/>
          <w:color w:val="auto"/>
        </w:rPr>
        <w:t>”) from and against any and all Losses resulting from Third Party Claims against a Novartis Indemnitee to the extent that they arise or result from (a) the negligence or intentional misconduct of any Olema Indemnitee or any (sub)licensee of Olema conducting activities on behalf of Olema under this Agreement, (b) any breach by Olema of any provision of this Agreement, (c) any injury to a subject in the Combined Therapy Clinical Trials to the extent attributable to the Olema Study Drug), or (d) the use by Olema, its Affiliates, contractors or (sub)licensees of Combined Therapy Study Data, Olema Study Data, Olema Study Inventions, Olema Study Patent Rights, Combined Therapy Inventions and Combined Therapy Patent Rights; but excluding, in each case ((a) through (d)), any such Losses or Third Party Claims to the extent arising or resulting from a cause or event for which Novartis is obligated to Indemnify Olema Indemnitees pursuant to Section 10.1.</w:t>
      </w:r>
    </w:p>
    <w:p>
      <w:pPr>
        <w:spacing w:after="0" w:line="14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10.3 Indemnification Procedure. </w:t>
      </w:r>
      <w:r>
        <w:rPr>
          <w:rFonts w:ascii="Arial" w:cs="Arial" w:eastAsia="Arial" w:hAnsi="Arial"/>
          <w:sz w:val="20"/>
          <w:szCs w:val="20"/>
          <w:color w:val="auto"/>
        </w:rPr>
        <w:t>Each Party’s agreement to Indemnify the other Party is conditioned on the</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performance of the following by the Party seeking indemnification: (a) providing written notice to the Indemnifying Party of any Loss and/or Third Party Claim of the types set forth in Section 10.1 and 10.2 promptly, and in any event within </w:t>
      </w:r>
      <w:r>
        <w:rPr>
          <w:rFonts w:ascii="Arial" w:cs="Arial" w:eastAsia="Arial" w:hAnsi="Arial"/>
          <w:sz w:val="17"/>
          <w:szCs w:val="17"/>
          <w:color w:val="auto"/>
        </w:rPr>
        <w:t>[***]</w:t>
      </w:r>
      <w:r>
        <w:rPr>
          <w:rFonts w:ascii="Arial" w:cs="Arial" w:eastAsia="Arial" w:hAnsi="Arial"/>
          <w:sz w:val="20"/>
          <w:szCs w:val="20"/>
          <w:color w:val="auto"/>
        </w:rPr>
        <w:t>, after the Party seeking indemnification has knowledge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2" w:name="page133"/>
    <w:bookmarkEnd w:id="132"/>
    <w:p>
      <w:pPr>
        <w:jc w:val="both"/>
        <w:spacing w:after="0" w:line="243" w:lineRule="auto"/>
        <w:rPr>
          <w:sz w:val="20"/>
          <w:szCs w:val="20"/>
          <w:color w:val="auto"/>
        </w:rPr>
      </w:pPr>
      <w:r>
        <w:rPr>
          <w:rFonts w:ascii="Arial" w:cs="Arial" w:eastAsia="Arial" w:hAnsi="Arial"/>
          <w:sz w:val="20"/>
          <w:szCs w:val="20"/>
          <w:color w:val="auto"/>
        </w:rPr>
        <w:t xml:space="preserve">such Loss and/or Third Party Claim; </w:t>
      </w:r>
      <w:r>
        <w:rPr>
          <w:rFonts w:ascii="Arial" w:cs="Arial" w:eastAsia="Arial" w:hAnsi="Arial"/>
          <w:sz w:val="20"/>
          <w:szCs w:val="20"/>
          <w:i w:val="1"/>
          <w:iCs w:val="1"/>
          <w:color w:val="auto"/>
        </w:rPr>
        <w:t>provided that</w:t>
      </w:r>
      <w:r>
        <w:rPr>
          <w:rFonts w:ascii="Arial" w:cs="Arial" w:eastAsia="Arial" w:hAnsi="Arial"/>
          <w:sz w:val="20"/>
          <w:szCs w:val="20"/>
          <w:color w:val="auto"/>
        </w:rPr>
        <w:t>, any delay in complying with the requirements of this clause (a) will only limit the Indemnifying Party’s obligation to the extent of the prejudice caused to the Indemnifying Party by such delay, (b) permitting the Indemnifying Party to assume full responsibility to investigate, prepare for and defend against any such Loss and/or Third Party Claim, (c) providing reasonable assistance to the Indemnifying Party, at the Indemnifying Party’s expense, in the investigation of, preparation for and defense of any Loss and/or Third Party Claim, and (d) not compromising or settling such Loss and/or Third Party Claim without the Indemnifying Party’s written consent, such consent not to be unreasonably withheld or delayed.</w:t>
      </w:r>
    </w:p>
    <w:p>
      <w:pPr>
        <w:spacing w:after="0" w:line="14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10.4 Separate Defense of Claims. </w:t>
      </w:r>
      <w:r>
        <w:rPr>
          <w:rFonts w:ascii="Arial" w:cs="Arial" w:eastAsia="Arial" w:hAnsi="Arial"/>
          <w:sz w:val="18"/>
          <w:szCs w:val="18"/>
          <w:color w:val="auto"/>
        </w:rPr>
        <w:t>In the event that the Parties cannot agree as to the application of Sections 10.1</w:t>
      </w:r>
      <w:r>
        <w:rPr>
          <w:rFonts w:ascii="Arial" w:cs="Arial" w:eastAsia="Arial" w:hAnsi="Arial"/>
          <w:sz w:val="18"/>
          <w:szCs w:val="18"/>
          <w:b w:val="1"/>
          <w:bCs w:val="1"/>
          <w:color w:val="auto"/>
        </w:rPr>
        <w:t xml:space="preserve"> </w:t>
      </w:r>
      <w:r>
        <w:rPr>
          <w:rFonts w:ascii="Arial" w:cs="Arial" w:eastAsia="Arial" w:hAnsi="Arial"/>
          <w:sz w:val="18"/>
          <w:szCs w:val="18"/>
          <w:color w:val="auto"/>
        </w:rPr>
        <w:t>and/or 10.2 to any particular Loss or Third Party Claims, the Parties may conduct separate defenses of such Loss and Third Party Claim. Each Party further reserves the right to claim indemnity from the other in accordance with Sections 10.1 and/or 10.2 upon resolution of the underlying Third Party Claim, notwithstanding the provisions of Section 10.3(b).</w:t>
      </w:r>
    </w:p>
    <w:p>
      <w:pPr>
        <w:spacing w:after="0" w:line="124"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0"/>
          <w:szCs w:val="20"/>
          <w:b w:val="1"/>
          <w:bCs w:val="1"/>
          <w:color w:val="auto"/>
        </w:rPr>
        <w:t xml:space="preserve">10.5 Insurance. </w:t>
      </w:r>
      <w:r>
        <w:rPr>
          <w:rFonts w:ascii="Arial" w:cs="Arial" w:eastAsia="Arial" w:hAnsi="Arial"/>
          <w:sz w:val="20"/>
          <w:szCs w:val="20"/>
          <w:color w:val="auto"/>
        </w:rPr>
        <w:t>Each Party shall maintain commercially reasonable levels of insurance or other adequate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commercially reasonable forms of protection or self-insurance to satisfy its indemnification obligations under this Agreement or as required by law. Each Party shall provide the other Party with written notice at least </w:t>
      </w:r>
      <w:r>
        <w:rPr>
          <w:rFonts w:ascii="Arial" w:cs="Arial" w:eastAsia="Arial" w:hAnsi="Arial"/>
          <w:sz w:val="17"/>
          <w:szCs w:val="17"/>
          <w:color w:val="auto"/>
        </w:rPr>
        <w:t>[***]</w:t>
      </w:r>
      <w:r>
        <w:rPr>
          <w:rFonts w:ascii="Arial" w:cs="Arial" w:eastAsia="Arial" w:hAnsi="Arial"/>
          <w:sz w:val="20"/>
          <w:szCs w:val="20"/>
          <w:color w:val="auto"/>
        </w:rPr>
        <w:t xml:space="preserve"> prior to the cancellation, non-renewal or material change in such insurance or self-insurance which would materially adversely affect the rights of the other Party hereunder. The maintenance of any insurance shall not constitute any limit or restriction on damages available to a Party under this Agreement.</w:t>
      </w:r>
    </w:p>
    <w:p>
      <w:pPr>
        <w:spacing w:after="0" w:line="14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9"/>
          <w:szCs w:val="19"/>
          <w:b w:val="1"/>
          <w:bCs w:val="1"/>
          <w:color w:val="auto"/>
        </w:rPr>
        <w:t xml:space="preserve">10.6 LIMITATION OF LIABILITY. </w:t>
      </w:r>
      <w:r>
        <w:rPr>
          <w:rFonts w:ascii="Arial" w:cs="Arial" w:eastAsia="Arial" w:hAnsi="Arial"/>
          <w:sz w:val="19"/>
          <w:szCs w:val="19"/>
          <w:color w:val="auto"/>
        </w:rPr>
        <w:t>EXCEPT FOR DAMAGES AVAILABLE FOR BREACH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CONFIDENTIALITY OR NON-USE OBLIGATIONS IN ARTICLE 8, NEITHER PARTY SHALL BE LIABLE TO THE OTHER PARTY FOR INDIRECT, INCIDENTAL, PUNITIVE, CONSEQUENTIAL OR SPECIAL DAMAGES, INCLUDING LOST PROFITS, ARISING FROM OR RELATING TO THIS AGREEMENT AND/OR SUCH PARTY’S PERFORMANCE HEREUNDER, REGARDLESS OF ANY NOTICE OF THE POSSIBILITY OF SUCH DAMAGES AND REGARDLESS OF THE CAUSE OF ACTION (WHETHER IN CONTRACT, TORT, BREACH OF WARRANTY OR OTHERWISE). NOTHING IN THIS SECTION 10.6 IS INTENDED TO LIMIT OR RESTRICT THE INDEMNIFICATION RIGHTS OR OBLIGATIONS OF A PARTY UNDER SECTIONS 10.1 OR 10.2.</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11</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TERM AND TERMINATION</w:t>
      </w:r>
    </w:p>
    <w:p>
      <w:pPr>
        <w:spacing w:after="0" w:line="175"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b w:val="1"/>
          <w:bCs w:val="1"/>
          <w:color w:val="auto"/>
        </w:rPr>
        <w:t xml:space="preserve">11.1 Term. </w:t>
      </w:r>
      <w:r>
        <w:rPr>
          <w:rFonts w:ascii="Arial" w:cs="Arial" w:eastAsia="Arial" w:hAnsi="Arial"/>
          <w:sz w:val="20"/>
          <w:szCs w:val="20"/>
          <w:color w:val="auto"/>
        </w:rPr>
        <w:t>This Agreement shall be effective as of the Effective Date and shall continue in effect until</w:t>
      </w:r>
      <w:r>
        <w:rPr>
          <w:rFonts w:ascii="Arial" w:cs="Arial" w:eastAsia="Arial" w:hAnsi="Arial"/>
          <w:sz w:val="20"/>
          <w:szCs w:val="20"/>
          <w:b w:val="1"/>
          <w:bCs w:val="1"/>
          <w:color w:val="auto"/>
        </w:rPr>
        <w:t xml:space="preserve"> </w:t>
      </w:r>
      <w:r>
        <w:rPr>
          <w:rFonts w:ascii="Arial" w:cs="Arial" w:eastAsia="Arial" w:hAnsi="Arial"/>
          <w:sz w:val="20"/>
          <w:szCs w:val="20"/>
          <w:color w:val="auto"/>
        </w:rPr>
        <w:t>completion of all activities outlined in the Development Plan and the Protocols, including the completion of all Combined Therapy Clinical Trials by all centers participating in the Combined Therapy Clinical Trials, delivery of all Study Data to the Parties, including all completed case report forms, all final analyses and all final clinical study reports contemplated by the Combined Therapy Clinical Trials to both Parties, and the completion of any statistical analyses and bioanalyses contemplated by the applicable Protocol or otherwise agreed to by the Parties to be conducted under this Agreement, or until earlier termination pursuant to Sections 11.2, 11.3 or 11.4 or any other termination right expressly stated in this Agreement (such period, the “</w:t>
      </w:r>
      <w:r>
        <w:rPr>
          <w:rFonts w:ascii="Arial" w:cs="Arial" w:eastAsia="Arial" w:hAnsi="Arial"/>
          <w:sz w:val="20"/>
          <w:szCs w:val="20"/>
          <w:b w:val="1"/>
          <w:bCs w:val="1"/>
          <w:i w:val="1"/>
          <w:iCs w:val="1"/>
          <w:color w:val="auto"/>
        </w:rPr>
        <w:t>Term</w:t>
      </w:r>
      <w:r>
        <w:rPr>
          <w:rFonts w:ascii="Arial" w:cs="Arial" w:eastAsia="Arial" w:hAnsi="Arial"/>
          <w:sz w:val="20"/>
          <w:szCs w:val="20"/>
          <w:color w:val="auto"/>
        </w:rPr>
        <w:t>”).</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11.2</w:t>
      </w:r>
      <w:r>
        <w:rPr>
          <w:sz w:val="20"/>
          <w:szCs w:val="20"/>
          <w:color w:val="auto"/>
        </w:rPr>
        <w:tab/>
      </w:r>
      <w:r>
        <w:rPr>
          <w:rFonts w:ascii="Arial" w:cs="Arial" w:eastAsia="Arial" w:hAnsi="Arial"/>
          <w:sz w:val="18"/>
          <w:szCs w:val="18"/>
          <w:b w:val="1"/>
          <w:bCs w:val="1"/>
          <w:color w:val="auto"/>
        </w:rPr>
        <w:t>Termination for Material Breach.</w:t>
      </w:r>
    </w:p>
    <w:p>
      <w:pPr>
        <w:spacing w:after="0" w:line="189" w:lineRule="exact"/>
        <w:rPr>
          <w:sz w:val="20"/>
          <w:szCs w:val="20"/>
          <w:color w:val="auto"/>
        </w:rPr>
      </w:pPr>
    </w:p>
    <w:p>
      <w:pPr>
        <w:jc w:val="both"/>
        <w:ind w:firstLine="1304"/>
        <w:spacing w:after="0" w:line="246" w:lineRule="auto"/>
        <w:tabs>
          <w:tab w:leader="none" w:pos="1944"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Notice and Cure Period. </w:t>
      </w:r>
      <w:r>
        <w:rPr>
          <w:rFonts w:ascii="Arial" w:cs="Arial" w:eastAsia="Arial" w:hAnsi="Arial"/>
          <w:sz w:val="20"/>
          <w:szCs w:val="20"/>
          <w:color w:val="auto"/>
        </w:rPr>
        <w:t>If a Party (the “</w:t>
      </w:r>
      <w:r>
        <w:rPr>
          <w:rFonts w:ascii="Arial" w:cs="Arial" w:eastAsia="Arial" w:hAnsi="Arial"/>
          <w:sz w:val="20"/>
          <w:szCs w:val="20"/>
          <w:b w:val="1"/>
          <w:bCs w:val="1"/>
          <w:i w:val="1"/>
          <w:iCs w:val="1"/>
          <w:color w:val="auto"/>
        </w:rPr>
        <w:t>Breaching Party</w:t>
      </w:r>
      <w:r>
        <w:rPr>
          <w:rFonts w:ascii="Arial" w:cs="Arial" w:eastAsia="Arial" w:hAnsi="Arial"/>
          <w:sz w:val="20"/>
          <w:szCs w:val="20"/>
          <w:color w:val="auto"/>
        </w:rPr>
        <w:t>”) is in material breach of its obligations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this Agreement, the other Party (the “</w:t>
      </w:r>
      <w:r>
        <w:rPr>
          <w:rFonts w:ascii="Arial" w:cs="Arial" w:eastAsia="Arial" w:hAnsi="Arial"/>
          <w:sz w:val="20"/>
          <w:szCs w:val="20"/>
          <w:b w:val="1"/>
          <w:bCs w:val="1"/>
          <w:i w:val="1"/>
          <w:iCs w:val="1"/>
          <w:color w:val="auto"/>
        </w:rPr>
        <w:t>Non-Breaching Party</w:t>
      </w:r>
      <w:r>
        <w:rPr>
          <w:rFonts w:ascii="Arial" w:cs="Arial" w:eastAsia="Arial" w:hAnsi="Arial"/>
          <w:sz w:val="20"/>
          <w:szCs w:val="20"/>
          <w:color w:val="auto"/>
        </w:rPr>
        <w:t>”) shall have the right to give the Breaching Party notice specifying in reasonable detail the nature of such material breach (a “</w:t>
      </w:r>
      <w:r>
        <w:rPr>
          <w:rFonts w:ascii="Arial" w:cs="Arial" w:eastAsia="Arial" w:hAnsi="Arial"/>
          <w:sz w:val="20"/>
          <w:szCs w:val="20"/>
          <w:b w:val="1"/>
          <w:bCs w:val="1"/>
          <w:i w:val="1"/>
          <w:iCs w:val="1"/>
          <w:color w:val="auto"/>
        </w:rPr>
        <w:t>Breach Notice</w:t>
      </w:r>
      <w:r>
        <w:rPr>
          <w:rFonts w:ascii="Arial" w:cs="Arial" w:eastAsia="Arial" w:hAnsi="Arial"/>
          <w:sz w:val="20"/>
          <w:szCs w:val="20"/>
          <w:color w:val="auto"/>
        </w:rPr>
        <w:t xml:space="preserve">”). The Breaching Party shall have a period of </w:t>
      </w:r>
      <w:r>
        <w:rPr>
          <w:rFonts w:ascii="Arial" w:cs="Arial" w:eastAsia="Arial" w:hAnsi="Arial"/>
          <w:sz w:val="17"/>
          <w:szCs w:val="17"/>
          <w:color w:val="auto"/>
        </w:rPr>
        <w:t>[***]</w:t>
      </w:r>
      <w:r>
        <w:rPr>
          <w:rFonts w:ascii="Arial" w:cs="Arial" w:eastAsia="Arial" w:hAnsi="Arial"/>
          <w:sz w:val="20"/>
          <w:szCs w:val="20"/>
          <w:color w:val="auto"/>
        </w:rPr>
        <w:t xml:space="preserve"> after receipt of such notice to cure such material breach (the “</w:t>
      </w:r>
      <w:r>
        <w:rPr>
          <w:rFonts w:ascii="Arial" w:cs="Arial" w:eastAsia="Arial" w:hAnsi="Arial"/>
          <w:sz w:val="20"/>
          <w:szCs w:val="20"/>
          <w:b w:val="1"/>
          <w:bCs w:val="1"/>
          <w:i w:val="1"/>
          <w:iCs w:val="1"/>
          <w:color w:val="auto"/>
        </w:rPr>
        <w:t>Cure Period</w:t>
      </w:r>
      <w:r>
        <w:rPr>
          <w:rFonts w:ascii="Arial" w:cs="Arial" w:eastAsia="Arial" w:hAnsi="Arial"/>
          <w:sz w:val="20"/>
          <w:szCs w:val="20"/>
          <w:color w:val="auto"/>
        </w:rPr>
        <w:t>”). For the avoidance of doubt, this provision is not intended to restrict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3" w:name="page134"/>
    <w:bookmarkEnd w:id="133"/>
    <w:p>
      <w:pPr>
        <w:spacing w:after="0"/>
        <w:rPr>
          <w:sz w:val="20"/>
          <w:szCs w:val="20"/>
          <w:color w:val="auto"/>
        </w:rPr>
      </w:pPr>
      <w:r>
        <w:rPr>
          <w:rFonts w:ascii="Arial" w:cs="Arial" w:eastAsia="Arial" w:hAnsi="Arial"/>
          <w:sz w:val="19"/>
          <w:szCs w:val="19"/>
          <w:color w:val="auto"/>
        </w:rPr>
        <w:t>in any way either Party’s right to notify the other Party of any other breach or to demand the cure of any other breach.</w:t>
      </w:r>
    </w:p>
    <w:p>
      <w:pPr>
        <w:spacing w:after="0" w:line="181" w:lineRule="exact"/>
        <w:rPr>
          <w:sz w:val="20"/>
          <w:szCs w:val="20"/>
          <w:color w:val="auto"/>
        </w:rPr>
      </w:pPr>
    </w:p>
    <w:p>
      <w:pPr>
        <w:jc w:val="both"/>
        <w:ind w:firstLine="1304"/>
        <w:spacing w:after="0" w:line="273" w:lineRule="auto"/>
        <w:tabs>
          <w:tab w:leader="none" w:pos="1944"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Right. </w:t>
      </w:r>
      <w:r>
        <w:rPr>
          <w:rFonts w:ascii="Arial" w:cs="Arial" w:eastAsia="Arial" w:hAnsi="Arial"/>
          <w:sz w:val="18"/>
          <w:szCs w:val="18"/>
          <w:color w:val="auto"/>
        </w:rPr>
        <w:t>If a Breach Notice is given, the Non-Breaching Party giving such notice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have the right to terminate this Agreement (except as otherwise provided below in this subsection (b)), upon written notice to the other Party given no later than </w:t>
      </w:r>
      <w:r>
        <w:rPr>
          <w:rFonts w:ascii="Arial" w:cs="Arial" w:eastAsia="Arial" w:hAnsi="Arial"/>
          <w:sz w:val="15"/>
          <w:szCs w:val="15"/>
          <w:color w:val="auto"/>
        </w:rPr>
        <w:t>[***]</w:t>
      </w:r>
      <w:r>
        <w:rPr>
          <w:rFonts w:ascii="Arial" w:cs="Arial" w:eastAsia="Arial" w:hAnsi="Arial"/>
          <w:sz w:val="18"/>
          <w:szCs w:val="18"/>
          <w:color w:val="auto"/>
        </w:rPr>
        <w:t xml:space="preserve"> after the end of the applicable Cure Period, in the event that the Breaching Party has not cured the material breach that is the subject of the Breach Notice within the Cure Period, </w:t>
      </w:r>
      <w:r>
        <w:rPr>
          <w:rFonts w:ascii="Arial" w:cs="Arial" w:eastAsia="Arial" w:hAnsi="Arial"/>
          <w:sz w:val="18"/>
          <w:szCs w:val="18"/>
          <w:i w:val="1"/>
          <w:iCs w:val="1"/>
          <w:color w:val="auto"/>
        </w:rPr>
        <w:t>provided, however, that</w:t>
      </w:r>
      <w:r>
        <w:rPr>
          <w:rFonts w:ascii="Arial" w:cs="Arial" w:eastAsia="Arial" w:hAnsi="Arial"/>
          <w:sz w:val="18"/>
          <w:szCs w:val="18"/>
          <w:color w:val="auto"/>
        </w:rPr>
        <w:t xml:space="preserve"> if such breach is capable of cure but cannot be cured using reasonable diligent efforts within the Cure Period, and the Breaching Party commences actions to cure such material breach within the Cure Period and thereafter diligently continue such actions, the Breaching Party shall have an additional </w:t>
      </w:r>
      <w:r>
        <w:rPr>
          <w:rFonts w:ascii="Arial" w:cs="Arial" w:eastAsia="Arial" w:hAnsi="Arial"/>
          <w:sz w:val="15"/>
          <w:szCs w:val="15"/>
          <w:color w:val="auto"/>
        </w:rPr>
        <w:t>[***]</w:t>
      </w:r>
      <w:r>
        <w:rPr>
          <w:rFonts w:ascii="Arial" w:cs="Arial" w:eastAsia="Arial" w:hAnsi="Arial"/>
          <w:sz w:val="18"/>
          <w:szCs w:val="18"/>
          <w:color w:val="auto"/>
        </w:rPr>
        <w:t xml:space="preserve"> to cure such breach (and such </w:t>
      </w:r>
      <w:r>
        <w:rPr>
          <w:rFonts w:ascii="Arial" w:cs="Arial" w:eastAsia="Arial" w:hAnsi="Arial"/>
          <w:sz w:val="15"/>
          <w:szCs w:val="15"/>
          <w:color w:val="auto"/>
        </w:rPr>
        <w:t>[***]</w:t>
      </w:r>
      <w:r>
        <w:rPr>
          <w:rFonts w:ascii="Arial" w:cs="Arial" w:eastAsia="Arial" w:hAnsi="Arial"/>
          <w:sz w:val="18"/>
          <w:szCs w:val="18"/>
          <w:color w:val="auto"/>
        </w:rPr>
        <w:t xml:space="preserve"> period shall be deemed added to the Cure Period in such case. If a Breach Notice is given, and the alleged Breaching Party contests that the alleged material breach happened, and or that the breach has not been cured within the Cure Period, </w:t>
      </w:r>
      <w:r>
        <w:rPr>
          <w:rFonts w:ascii="Arial" w:cs="Arial" w:eastAsia="Arial" w:hAnsi="Arial"/>
          <w:sz w:val="15"/>
          <w:szCs w:val="15"/>
          <w:color w:val="auto"/>
        </w:rPr>
        <w:t>[***]</w:t>
      </w:r>
      <w:r>
        <w:rPr>
          <w:rFonts w:ascii="Arial" w:cs="Arial" w:eastAsia="Arial" w:hAnsi="Arial"/>
          <w:sz w:val="18"/>
          <w:szCs w:val="18"/>
          <w:color w:val="auto"/>
        </w:rPr>
        <w:t>.</w:t>
      </w:r>
    </w:p>
    <w:p>
      <w:pPr>
        <w:spacing w:after="0" w:line="13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b w:val="1"/>
          <w:bCs w:val="1"/>
          <w:color w:val="auto"/>
        </w:rPr>
        <w:t xml:space="preserve">11.3 Termination for Bankruptcy. </w:t>
      </w:r>
      <w:r>
        <w:rPr>
          <w:rFonts w:ascii="Arial" w:cs="Arial" w:eastAsia="Arial" w:hAnsi="Arial"/>
          <w:sz w:val="18"/>
          <w:szCs w:val="18"/>
          <w:color w:val="auto"/>
        </w:rPr>
        <w:t>A Party may terminate this Agreement if, at any time, the other Party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file in any court or agency pursuant to any statute or regulation of any state, country or jurisdiction, a petition in bankruptcy or for the appointment of a receiver or trustee of such other Party or of such other Party’s assets, or if the other Party proposes a written agreement of composition or extension of its debts, or if the other Party shall be served with an involuntary petition against it, filed in any bankruptcy proceeding, and such petition shall not be dismissed or stayed within</w:t>
      </w:r>
    </w:p>
    <w:p>
      <w:pPr>
        <w:spacing w:after="0" w:line="1" w:lineRule="exact"/>
        <w:rPr>
          <w:sz w:val="20"/>
          <w:szCs w:val="20"/>
          <w:color w:val="auto"/>
        </w:rPr>
      </w:pPr>
    </w:p>
    <w:p>
      <w:pPr>
        <w:ind w:firstLine="8"/>
        <w:spacing w:after="0" w:line="244" w:lineRule="auto"/>
        <w:tabs>
          <w:tab w:leader="none" w:pos="449" w:val="left"/>
        </w:tabs>
        <w:numPr>
          <w:ilvl w:val="0"/>
          <w:numId w:val="99"/>
        </w:numPr>
        <w:rPr>
          <w:rFonts w:ascii="Arial" w:cs="Arial" w:eastAsia="Arial" w:hAnsi="Arial"/>
          <w:sz w:val="18"/>
          <w:szCs w:val="18"/>
          <w:color w:val="auto"/>
        </w:rPr>
      </w:pPr>
      <w:r>
        <w:rPr>
          <w:rFonts w:ascii="Arial" w:cs="Arial" w:eastAsia="Arial" w:hAnsi="Arial"/>
          <w:sz w:val="20"/>
          <w:szCs w:val="20"/>
          <w:color w:val="auto"/>
        </w:rPr>
        <w:t>after the filing thereof, or if the other Party will propose or be a party to any dissolution or liquidation, or if the other Party shall make an assignment for the benefit of its creditors.</w:t>
      </w:r>
    </w:p>
    <w:p>
      <w:pPr>
        <w:spacing w:after="0" w:line="145"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b w:val="1"/>
          <w:bCs w:val="1"/>
          <w:color w:val="auto"/>
        </w:rPr>
        <w:t>11.4 Termination for Convenience; Termination due to Material Safety Issue; Clinical Hold; Study Termination.</w:t>
      </w:r>
    </w:p>
    <w:p>
      <w:pPr>
        <w:spacing w:after="0" w:line="129" w:lineRule="exact"/>
        <w:rPr>
          <w:sz w:val="20"/>
          <w:szCs w:val="20"/>
          <w:color w:val="auto"/>
        </w:rPr>
      </w:pPr>
    </w:p>
    <w:p>
      <w:pPr>
        <w:jc w:val="both"/>
        <w:ind w:firstLine="1304"/>
        <w:spacing w:after="0" w:line="255" w:lineRule="auto"/>
        <w:tabs>
          <w:tab w:leader="none" w:pos="1944" w:val="left"/>
        </w:tabs>
        <w:numPr>
          <w:ilvl w:val="0"/>
          <w:numId w:val="100"/>
        </w:numPr>
        <w:rPr>
          <w:rFonts w:ascii="Arial" w:cs="Arial" w:eastAsia="Arial" w:hAnsi="Arial"/>
          <w:sz w:val="19"/>
          <w:szCs w:val="19"/>
          <w:b w:val="1"/>
          <w:bCs w:val="1"/>
          <w:color w:val="auto"/>
        </w:rPr>
      </w:pPr>
      <w:r>
        <w:rPr>
          <w:rFonts w:ascii="Arial" w:cs="Arial" w:eastAsia="Arial" w:hAnsi="Arial"/>
          <w:sz w:val="19"/>
          <w:szCs w:val="19"/>
          <w:color w:val="auto"/>
        </w:rPr>
        <w:t xml:space="preserve">A Party shall have the right to terminate this Agreement immediately (but after meeting and discussing with the other Party in good faith as described in the following sentence) upon written notice if such Party reasonably deems it necessary in order to protect the safety, health or welfare of subjects enrolled in the Combined Therapy Clinical Trials due to the existence of a Material Safety Issue. In the event a Party believes that there is a Material Safety Issue and intends to effect a termination of the Agreement due to such Material Safety Issue, prior to such Party providing written notice of Termination, such Party shall give the other Party written notice of such Material Safety Issue and all material evidence for its belief of the existence thereof, and the members of each Party’s medical safety committee (or equivalent) and appropriate senior executives of each Party (with authority over the actions under this Agreement) shall, as soon as reasonably practicable, meet together and discuss in good faith the safety concerns raised by the Party and consider and discuss in good faith the input, questions and advice of the other Party. Should any dispute arise in such discussion, or should the Parties not agree on an appropriate resolution to the noticing Party’s safety concerns, </w:t>
      </w:r>
      <w:r>
        <w:rPr>
          <w:rFonts w:ascii="Arial" w:cs="Arial" w:eastAsia="Arial" w:hAnsi="Arial"/>
          <w:sz w:val="16"/>
          <w:szCs w:val="16"/>
          <w:color w:val="auto"/>
        </w:rPr>
        <w:t>[***]</w:t>
      </w:r>
      <w:r>
        <w:rPr>
          <w:rFonts w:ascii="Arial" w:cs="Arial" w:eastAsia="Arial" w:hAnsi="Arial"/>
          <w:sz w:val="19"/>
          <w:szCs w:val="19"/>
          <w:color w:val="auto"/>
        </w:rPr>
        <w:t xml:space="preserve">, and the noticing Party shall </w:t>
      </w:r>
      <w:r>
        <w:rPr>
          <w:rFonts w:ascii="Arial" w:cs="Arial" w:eastAsia="Arial" w:hAnsi="Arial"/>
          <w:sz w:val="16"/>
          <w:szCs w:val="16"/>
          <w:color w:val="auto"/>
        </w:rPr>
        <w:t>[***]</w:t>
      </w:r>
      <w:r>
        <w:rPr>
          <w:rFonts w:ascii="Arial" w:cs="Arial" w:eastAsia="Arial" w:hAnsi="Arial"/>
          <w:sz w:val="19"/>
          <w:szCs w:val="19"/>
          <w:color w:val="auto"/>
        </w:rPr>
        <w:t>.</w:t>
      </w:r>
    </w:p>
    <w:p>
      <w:pPr>
        <w:spacing w:after="0" w:line="157" w:lineRule="exact"/>
        <w:rPr>
          <w:rFonts w:ascii="Arial" w:cs="Arial" w:eastAsia="Arial" w:hAnsi="Arial"/>
          <w:sz w:val="19"/>
          <w:szCs w:val="19"/>
          <w:b w:val="1"/>
          <w:bCs w:val="1"/>
          <w:color w:val="auto"/>
        </w:rPr>
      </w:pPr>
    </w:p>
    <w:p>
      <w:pPr>
        <w:jc w:val="both"/>
        <w:ind w:firstLine="1304"/>
        <w:spacing w:after="0" w:line="243" w:lineRule="auto"/>
        <w:tabs>
          <w:tab w:leader="none" w:pos="1944"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 xml:space="preserve">If a Clinical Hold with respect to either the Novartis Study Drugs or Olema Study Drug should arise at any time after the Effective Date, the Parties will meet and discuss the basis for the Clinical Hold, how long the Clinical Hold is expected to last, and how they might address the issue that caused the clinical hold. If, after </w:t>
      </w:r>
      <w:r>
        <w:rPr>
          <w:rFonts w:ascii="Arial" w:cs="Arial" w:eastAsia="Arial" w:hAnsi="Arial"/>
          <w:sz w:val="17"/>
          <w:szCs w:val="17"/>
          <w:color w:val="auto"/>
        </w:rPr>
        <w:t>[***]</w:t>
      </w:r>
      <w:r>
        <w:rPr>
          <w:rFonts w:ascii="Arial" w:cs="Arial" w:eastAsia="Arial" w:hAnsi="Arial"/>
          <w:sz w:val="20"/>
          <w:szCs w:val="20"/>
          <w:color w:val="auto"/>
        </w:rPr>
        <w:t xml:space="preserve"> of discussions following the Clinical Hold, either Party reasonably concludes that the issue adversely impacts the Combined Therapy Clinical Trials and is not solvable or that unacceptable and material additional costs/delays have been and/or will continue to be incurred in the conduct of the Combined Therapy Clinical Trials, then such Party may immediately terminate this Agreement.</w:t>
      </w:r>
    </w:p>
    <w:p>
      <w:pPr>
        <w:spacing w:after="0" w:line="152" w:lineRule="exact"/>
        <w:rPr>
          <w:rFonts w:ascii="Arial" w:cs="Arial" w:eastAsia="Arial" w:hAnsi="Arial"/>
          <w:sz w:val="20"/>
          <w:szCs w:val="20"/>
          <w:b w:val="1"/>
          <w:bCs w:val="1"/>
          <w:color w:val="auto"/>
        </w:rPr>
      </w:pPr>
    </w:p>
    <w:p>
      <w:pPr>
        <w:jc w:val="both"/>
        <w:ind w:firstLine="1304"/>
        <w:spacing w:after="0" w:line="244" w:lineRule="auto"/>
        <w:tabs>
          <w:tab w:leader="none" w:pos="2025" w:val="left"/>
        </w:tabs>
        <w:numPr>
          <w:ilvl w:val="0"/>
          <w:numId w:val="100"/>
        </w:numPr>
        <w:rPr>
          <w:rFonts w:ascii="Arial" w:cs="Arial" w:eastAsia="Arial" w:hAnsi="Arial"/>
          <w:sz w:val="20"/>
          <w:szCs w:val="20"/>
          <w:b w:val="1"/>
          <w:bCs w:val="1"/>
          <w:color w:val="auto"/>
        </w:rPr>
      </w:pPr>
      <w:r>
        <w:rPr>
          <w:rFonts w:ascii="Arial" w:cs="Arial" w:eastAsia="Arial" w:hAnsi="Arial"/>
          <w:sz w:val="20"/>
          <w:szCs w:val="20"/>
          <w:color w:val="auto"/>
        </w:rPr>
        <w:t xml:space="preserve">Novartis may terminate this Agreement immediately at any time by written notice to Olema in accordance with Section 12.3 (Dispute Resolution). If the Agreement is terminated in accordance with Section 12.3, Novartis shall </w:t>
      </w:r>
      <w:r>
        <w:rPr>
          <w:rFonts w:ascii="Arial" w:cs="Arial" w:eastAsia="Arial" w:hAnsi="Arial"/>
          <w:sz w:val="17"/>
          <w:szCs w:val="17"/>
          <w:color w:val="auto"/>
        </w:rPr>
        <w:t>[***]</w:t>
      </w:r>
      <w:r>
        <w:rPr>
          <w:rFonts w:ascii="Arial" w:cs="Arial" w:eastAsia="Arial" w:hAnsi="Arial"/>
          <w:sz w:val="20"/>
          <w:szCs w:val="20"/>
          <w:color w:val="auto"/>
        </w:rPr>
        <w:t>. Notwithstanding any other provisions of this Agreement, including Section 11.5, Novartis’s termination rights pursuant to this Section 11.4(c) are subject to a unanimous decision by the Parties on whether to permit Olema, at its own cost, to continue to act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4" w:name="page135"/>
    <w:bookmarkEnd w:id="134"/>
    <w:p>
      <w:pPr>
        <w:jc w:val="both"/>
        <w:spacing w:after="0" w:line="267" w:lineRule="auto"/>
        <w:rPr>
          <w:sz w:val="20"/>
          <w:szCs w:val="20"/>
          <w:color w:val="auto"/>
        </w:rPr>
      </w:pPr>
      <w:r>
        <w:rPr>
          <w:rFonts w:ascii="Arial" w:cs="Arial" w:eastAsia="Arial" w:hAnsi="Arial"/>
          <w:sz w:val="18"/>
          <w:szCs w:val="18"/>
          <w:color w:val="auto"/>
        </w:rPr>
        <w:t xml:space="preserve">Sponsor for any on-going Combined Therapy Clinical Trial. If the Parties unanimously decide to permit Olema to continue to act as Sponsor for any on-going Combined Therapy Clinical Trial at its own cost, then the Parties shall act in good faith to negotiate an amendment to this Agreement to cover such Olema-funded on-going Combined Therapy Clinical Trial. If the Parties do not unanimously decide to permit Olema to continue to act as Sponsor for any on-going Combined Therapy Clinical Trial at its own cost, or if the Parties remain deadlocked for a period of at least </w:t>
      </w:r>
      <w:r>
        <w:rPr>
          <w:rFonts w:ascii="Arial" w:cs="Arial" w:eastAsia="Arial" w:hAnsi="Arial"/>
          <w:sz w:val="15"/>
          <w:szCs w:val="15"/>
          <w:color w:val="auto"/>
        </w:rPr>
        <w:t>[***]</w:t>
      </w:r>
      <w:r>
        <w:rPr>
          <w:rFonts w:ascii="Arial" w:cs="Arial" w:eastAsia="Arial" w:hAnsi="Arial"/>
          <w:sz w:val="18"/>
          <w:szCs w:val="18"/>
          <w:color w:val="auto"/>
        </w:rPr>
        <w:t xml:space="preserve"> with respect to such decision, then Novartis may proceed with such termination without conditions. Subject to the mechanism set forth in this clause (c), Olema shall have the right to terminate this Agreement upon written notice to Novartis in the event that Olema terminates all Combined Therapy Clinical Trials for any reason other than those described in Sections 11.4(a) or 11.4(b) above. Olema’s termination rights pursuant to this Section 11.4(c) is subject to a unanimous decision by the Parties on whether Novartis should be permitted to act as Sponsor for any on-going Combined Therapy Clinical Trial. If the Parties unanimously decide to permit Novartis to assume the Sponsor role for any Combined Therapy Clinical Trial, then the Parties shall act in good faith to negotiate an agreement to cover such Novartis-Sponsored Combined Therapy Clinical Trial materially aligned with the terms of this Agreement, mutatis mutandis. If the Parties do not unanimously decide to permit Novartis to assume the Sponsor role for any ongoing Combined Therapy Clinical Trials, or if the Parties remain deadlocked for a period of at least</w:t>
      </w:r>
    </w:p>
    <w:p>
      <w:pPr>
        <w:spacing w:after="0" w:line="5" w:lineRule="exact"/>
        <w:rPr>
          <w:sz w:val="20"/>
          <w:szCs w:val="20"/>
          <w:color w:val="auto"/>
        </w:rPr>
      </w:pPr>
    </w:p>
    <w:p>
      <w:pPr>
        <w:jc w:val="both"/>
        <w:ind w:firstLine="8"/>
        <w:spacing w:after="0"/>
        <w:tabs>
          <w:tab w:leader="none" w:pos="442" w:val="left"/>
        </w:tabs>
        <w:numPr>
          <w:ilvl w:val="0"/>
          <w:numId w:val="101"/>
        </w:numPr>
        <w:rPr>
          <w:rFonts w:ascii="Arial" w:cs="Arial" w:eastAsia="Arial" w:hAnsi="Arial"/>
          <w:sz w:val="18"/>
          <w:szCs w:val="18"/>
          <w:color w:val="auto"/>
        </w:rPr>
      </w:pPr>
      <w:r>
        <w:rPr>
          <w:rFonts w:ascii="Arial" w:cs="Arial" w:eastAsia="Arial" w:hAnsi="Arial"/>
          <w:sz w:val="20"/>
          <w:szCs w:val="20"/>
          <w:color w:val="auto"/>
        </w:rPr>
        <w:t>with respect to such decision, then Olema may proceed with such termination, including without limitation termination of all Combined Therapy Clinical Trials. Notwithstanding anything to the contrary in this Agreement, either Party may terminate this Agreement with immediate effect upon written notice to the other Party following a decision by the Parties that the Combined Therapy does not, or based on available evidence is not expected to, achieve a level of efficacy sufficiently superior to either the Novartis Study Drug or the Olema Study Drug as a monotherapy to warrant the continuation of the Combined Therapy Clinical Trial.</w:t>
      </w:r>
    </w:p>
    <w:p>
      <w:pPr>
        <w:spacing w:after="0" w:line="151"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b w:val="1"/>
          <w:bCs w:val="1"/>
          <w:color w:val="auto"/>
        </w:rPr>
        <w:t xml:space="preserve">11.5 Effect of Termination. </w:t>
      </w:r>
      <w:r>
        <w:rPr>
          <w:rFonts w:ascii="Arial" w:cs="Arial" w:eastAsia="Arial" w:hAnsi="Arial"/>
          <w:sz w:val="19"/>
          <w:szCs w:val="19"/>
          <w:color w:val="auto"/>
        </w:rPr>
        <w:t>Upon expiration or termination of this Agreement, (a) the licenses granted in</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Sections 3.1 and 3.2 (and any sublicenses granted under Section 3.3) shall terminate except as otherwise expressly provided herein and further except as necessary to complete conduct of such study as required under Applicable Law, and (b) the Parties shall use reasonable efforts to wind down activities under this Agreement in a reasonable manner and avoid incurring any additional expenditures or non-cancellable obligations; </w:t>
      </w:r>
      <w:r>
        <w:rPr>
          <w:rFonts w:ascii="Arial" w:cs="Arial" w:eastAsia="Arial" w:hAnsi="Arial"/>
          <w:sz w:val="19"/>
          <w:szCs w:val="19"/>
          <w:i w:val="1"/>
          <w:iCs w:val="1"/>
          <w:color w:val="auto"/>
        </w:rPr>
        <w:t>provided that</w:t>
      </w:r>
      <w:r>
        <w:rPr>
          <w:rFonts w:ascii="Arial" w:cs="Arial" w:eastAsia="Arial" w:hAnsi="Arial"/>
          <w:sz w:val="19"/>
          <w:szCs w:val="19"/>
          <w:color w:val="auto"/>
        </w:rPr>
        <w:t>, in the case of termination pursuant to Section 11.4, Olema may continue to dose subjects enrolled in the Combined Therapy Clinical Trials through completion of the applicable Protocol if dosing is required by the applicable Regulatory Authority(ies) and/or Applicable Law. Any such wind-down activities will include the return to Novartis, or destruction, of all Novartis Study Drugs provided to Olema and not consumed in the Combined Therapy Clinical Trials, except in the event that Olema terminates this Agreement pursuant to Section 11.2 or 11.3, in which case Olema shall continue to have the right to use any Novartis Study Drugs provided to Olema for the conduct of the Combined Therapy Clinical Trials.</w:t>
      </w:r>
    </w:p>
    <w:p>
      <w:pPr>
        <w:spacing w:after="0" w:line="15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11.6 Survival. </w:t>
      </w:r>
      <w:r>
        <w:rPr>
          <w:rFonts w:ascii="Arial" w:cs="Arial" w:eastAsia="Arial" w:hAnsi="Arial"/>
          <w:sz w:val="20"/>
          <w:szCs w:val="20"/>
          <w:color w:val="auto"/>
        </w:rPr>
        <w:t>Provisions which by their terms expressly survive expiration or termination of this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along with the following Articles and Sections of this Agreement and all definitions relating thereto, shall survive any expiration or termination of this Agreement for any reason: </w:t>
      </w:r>
      <w:r>
        <w:rPr>
          <w:rFonts w:ascii="Arial" w:cs="Arial" w:eastAsia="Arial" w:hAnsi="Arial"/>
          <w:sz w:val="17"/>
          <w:szCs w:val="17"/>
          <w:color w:val="auto"/>
        </w:rPr>
        <w:t>[***]</w:t>
      </w:r>
      <w:r>
        <w:rPr>
          <w:rFonts w:ascii="Arial" w:cs="Arial" w:eastAsia="Arial" w:hAnsi="Arial"/>
          <w:sz w:val="20"/>
          <w:szCs w:val="20"/>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12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MISCELLANEOUS</w:t>
      </w:r>
    </w:p>
    <w:p>
      <w:pPr>
        <w:spacing w:after="0" w:line="189" w:lineRule="exact"/>
        <w:rPr>
          <w:sz w:val="20"/>
          <w:szCs w:val="20"/>
          <w:color w:val="auto"/>
        </w:rPr>
      </w:pPr>
    </w:p>
    <w:p>
      <w:pPr>
        <w:jc w:val="both"/>
        <w:ind w:firstLine="648"/>
        <w:spacing w:after="0" w:line="315" w:lineRule="auto"/>
        <w:rPr>
          <w:sz w:val="20"/>
          <w:szCs w:val="20"/>
          <w:color w:val="auto"/>
        </w:rPr>
      </w:pPr>
      <w:r>
        <w:rPr>
          <w:rFonts w:ascii="Arial" w:cs="Arial" w:eastAsia="Arial" w:hAnsi="Arial"/>
          <w:sz w:val="16"/>
          <w:szCs w:val="16"/>
          <w:b w:val="1"/>
          <w:bCs w:val="1"/>
          <w:color w:val="auto"/>
        </w:rPr>
        <w:t xml:space="preserve">12.1 Entire Agreement. </w:t>
      </w:r>
      <w:r>
        <w:rPr>
          <w:rFonts w:ascii="Arial" w:cs="Arial" w:eastAsia="Arial" w:hAnsi="Arial"/>
          <w:sz w:val="16"/>
          <w:szCs w:val="16"/>
          <w:color w:val="auto"/>
        </w:rPr>
        <w:t>The Parties acknowledge that this Agreement shall govern all activities of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Combined Therapy Clinical Trials from the Effective Date forward through the Term. This Agreement, including the Appendixes hereto, and together with the Quality Documentation, sets forth the complete, final and exclusive agreement between the Parties concerning the subject matter hereof and supersedes all prior agreements and understandings between the Parties with respect to such subject matter. There are no covenants, promises, agreements, warranties, representations, conditions or understandings, either oral or written, between the Parties with respect to such subject matter other than as are set forth in this Agreement. All Appendixes attached hereto are incorporated herein as part of this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5" w:name="page136"/>
    <w:bookmarkEnd w:id="135"/>
    <w:p>
      <w:pPr>
        <w:spacing w:after="0"/>
        <w:rPr>
          <w:sz w:val="20"/>
          <w:szCs w:val="20"/>
          <w:color w:val="auto"/>
        </w:rPr>
      </w:pPr>
      <w:r>
        <w:rPr>
          <w:rFonts w:ascii="Arial" w:cs="Arial" w:eastAsia="Arial" w:hAnsi="Arial"/>
          <w:sz w:val="20"/>
          <w:szCs w:val="20"/>
          <w:color w:val="auto"/>
        </w:rPr>
        <w:t>Agreement.</w:t>
      </w:r>
    </w:p>
    <w:p>
      <w:pPr>
        <w:spacing w:after="0" w:line="16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12.2 Governing Law. </w:t>
      </w:r>
      <w:r>
        <w:rPr>
          <w:rFonts w:ascii="Arial" w:cs="Arial" w:eastAsia="Arial" w:hAnsi="Arial"/>
          <w:sz w:val="20"/>
          <w:szCs w:val="20"/>
          <w:color w:val="auto"/>
        </w:rPr>
        <w:t>This Agreement shall be governed and construed in accordance with the internal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New York, USA, excluding any choice of law rules that may direct the application of the laws of another jurisdiction.</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12.3</w:t>
      </w:r>
      <w:r>
        <w:rPr>
          <w:sz w:val="20"/>
          <w:szCs w:val="20"/>
          <w:color w:val="auto"/>
        </w:rPr>
        <w:tab/>
      </w:r>
      <w:r>
        <w:rPr>
          <w:rFonts w:ascii="Arial" w:cs="Arial" w:eastAsia="Arial" w:hAnsi="Arial"/>
          <w:sz w:val="16"/>
          <w:szCs w:val="16"/>
          <w:b w:val="1"/>
          <w:bCs w:val="1"/>
          <w:color w:val="auto"/>
        </w:rPr>
        <w:t>Dispute Resolution.</w:t>
      </w:r>
    </w:p>
    <w:p>
      <w:pPr>
        <w:spacing w:after="0" w:line="181" w:lineRule="exact"/>
        <w:rPr>
          <w:sz w:val="20"/>
          <w:szCs w:val="20"/>
          <w:color w:val="auto"/>
        </w:rPr>
      </w:pPr>
    </w:p>
    <w:p>
      <w:pPr>
        <w:jc w:val="both"/>
        <w:ind w:firstLine="1304"/>
        <w:spacing w:after="0" w:line="250" w:lineRule="auto"/>
        <w:tabs>
          <w:tab w:leader="none" w:pos="1944" w:val="left"/>
        </w:tabs>
        <w:numPr>
          <w:ilvl w:val="0"/>
          <w:numId w:val="102"/>
        </w:numPr>
        <w:rPr>
          <w:rFonts w:ascii="Arial" w:cs="Arial" w:eastAsia="Arial" w:hAnsi="Arial"/>
          <w:sz w:val="20"/>
          <w:szCs w:val="20"/>
          <w:b w:val="1"/>
          <w:bCs w:val="1"/>
          <w:color w:val="auto"/>
        </w:rPr>
      </w:pPr>
      <w:r>
        <w:rPr>
          <w:rFonts w:ascii="Arial" w:cs="Arial" w:eastAsia="Arial" w:hAnsi="Arial"/>
          <w:sz w:val="20"/>
          <w:szCs w:val="20"/>
          <w:color w:val="auto"/>
        </w:rPr>
        <w:t>The Parties’ Designated Clinical Contacts (for clinical and regulatory matters) and the Parties Designated Supply Contacts (for supply matters) shall attempt in good faith to resolve any dispute or concern that either Party may bring to the other Party’s attention.</w:t>
      </w:r>
    </w:p>
    <w:p>
      <w:pPr>
        <w:spacing w:after="0" w:line="145" w:lineRule="exact"/>
        <w:rPr>
          <w:rFonts w:ascii="Arial" w:cs="Arial" w:eastAsia="Arial" w:hAnsi="Arial"/>
          <w:sz w:val="20"/>
          <w:szCs w:val="20"/>
          <w:b w:val="1"/>
          <w:bCs w:val="1"/>
          <w:color w:val="auto"/>
        </w:rPr>
      </w:pPr>
    </w:p>
    <w:p>
      <w:pPr>
        <w:jc w:val="both"/>
        <w:ind w:firstLine="1304"/>
        <w:spacing w:after="0" w:line="273" w:lineRule="auto"/>
        <w:tabs>
          <w:tab w:leader="none" w:pos="2025" w:val="left"/>
        </w:tabs>
        <w:numPr>
          <w:ilvl w:val="0"/>
          <w:numId w:val="102"/>
        </w:numPr>
        <w:rPr>
          <w:rFonts w:ascii="Arial" w:cs="Arial" w:eastAsia="Arial" w:hAnsi="Arial"/>
          <w:sz w:val="18"/>
          <w:szCs w:val="18"/>
          <w:b w:val="1"/>
          <w:bCs w:val="1"/>
          <w:color w:val="auto"/>
        </w:rPr>
      </w:pPr>
      <w:r>
        <w:rPr>
          <w:rFonts w:ascii="Arial" w:cs="Arial" w:eastAsia="Arial" w:hAnsi="Arial"/>
          <w:sz w:val="18"/>
          <w:szCs w:val="18"/>
          <w:color w:val="auto"/>
        </w:rPr>
        <w:t>In the event of any dispute, controversy, issue or claim arises between the Parties out of, relating to or in connection with any provision of this Agreement (each a “</w:t>
      </w:r>
      <w:r>
        <w:rPr>
          <w:rFonts w:ascii="Arial" w:cs="Arial" w:eastAsia="Arial" w:hAnsi="Arial"/>
          <w:sz w:val="18"/>
          <w:szCs w:val="18"/>
          <w:b w:val="1"/>
          <w:bCs w:val="1"/>
          <w:i w:val="1"/>
          <w:iCs w:val="1"/>
          <w:color w:val="auto"/>
        </w:rPr>
        <w:t>Dispute</w:t>
      </w:r>
      <w:r>
        <w:rPr>
          <w:rFonts w:ascii="Arial" w:cs="Arial" w:eastAsia="Arial" w:hAnsi="Arial"/>
          <w:sz w:val="18"/>
          <w:szCs w:val="18"/>
          <w:color w:val="auto"/>
        </w:rPr>
        <w:t xml:space="preserve">”), other than </w:t>
      </w:r>
      <w:r>
        <w:rPr>
          <w:rFonts w:ascii="Arial" w:cs="Arial" w:eastAsia="Arial" w:hAnsi="Arial"/>
          <w:sz w:val="15"/>
          <w:szCs w:val="15"/>
          <w:color w:val="auto"/>
        </w:rPr>
        <w:t>[***]</w:t>
      </w:r>
      <w:r>
        <w:rPr>
          <w:rFonts w:ascii="Arial" w:cs="Arial" w:eastAsia="Arial" w:hAnsi="Arial"/>
          <w:sz w:val="18"/>
          <w:szCs w:val="18"/>
          <w:color w:val="auto"/>
        </w:rPr>
        <w:t xml:space="preserve">, that cannot be or is not resolved by the applicable Designated Contacts of each Party within a reasonable time after such Dispute arises, then upon the request of either Party by written notice, the Parties shall refer such Dispute to the Executive Officers for discussion to seek to resolve the Dispute. This Agreement shall remain in effect during the pendency of any such Dispute and any discussions to resolve the Dispute and any dispute resolution actions under this Section 12.3. In the event that no resolution is made by the Executive Officers (or their designee) in good faith negotiations within </w:t>
      </w:r>
      <w:r>
        <w:rPr>
          <w:rFonts w:ascii="Arial" w:cs="Arial" w:eastAsia="Arial" w:hAnsi="Arial"/>
          <w:sz w:val="15"/>
          <w:szCs w:val="15"/>
          <w:color w:val="auto"/>
        </w:rPr>
        <w:t>[***]</w:t>
      </w:r>
      <w:r>
        <w:rPr>
          <w:rFonts w:ascii="Arial" w:cs="Arial" w:eastAsia="Arial" w:hAnsi="Arial"/>
          <w:sz w:val="18"/>
          <w:szCs w:val="18"/>
          <w:color w:val="auto"/>
        </w:rPr>
        <w:t xml:space="preserve">, then </w:t>
      </w:r>
      <w:r>
        <w:rPr>
          <w:rFonts w:ascii="Arial" w:cs="Arial" w:eastAsia="Arial" w:hAnsi="Arial"/>
          <w:sz w:val="15"/>
          <w:szCs w:val="15"/>
          <w:color w:val="auto"/>
        </w:rPr>
        <w:t>[***]</w:t>
      </w:r>
      <w:r>
        <w:rPr>
          <w:rFonts w:ascii="Arial" w:cs="Arial" w:eastAsia="Arial" w:hAnsi="Arial"/>
          <w:sz w:val="18"/>
          <w:szCs w:val="18"/>
          <w:color w:val="auto"/>
        </w:rPr>
        <w:t xml:space="preserve"> Novartis shall have a right to terminate this Agreement with immediate effect and without any liability.</w:t>
      </w:r>
    </w:p>
    <w:p>
      <w:pPr>
        <w:spacing w:after="0" w:line="13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b w:val="1"/>
          <w:bCs w:val="1"/>
          <w:color w:val="auto"/>
        </w:rPr>
        <w:t xml:space="preserve">12.4 Injunctive Relief. </w:t>
      </w:r>
      <w:r>
        <w:rPr>
          <w:rFonts w:ascii="Arial" w:cs="Arial" w:eastAsia="Arial" w:hAnsi="Arial"/>
          <w:sz w:val="18"/>
          <w:szCs w:val="18"/>
          <w:color w:val="auto"/>
        </w:rPr>
        <w:t>Notwithstanding anything herein to the contrary, a Party may seek an injunction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injunctive relief from any court of competent jurisdiction in order to prevent immediate and irreparable injury, loss or damage on a provisional basis. For the avoidance of doubt, if either Party (a) discloses Confidential Information of the other Party other than as permitted under Article 8, (b) uses (in the case of Olema ) the Novartis Study Drugs or Novartis Background Technology or (in the case of Novartis) Olema Study Drug or Olema Background Technology in any manner other than as expressly permitted under this Agreement or (c) otherwise is in material breach of this Agreement and such material breach could cause immediate harm to the value of Olema Study Drug (if Novartis is in material breach) or the Novartis Study Drugs (if Olema is in material breach), the other Party shall have the right to seek an injunction or other equitable relief precluding the other Party from continuing its activities related to the Combined Therapy Clinical Trials without waiting for the conclusion of the dispute resolution procedures under Section 12.3.</w:t>
      </w:r>
    </w:p>
    <w:p>
      <w:pPr>
        <w:spacing w:after="0" w:line="1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b w:val="1"/>
          <w:bCs w:val="1"/>
          <w:color w:val="auto"/>
        </w:rPr>
        <w:t xml:space="preserve">12.5 Force Majeure. </w:t>
      </w:r>
      <w:r>
        <w:rPr>
          <w:rFonts w:ascii="Arial" w:cs="Arial" w:eastAsia="Arial" w:hAnsi="Arial"/>
          <w:sz w:val="18"/>
          <w:szCs w:val="18"/>
          <w:color w:val="auto"/>
        </w:rPr>
        <w:t>A Party shall be excused from the performance of its applicable obligation(s)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(other than the payment of monies owed to the other Party) to the extent that such performance is prevented by force majeure, and the non-performing Party promptly provides notice of the prevention to the other Party (including details of the force majeure) and uses reasonable efforts to avoid the effects of such force majeure and to perform the affected obligation(s) to the extent reasonably possible. Such excuse of performance shall be continued so long as the condition constituting force majeure continues and the nonperforming Party takes reasonable efforts to remove the condition or otherwise perform the affected obligation(s). For purposes of this Agreement, “force majeure” shall mean acts of God, strikes or other concerted acts of workers, civil disturbances, fires, earthquakes, material shortages, disease, acts of terrorism, floods, explosions, riots, war, rebellion, sabotage or failure or default of public utilities or common carriers or similar conditions beyond the reasonable control of the applicable Party. For clarity, notwithstanding the existence of a force majeure impacting a Party’s performance hereunder, such Party shall continue performing all its other obligations hereunder, and the other Party shall be excused from performing such of its obligations under this Agreement that it cannot reasonably perform due to the non-performance by the Party due to such force majeure, until such Party completes performance of such obligations that are prevented by such force majeure. In addition, if a Party is excused under this Section 12.5 from performance of its obligation due to a force majeure, and such non-performance is of a material obligation and such non-performance continues for a period of one hundred twenty days, then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6" w:name="page137"/>
    <w:bookmarkEnd w:id="136"/>
    <w:p>
      <w:pPr>
        <w:spacing w:after="0"/>
        <w:rPr>
          <w:sz w:val="20"/>
          <w:szCs w:val="20"/>
          <w:color w:val="auto"/>
        </w:rPr>
      </w:pPr>
      <w:r>
        <w:rPr>
          <w:rFonts w:ascii="Arial" w:cs="Arial" w:eastAsia="Arial" w:hAnsi="Arial"/>
          <w:sz w:val="20"/>
          <w:szCs w:val="20"/>
          <w:color w:val="auto"/>
        </w:rPr>
        <w:t>other Party may terminate this Agreement on written notice.</w:t>
      </w:r>
    </w:p>
    <w:p>
      <w:pPr>
        <w:spacing w:after="0" w:line="169"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b w:val="1"/>
          <w:bCs w:val="1"/>
          <w:color w:val="auto"/>
        </w:rPr>
        <w:t xml:space="preserve">12.6 Notices. </w:t>
      </w:r>
      <w:r>
        <w:rPr>
          <w:rFonts w:ascii="Arial" w:cs="Arial" w:eastAsia="Arial" w:hAnsi="Arial"/>
          <w:sz w:val="20"/>
          <w:szCs w:val="20"/>
          <w:color w:val="auto"/>
        </w:rPr>
        <w:t>Any notice required or permitted to be given under this Agreement shall be in writing, shall</w:t>
      </w:r>
      <w:r>
        <w:rPr>
          <w:rFonts w:ascii="Arial" w:cs="Arial" w:eastAsia="Arial" w:hAnsi="Arial"/>
          <w:sz w:val="20"/>
          <w:szCs w:val="20"/>
          <w:b w:val="1"/>
          <w:bCs w:val="1"/>
          <w:color w:val="auto"/>
        </w:rPr>
        <w:t xml:space="preserve"> </w:t>
      </w:r>
      <w:r>
        <w:rPr>
          <w:rFonts w:ascii="Arial" w:cs="Arial" w:eastAsia="Arial" w:hAnsi="Arial"/>
          <w:sz w:val="20"/>
          <w:szCs w:val="20"/>
          <w:color w:val="auto"/>
        </w:rPr>
        <w:t>specifically refer to this Agreement and shall be deemed to have been sufficiently given for all purposes if such notice is timely and is: (a) mailed by first class certified or registered mail, postage prepaid, return receipt requested, (b) sent by express delivery service, or (c) personally delivered. Unless otherwise specified in writing, the mailing addresses of the Parties shall be as described below.</w:t>
      </w:r>
    </w:p>
    <w:p>
      <w:pPr>
        <w:sectPr>
          <w:pgSz w:w="11900" w:h="16838" w:orient="portrait"/>
          <w:cols w:equalWidth="0" w:num="1">
            <w:col w:w="9920"/>
          </w:cols>
          <w:pgMar w:left="980" w:top="352" w:right="999" w:bottom="1440" w:gutter="0" w:footer="0" w:header="0"/>
        </w:sectPr>
      </w:pPr>
    </w:p>
    <w:p>
      <w:pPr>
        <w:spacing w:after="0" w:line="164" w:lineRule="exact"/>
        <w:rPr>
          <w:sz w:val="20"/>
          <w:szCs w:val="20"/>
          <w:color w:val="auto"/>
        </w:rPr>
      </w:pPr>
    </w:p>
    <w:p>
      <w:pPr>
        <w:ind w:left="980"/>
        <w:spacing w:after="0"/>
        <w:rPr>
          <w:sz w:val="20"/>
          <w:szCs w:val="20"/>
          <w:color w:val="auto"/>
        </w:rPr>
      </w:pPr>
      <w:r>
        <w:rPr>
          <w:rFonts w:ascii="Arial" w:cs="Arial" w:eastAsia="Arial" w:hAnsi="Arial"/>
          <w:sz w:val="16"/>
          <w:szCs w:val="16"/>
          <w:color w:val="auto"/>
        </w:rPr>
        <w:t>For Olema:</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color w:val="auto"/>
        </w:rPr>
        <w:t>Olema Pharmaceuticals, Inc.</w:t>
      </w:r>
    </w:p>
    <w:p>
      <w:pPr>
        <w:spacing w:after="0" w:line="1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665 3rd St, San Francisco, CA 94107</w:t>
      </w:r>
    </w:p>
    <w:p>
      <w:pPr>
        <w:spacing w:after="0" w:line="46" w:lineRule="exact"/>
        <w:rPr>
          <w:sz w:val="20"/>
          <w:szCs w:val="20"/>
          <w:color w:val="auto"/>
        </w:rPr>
      </w:pPr>
    </w:p>
    <w:p>
      <w:pPr>
        <w:ind w:left="160"/>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360" w:space="720"/>
            <w:col w:w="6840"/>
          </w:cols>
          <w:pgMar w:left="980" w:top="352" w:right="999" w:bottom="1440" w:gutter="0" w:footer="0" w:header="0"/>
          <w:type w:val="continuous"/>
        </w:sectPr>
      </w:pPr>
    </w:p>
    <w:p>
      <w:pPr>
        <w:spacing w:after="0" w:line="27"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color w:val="auto"/>
        </w:rPr>
        <w:t>Attn: James Shehan</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Lowenstein Sandler LPP</w:t>
      </w:r>
    </w:p>
    <w:p>
      <w:pPr>
        <w:spacing w:after="0"/>
        <w:rPr>
          <w:sz w:val="20"/>
          <w:szCs w:val="20"/>
          <w:color w:val="auto"/>
        </w:rPr>
      </w:pPr>
      <w:r>
        <w:rPr>
          <w:rFonts w:ascii="Arial" w:cs="Arial" w:eastAsia="Arial" w:hAnsi="Arial"/>
          <w:sz w:val="16"/>
          <w:szCs w:val="16"/>
          <w:color w:val="auto"/>
        </w:rPr>
        <w:t>1251 Avenue of the Americas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color w:val="auto"/>
        </w:rPr>
        <w:t>New York, NY 10020</w:t>
      </w:r>
    </w:p>
    <w:p>
      <w:pPr>
        <w:spacing w:after="0" w:line="200" w:lineRule="exact"/>
        <w:rPr>
          <w:sz w:val="20"/>
          <w:szCs w:val="20"/>
          <w:color w:val="auto"/>
        </w:rPr>
      </w:pPr>
    </w:p>
    <w:p>
      <w:pPr>
        <w:sectPr>
          <w:pgSz w:w="11900" w:h="16838" w:orient="portrait"/>
          <w:cols w:equalWidth="0" w:num="2">
            <w:col w:w="2360" w:space="720"/>
            <w:col w:w="6840"/>
          </w:cols>
          <w:pgMar w:left="980" w:top="352" w:right="999" w:bottom="1440" w:gutter="0" w:footer="0" w:header="0"/>
          <w:type w:val="continuous"/>
        </w:sectPr>
      </w:pPr>
    </w:p>
    <w:p>
      <w:pPr>
        <w:spacing w:after="0" w:line="13" w:lineRule="exact"/>
        <w:rPr>
          <w:sz w:val="20"/>
          <w:szCs w:val="20"/>
          <w:color w:val="auto"/>
        </w:rPr>
      </w:pPr>
    </w:p>
    <w:p>
      <w:pPr>
        <w:jc w:val="center"/>
        <w:ind w:left="660"/>
        <w:spacing w:after="0"/>
        <w:rPr>
          <w:sz w:val="20"/>
          <w:szCs w:val="20"/>
          <w:color w:val="auto"/>
        </w:rPr>
      </w:pPr>
      <w:r>
        <w:rPr>
          <w:rFonts w:ascii="Arial" w:cs="Arial" w:eastAsia="Arial" w:hAnsi="Arial"/>
          <w:sz w:val="18"/>
          <w:szCs w:val="18"/>
          <w:color w:val="auto"/>
        </w:rPr>
        <w:t>For Novartis: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Novartis Institutes for BioMedical Research</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181 Massachusetts Avenue</w:t>
      </w:r>
    </w:p>
    <w:p>
      <w:pPr>
        <w:spacing w:after="0"/>
        <w:rPr>
          <w:sz w:val="20"/>
          <w:szCs w:val="20"/>
          <w:color w:val="auto"/>
        </w:rPr>
      </w:pPr>
      <w:r>
        <w:rPr>
          <w:rFonts w:ascii="Arial" w:cs="Arial" w:eastAsia="Arial" w:hAnsi="Arial"/>
          <w:sz w:val="20"/>
          <w:szCs w:val="20"/>
          <w:color w:val="auto"/>
        </w:rPr>
        <w:t>Cambridge, MA 02139</w:t>
      </w:r>
    </w:p>
    <w:p>
      <w:pPr>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360" w:space="720"/>
            <w:col w:w="6840"/>
          </w:cols>
          <w:pgMar w:left="980" w:top="352" w:right="999" w:bottom="1440" w:gutter="0" w:footer="0" w:header="0"/>
          <w:type w:val="continuous"/>
        </w:sectPr>
      </w:pPr>
    </w:p>
    <w:p>
      <w:pPr>
        <w:spacing w:after="0" w:line="13" w:lineRule="exact"/>
        <w:rPr>
          <w:sz w:val="20"/>
          <w:szCs w:val="20"/>
          <w:color w:val="auto"/>
        </w:rPr>
      </w:pPr>
    </w:p>
    <w:p>
      <w:pPr>
        <w:jc w:val="center"/>
        <w:ind w:left="820"/>
        <w:spacing w:after="0"/>
        <w:rPr>
          <w:sz w:val="20"/>
          <w:szCs w:val="20"/>
          <w:color w:val="auto"/>
        </w:rPr>
      </w:pPr>
      <w:r>
        <w:rPr>
          <w:rFonts w:ascii="Arial" w:cs="Arial" w:eastAsia="Arial" w:hAnsi="Arial"/>
          <w:sz w:val="18"/>
          <w:szCs w:val="18"/>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Novartis Pharmaceuticals Corporation</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59 Route 10, East Hanover</w:t>
      </w:r>
    </w:p>
    <w:p>
      <w:pPr>
        <w:spacing w:after="0"/>
        <w:rPr>
          <w:sz w:val="20"/>
          <w:szCs w:val="20"/>
          <w:color w:val="auto"/>
        </w:rPr>
      </w:pPr>
      <w:r>
        <w:rPr>
          <w:rFonts w:ascii="Arial" w:cs="Arial" w:eastAsia="Arial" w:hAnsi="Arial"/>
          <w:sz w:val="20"/>
          <w:szCs w:val="20"/>
          <w:color w:val="auto"/>
        </w:rPr>
        <w:t>New Jersey, 07936</w:t>
      </w:r>
    </w:p>
    <w:p>
      <w:pPr>
        <w:spacing w:after="0"/>
        <w:rPr>
          <w:sz w:val="20"/>
          <w:szCs w:val="20"/>
          <w:color w:val="auto"/>
        </w:rPr>
      </w:pPr>
      <w:r>
        <w:rPr>
          <w:rFonts w:ascii="Arial" w:cs="Arial" w:eastAsia="Arial" w:hAnsi="Arial"/>
          <w:sz w:val="20"/>
          <w:szCs w:val="20"/>
          <w:color w:val="auto"/>
        </w:rPr>
        <w:t xml:space="preserve">Attention: </w:t>
      </w:r>
      <w:r>
        <w:rPr>
          <w:rFonts w:ascii="Arial" w:cs="Arial" w:eastAsia="Arial" w:hAnsi="Arial"/>
          <w:sz w:val="17"/>
          <w:szCs w:val="17"/>
          <w:color w:val="auto"/>
        </w:rPr>
        <w:t>[***]</w:t>
      </w:r>
    </w:p>
    <w:p>
      <w:pPr>
        <w:spacing w:after="0" w:line="200" w:lineRule="exact"/>
        <w:rPr>
          <w:sz w:val="20"/>
          <w:szCs w:val="20"/>
          <w:color w:val="auto"/>
        </w:rPr>
      </w:pPr>
    </w:p>
    <w:p>
      <w:pPr>
        <w:sectPr>
          <w:pgSz w:w="11900" w:h="16838" w:orient="portrait"/>
          <w:cols w:equalWidth="0" w:num="2">
            <w:col w:w="2360" w:space="720"/>
            <w:col w:w="6840"/>
          </w:cols>
          <w:pgMar w:left="980" w:top="352" w:right="999" w:bottom="1440" w:gutter="0" w:footer="0" w:header="0"/>
          <w:type w:val="continuous"/>
        </w:sectPr>
      </w:pPr>
    </w:p>
    <w:p>
      <w:pPr>
        <w:spacing w:after="0" w:line="1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Any such communication shall be deemed to have been received when delivered. It is understood and agreed that this Section 12.6 is not intended to govern the day-to-day business communications necessary between the Parties in performing their duties, in due course, under the terms of this Agreement.</w:t>
      </w:r>
    </w:p>
    <w:p>
      <w:pPr>
        <w:spacing w:after="0" w:line="13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color w:val="auto"/>
        </w:rPr>
        <w:t xml:space="preserve">12.7 No Waiver; Modifications. </w:t>
      </w:r>
      <w:r>
        <w:rPr>
          <w:rFonts w:ascii="Arial" w:cs="Arial" w:eastAsia="Arial" w:hAnsi="Arial"/>
          <w:sz w:val="18"/>
          <w:szCs w:val="18"/>
          <w:color w:val="auto"/>
        </w:rPr>
        <w:t>It is agreed that no waiver by a Party of any breach or default of the other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of any of its covenants or obligations under this Agreements shall be deemed a waiver as to any subsequent and/or similar breach or default by the other Party. To be binding on the Parties, all amendments or modifications to or of this Agreement must be by a written instrument that is duly executed by an authorized representative of each Party. No amendment or modification of the terms of this Agreement, or release or discharge of a Party’s obligation under this Agreement or breach thereof, shall be binding upon the Parties unless in writing and duly executed by authorized representatives of both Parties.</w:t>
      </w:r>
    </w:p>
    <w:p>
      <w:pPr>
        <w:spacing w:after="0" w:line="11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12.8 No Strict Construction. </w:t>
      </w:r>
      <w:r>
        <w:rPr>
          <w:rFonts w:ascii="Arial" w:cs="Arial" w:eastAsia="Arial" w:hAnsi="Arial"/>
          <w:sz w:val="20"/>
          <w:szCs w:val="20"/>
          <w:color w:val="auto"/>
        </w:rPr>
        <w:t>This Agreement has been prepared jointly and shall not be strictly construed</w:t>
      </w:r>
      <w:r>
        <w:rPr>
          <w:rFonts w:ascii="Arial" w:cs="Arial" w:eastAsia="Arial" w:hAnsi="Arial"/>
          <w:sz w:val="20"/>
          <w:szCs w:val="20"/>
          <w:b w:val="1"/>
          <w:bCs w:val="1"/>
          <w:color w:val="auto"/>
        </w:rPr>
        <w:t xml:space="preserve"> </w:t>
      </w:r>
      <w:r>
        <w:rPr>
          <w:rFonts w:ascii="Arial" w:cs="Arial" w:eastAsia="Arial" w:hAnsi="Arial"/>
          <w:sz w:val="20"/>
          <w:szCs w:val="20"/>
          <w:color w:val="auto"/>
        </w:rPr>
        <w:t>against either Party. No presumption as to construction of this Agreement shall apply against either Party with respect to any ambiguity in the wording of any provision(s) of this Agreement irrespective of which Party may be deemed to have authored the ambiguous provision(s).</w:t>
      </w:r>
    </w:p>
    <w:p>
      <w:pPr>
        <w:spacing w:after="0" w:line="15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12.9 Independent Contractor. </w:t>
      </w:r>
      <w:r>
        <w:rPr>
          <w:rFonts w:ascii="Arial" w:cs="Arial" w:eastAsia="Arial" w:hAnsi="Arial"/>
          <w:sz w:val="20"/>
          <w:szCs w:val="20"/>
          <w:color w:val="auto"/>
        </w:rPr>
        <w:t>The Parties are independent contractors of each other, and the relationship</w:t>
      </w:r>
      <w:r>
        <w:rPr>
          <w:rFonts w:ascii="Arial" w:cs="Arial" w:eastAsia="Arial" w:hAnsi="Arial"/>
          <w:sz w:val="20"/>
          <w:szCs w:val="20"/>
          <w:b w:val="1"/>
          <w:bCs w:val="1"/>
          <w:color w:val="auto"/>
        </w:rPr>
        <w:t xml:space="preserve"> </w:t>
      </w:r>
      <w:r>
        <w:rPr>
          <w:rFonts w:ascii="Arial" w:cs="Arial" w:eastAsia="Arial" w:hAnsi="Arial"/>
          <w:sz w:val="20"/>
          <w:szCs w:val="20"/>
          <w:color w:val="auto"/>
        </w:rPr>
        <w:t>between the Parties hereunder shall not constitute a partnership, joint venture or agency. Neither Party shall be the agent of the other. Neither Party shall have any authority to act for, or on behalf of, the other Party in any matter, except as expressly authorized by the specific terms of this Agreement.</w:t>
      </w:r>
    </w:p>
    <w:p>
      <w:pPr>
        <w:spacing w:after="0" w:line="14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12.10 Assignment. </w:t>
      </w:r>
      <w:r>
        <w:rPr>
          <w:rFonts w:ascii="Arial" w:cs="Arial" w:eastAsia="Arial" w:hAnsi="Arial"/>
          <w:sz w:val="20"/>
          <w:szCs w:val="20"/>
          <w:color w:val="auto"/>
        </w:rPr>
        <w:t>Neither Party may assign or transfer this Agreement or any rights or obligations hereunder</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without the prior written consent of the other Party, such consent not to be unreasonably withheld, </w:t>
      </w:r>
      <w:r>
        <w:rPr>
          <w:rFonts w:ascii="Arial" w:cs="Arial" w:eastAsia="Arial" w:hAnsi="Arial"/>
          <w:sz w:val="20"/>
          <w:szCs w:val="20"/>
          <w:i w:val="1"/>
          <w:iCs w:val="1"/>
          <w:color w:val="auto"/>
        </w:rPr>
        <w:t>except</w:t>
      </w:r>
      <w:r>
        <w:rPr>
          <w:rFonts w:ascii="Arial" w:cs="Arial" w:eastAsia="Arial" w:hAnsi="Arial"/>
          <w:sz w:val="20"/>
          <w:szCs w:val="20"/>
          <w:color w:val="auto"/>
        </w:rPr>
        <w:t xml:space="preserve"> that a Party may make such an assignment without the other Party’s consent (i) to an Affiliate, (ii) to a Third Party successor in interest that merges with, consolidates with or acquires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type w:val="continuous"/>
        </w:sectPr>
      </w:pPr>
    </w:p>
    <w:bookmarkStart w:id="137" w:name="page138"/>
    <w:bookmarkEnd w:id="137"/>
    <w:p>
      <w:pPr>
        <w:jc w:val="both"/>
        <w:spacing w:after="0" w:line="242" w:lineRule="auto"/>
        <w:rPr>
          <w:sz w:val="20"/>
          <w:szCs w:val="20"/>
          <w:color w:val="auto"/>
        </w:rPr>
      </w:pPr>
      <w:r>
        <w:rPr>
          <w:rFonts w:ascii="Arial" w:cs="Arial" w:eastAsia="Arial" w:hAnsi="Arial"/>
          <w:sz w:val="20"/>
          <w:szCs w:val="20"/>
          <w:color w:val="auto"/>
        </w:rPr>
        <w:t>all or substantially all of the assets or voting control of the assigning Party, or (iii) to a Third Party successor in interest that acquires all or substantially all of the rights of the assigning Party to Olema Study Drug, in the case of Olema, or the Novartis Study Drugs, in the case of Novartis. If assigned or transferred to an Affiliate, the assigning/transferring Party shall remain jointly and severally responsible and liable with the assignee/transferee Affiliate for the assigned rights and/or obligations. If assigned to a Third Party, any permitted successor or assignee of rights and/or obligations hereunder shall, in a writing to the other Party, expressly assume performance of such rights and/or obligations. Any purported assignment or attempted assignment by any Party in violation of the terms of this Section 12.10 shall be null and void and of no legal effect.</w:t>
      </w:r>
    </w:p>
    <w:p>
      <w:pPr>
        <w:spacing w:after="0" w:line="19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9"/>
          <w:szCs w:val="19"/>
          <w:b w:val="1"/>
          <w:bCs w:val="1"/>
          <w:color w:val="auto"/>
        </w:rPr>
        <w:t xml:space="preserve">12.11 Headings. </w:t>
      </w:r>
      <w:r>
        <w:rPr>
          <w:rFonts w:ascii="Arial" w:cs="Arial" w:eastAsia="Arial" w:hAnsi="Arial"/>
          <w:sz w:val="19"/>
          <w:szCs w:val="19"/>
          <w:color w:val="auto"/>
        </w:rPr>
        <w:t>The captions to the several Sections and Articles hereof are not a part of this Agreement, but are</w:t>
      </w:r>
      <w:r>
        <w:rPr>
          <w:rFonts w:ascii="Arial" w:cs="Arial" w:eastAsia="Arial" w:hAnsi="Arial"/>
          <w:sz w:val="19"/>
          <w:szCs w:val="19"/>
          <w:b w:val="1"/>
          <w:bCs w:val="1"/>
          <w:color w:val="auto"/>
        </w:rPr>
        <w:t xml:space="preserve"> </w:t>
      </w:r>
      <w:r>
        <w:rPr>
          <w:rFonts w:ascii="Arial" w:cs="Arial" w:eastAsia="Arial" w:hAnsi="Arial"/>
          <w:sz w:val="19"/>
          <w:szCs w:val="19"/>
          <w:color w:val="auto"/>
        </w:rPr>
        <w:t>included merely for convenience of reference only and shall not affect its meaning or interpretation.</w:t>
      </w:r>
    </w:p>
    <w:p>
      <w:pPr>
        <w:spacing w:after="0" w:line="10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 xml:space="preserve">12.12 Counterparts. </w:t>
      </w:r>
      <w:r>
        <w:rPr>
          <w:rFonts w:ascii="Arial" w:cs="Arial" w:eastAsia="Arial" w:hAnsi="Arial"/>
          <w:sz w:val="20"/>
          <w:szCs w:val="20"/>
          <w:color w:val="auto"/>
        </w:rPr>
        <w:t>This Agreement may be executed in two (2) or more counterparts, each of which shall be</w:t>
      </w:r>
      <w:r>
        <w:rPr>
          <w:rFonts w:ascii="Arial" w:cs="Arial" w:eastAsia="Arial" w:hAnsi="Arial"/>
          <w:sz w:val="20"/>
          <w:szCs w:val="20"/>
          <w:b w:val="1"/>
          <w:bCs w:val="1"/>
          <w:color w:val="auto"/>
        </w:rPr>
        <w:t xml:space="preserve"> </w:t>
      </w:r>
      <w:r>
        <w:rPr>
          <w:rFonts w:ascii="Arial" w:cs="Arial" w:eastAsia="Arial" w:hAnsi="Arial"/>
          <w:sz w:val="20"/>
          <w:szCs w:val="20"/>
          <w:color w:val="auto"/>
        </w:rPr>
        <w:t>deemed an original, but all of which together shall constitute one and the same instrument. This Agreement may be executed by facsimile or electronic (e.g., pdf) signatures and such signatures shall be deemed to bind each Party hereto as if they were original signature.</w:t>
      </w:r>
    </w:p>
    <w:p>
      <w:pPr>
        <w:spacing w:after="0" w:line="15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b w:val="1"/>
          <w:bCs w:val="1"/>
          <w:color w:val="auto"/>
        </w:rPr>
        <w:t xml:space="preserve">12.13 Severability. </w:t>
      </w:r>
      <w:r>
        <w:rPr>
          <w:rFonts w:ascii="Arial" w:cs="Arial" w:eastAsia="Arial" w:hAnsi="Arial"/>
          <w:sz w:val="18"/>
          <w:szCs w:val="18"/>
          <w:color w:val="auto"/>
        </w:rPr>
        <w:t>If any provision of this Agreement is held to be illegal, invalid or unenforceable under any</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or future law, and if the rights or obligations of a Party under this Agreement will not be materially and adversely affected thereby, (a) such provision shall be fully severable, (b) this Agreement shall be construed and enforced as if such illegal, invalid or unenforceable provision had never comprised a part hereof, (c) the remaining provisions of this Agreement shall remain in full force and effect and shall not be affected by the illegal, invalid or unenforceable provision or by its severance herefrom, and (d) in lieu of such illegal, invalid or unenforceable provision, there shall be added automatically as a part of this Agreement a legal, valid and enforceable provision as similar in terms to such illegal, invalid or unenforceable provision as may be possible and reasonably acceptable to the Parties.</w:t>
      </w:r>
    </w:p>
    <w:p>
      <w:pPr>
        <w:spacing w:after="0" w:line="1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8"/>
          <w:szCs w:val="18"/>
          <w:b w:val="1"/>
          <w:bCs w:val="1"/>
          <w:color w:val="auto"/>
        </w:rPr>
        <w:t xml:space="preserve">12.14 Further Assurance. </w:t>
      </w:r>
      <w:r>
        <w:rPr>
          <w:rFonts w:ascii="Arial" w:cs="Arial" w:eastAsia="Arial" w:hAnsi="Arial"/>
          <w:sz w:val="18"/>
          <w:szCs w:val="18"/>
          <w:color w:val="auto"/>
        </w:rPr>
        <w:t>Each Party shall duly execute and deliver, or cause to be duly executed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such further instruments and do and cause to be done such further acts and things, including the filing of such assignments, agreements, documents and instruments, as may be necessary or as the other Party may reasonably request in order to perfect any license, assignment or other transfer or any properties or rights under, or pursuant, to this Agreement.</w:t>
      </w:r>
    </w:p>
    <w:p>
      <w:pPr>
        <w:spacing w:after="0" w:line="1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0"/>
          <w:szCs w:val="20"/>
          <w:b w:val="1"/>
          <w:bCs w:val="1"/>
          <w:color w:val="auto"/>
        </w:rPr>
        <w:t xml:space="preserve">12.15 No Benefit to Third Parties. </w:t>
      </w:r>
      <w:r>
        <w:rPr>
          <w:rFonts w:ascii="Arial" w:cs="Arial" w:eastAsia="Arial" w:hAnsi="Arial"/>
          <w:sz w:val="20"/>
          <w:szCs w:val="20"/>
          <w:color w:val="auto"/>
        </w:rPr>
        <w:t>The representations, warranties, covenants and agreements set forth in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are for the sole benefit of the Parties, their respective Affiliates, and their successors and permitted assigns, and they shall not be construed as conferring any rights on any other parties.</w:t>
      </w:r>
    </w:p>
    <w:p>
      <w:pPr>
        <w:spacing w:after="0" w:line="15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20"/>
          <w:szCs w:val="20"/>
          <w:b w:val="1"/>
          <w:bCs w:val="1"/>
          <w:color w:val="auto"/>
        </w:rPr>
        <w:t>12.16</w:t>
      </w:r>
      <w:r>
        <w:rPr>
          <w:sz w:val="20"/>
          <w:szCs w:val="20"/>
          <w:color w:val="auto"/>
        </w:rPr>
        <w:tab/>
      </w:r>
      <w:r>
        <w:rPr>
          <w:rFonts w:ascii="Arial" w:cs="Arial" w:eastAsia="Arial" w:hAnsi="Arial"/>
          <w:sz w:val="16"/>
          <w:szCs w:val="16"/>
          <w:b w:val="1"/>
          <w:bCs w:val="1"/>
          <w:color w:val="auto"/>
        </w:rPr>
        <w:t>Construction.</w:t>
      </w:r>
    </w:p>
    <w:p>
      <w:pPr>
        <w:spacing w:after="0" w:line="175" w:lineRule="exact"/>
        <w:rPr>
          <w:sz w:val="20"/>
          <w:szCs w:val="20"/>
          <w:color w:val="auto"/>
        </w:rPr>
      </w:pPr>
    </w:p>
    <w:p>
      <w:pPr>
        <w:jc w:val="both"/>
        <w:ind w:firstLine="1304"/>
        <w:spacing w:after="0" w:line="255" w:lineRule="auto"/>
        <w:tabs>
          <w:tab w:leader="none" w:pos="2025" w:val="left"/>
        </w:tabs>
        <w:numPr>
          <w:ilvl w:val="0"/>
          <w:numId w:val="10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General. </w:t>
      </w:r>
      <w:r>
        <w:rPr>
          <w:rFonts w:ascii="Arial" w:cs="Arial" w:eastAsia="Arial" w:hAnsi="Arial"/>
          <w:sz w:val="19"/>
          <w:szCs w:val="19"/>
          <w:color w:val="auto"/>
        </w:rPr>
        <w:t>Except as otherwise explicitly specified to the contrary, (i) references to a Section,</w:t>
      </w:r>
      <w:r>
        <w:rPr>
          <w:rFonts w:ascii="Arial" w:cs="Arial" w:eastAsia="Arial" w:hAnsi="Arial"/>
          <w:sz w:val="19"/>
          <w:szCs w:val="19"/>
          <w:b w:val="1"/>
          <w:bCs w:val="1"/>
          <w:color w:val="auto"/>
        </w:rPr>
        <w:t xml:space="preserve"> </w:t>
      </w:r>
      <w:r>
        <w:rPr>
          <w:rFonts w:ascii="Arial" w:cs="Arial" w:eastAsia="Arial" w:hAnsi="Arial"/>
          <w:sz w:val="19"/>
          <w:szCs w:val="19"/>
          <w:color w:val="auto"/>
        </w:rPr>
        <w:t>Article or Appendix means a Section or Article of, or Appendix to, this Agreement and all subsections thereof, unless another agreement is specified, (ii) references to a particular statute or regulation include all rules and regulations promulgated thereunder and any successor statute, rules or regulations then in effect, in each case including the then-current amendments thereto, (iii) words in the singular or plural form include the plural and singular form, respectively, (iv) the terms “including,” “include(s),” “such as,” and “for example” used in this Agreement mean including the generality of any description preceding such term and will be deemed to be followed by “without limitation”, (v) the words “hereof,” “herein,” “hereunder,” “hereby” and derivative or similar words refer to this Agreement, (vi) “or” is used in the conjunctive (“and/or”) unless the context requires otherwise, (vii) “will” and “shall” are synonyms, (viii) references to “(sub)licensees” means Third Party licensees or sublicensees of a Party or its Affiliate, and (ix) days means calendar days. No presumption as to construction of this Agreement shall apply against either Party with respect to any ambiguity in the wording of any provision(s) of this Agreement irrespective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8" w:name="page139"/>
    <w:bookmarkEnd w:id="138"/>
    <w:p>
      <w:pPr>
        <w:spacing w:after="0"/>
        <w:rPr>
          <w:sz w:val="20"/>
          <w:szCs w:val="20"/>
          <w:color w:val="auto"/>
        </w:rPr>
      </w:pPr>
      <w:r>
        <w:rPr>
          <w:rFonts w:ascii="Arial" w:cs="Arial" w:eastAsia="Arial" w:hAnsi="Arial"/>
          <w:sz w:val="20"/>
          <w:szCs w:val="20"/>
          <w:color w:val="auto"/>
        </w:rPr>
        <w:t>of which Party may be deemed to have authored the ambiguous provision(s).</w:t>
      </w:r>
    </w:p>
    <w:p>
      <w:pPr>
        <w:spacing w:after="0" w:line="169" w:lineRule="exact"/>
        <w:rPr>
          <w:sz w:val="20"/>
          <w:szCs w:val="20"/>
          <w:color w:val="auto"/>
        </w:rPr>
      </w:pPr>
    </w:p>
    <w:p>
      <w:pPr>
        <w:jc w:val="both"/>
        <w:ind w:firstLine="1304"/>
        <w:spacing w:after="0" w:line="244" w:lineRule="auto"/>
        <w:tabs>
          <w:tab w:leader="none" w:pos="2025" w:val="left"/>
        </w:tabs>
        <w:numPr>
          <w:ilvl w:val="0"/>
          <w:numId w:val="104"/>
        </w:numPr>
        <w:rPr>
          <w:rFonts w:ascii="Arial" w:cs="Arial" w:eastAsia="Arial" w:hAnsi="Arial"/>
          <w:sz w:val="20"/>
          <w:szCs w:val="20"/>
          <w:b w:val="1"/>
          <w:bCs w:val="1"/>
          <w:color w:val="auto"/>
        </w:rPr>
      </w:pPr>
      <w:r>
        <w:rPr>
          <w:rFonts w:ascii="Arial" w:cs="Arial" w:eastAsia="Arial" w:hAnsi="Arial"/>
          <w:sz w:val="20"/>
          <w:szCs w:val="20"/>
          <w:b w:val="1"/>
          <w:bCs w:val="1"/>
          <w:color w:val="auto"/>
        </w:rPr>
        <w:t xml:space="preserve">No Response. </w:t>
      </w:r>
      <w:r>
        <w:rPr>
          <w:rFonts w:ascii="Arial" w:cs="Arial" w:eastAsia="Arial" w:hAnsi="Arial"/>
          <w:sz w:val="20"/>
          <w:szCs w:val="20"/>
          <w:color w:val="auto"/>
        </w:rPr>
        <w:t>Except as expressly set forth in this Agreement, where a provision of this</w:t>
      </w:r>
      <w:r>
        <w:rPr>
          <w:rFonts w:ascii="Arial" w:cs="Arial" w:eastAsia="Arial" w:hAnsi="Arial"/>
          <w:sz w:val="20"/>
          <w:szCs w:val="20"/>
          <w:b w:val="1"/>
          <w:bCs w:val="1"/>
          <w:color w:val="auto"/>
        </w:rPr>
        <w:t xml:space="preserve"> </w:t>
      </w:r>
      <w:r>
        <w:rPr>
          <w:rFonts w:ascii="Arial" w:cs="Arial" w:eastAsia="Arial" w:hAnsi="Arial"/>
          <w:sz w:val="20"/>
          <w:szCs w:val="20"/>
          <w:color w:val="auto"/>
        </w:rPr>
        <w:t>Agreement provides for a Party to respond within a designated period following written notice from the other Party, and if such Party fails to respond, then the failure to respond shall not be deemed to create or imply: (i) that the non-responding Party agrees or disagrees with the proposed action to be taken by the other Party, (ii) any amendment, change or waiver of the terms of this Agreement, or (iii) any consent that an action proposed to be taken may be taken if it conflicts with the terms of this Agreement and/or waiver of any rights it may have to seek remedies at law or in equity for breach of this Agreement as a result of the action taken.</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i w:val="1"/>
          <w:iCs w:val="1"/>
          <w:color w:val="auto"/>
        </w:rPr>
        <w:t>Signature page follows</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52" w:right="999" w:bottom="1440" w:gutter="0" w:footer="0" w:header="0"/>
        </w:sectPr>
      </w:pPr>
    </w:p>
    <w:bookmarkStart w:id="139" w:name="page140"/>
    <w:bookmarkEnd w:id="139"/>
    <w:p>
      <w:pPr>
        <w:ind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Parties, intending to be legally bound hereby, have caused this Agreement to be</w:t>
      </w:r>
      <w:r>
        <w:rPr>
          <w:rFonts w:ascii="Arial" w:cs="Arial" w:eastAsia="Arial" w:hAnsi="Arial"/>
          <w:sz w:val="20"/>
          <w:szCs w:val="20"/>
          <w:b w:val="1"/>
          <w:bCs w:val="1"/>
          <w:color w:val="auto"/>
        </w:rPr>
        <w:t xml:space="preserve"> </w:t>
      </w:r>
      <w:r>
        <w:rPr>
          <w:rFonts w:ascii="Arial" w:cs="Arial" w:eastAsia="Arial" w:hAnsi="Arial"/>
          <w:sz w:val="20"/>
          <w:szCs w:val="20"/>
          <w:color w:val="auto"/>
        </w:rPr>
        <w:t>executed by their duly authorized representatives as of the Effective Date.</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040" w:type="dxa"/>
            <w:vAlign w:val="bottom"/>
            <w:gridSpan w:val="3"/>
          </w:tcPr>
          <w:p>
            <w:pPr>
              <w:spacing w:after="0"/>
              <w:rPr>
                <w:sz w:val="20"/>
                <w:szCs w:val="20"/>
                <w:color w:val="auto"/>
              </w:rPr>
            </w:pPr>
            <w:r>
              <w:rPr>
                <w:rFonts w:ascii="Arial" w:cs="Arial" w:eastAsia="Arial" w:hAnsi="Arial"/>
                <w:sz w:val="20"/>
                <w:szCs w:val="20"/>
                <w:b w:val="1"/>
                <w:bCs w:val="1"/>
                <w:color w:val="auto"/>
              </w:rPr>
              <w:t>Olema Pharmaceuticals Inc.</w:t>
            </w:r>
          </w:p>
        </w:tc>
        <w:tc>
          <w:tcPr>
            <w:tcW w:w="4880" w:type="dxa"/>
            <w:vAlign w:val="bottom"/>
            <w:gridSpan w:val="2"/>
          </w:tcPr>
          <w:p>
            <w:pPr>
              <w:ind w:left="240"/>
              <w:spacing w:after="0"/>
              <w:rPr>
                <w:sz w:val="20"/>
                <w:szCs w:val="20"/>
                <w:color w:val="auto"/>
              </w:rPr>
            </w:pPr>
            <w:r>
              <w:rPr>
                <w:rFonts w:ascii="Arial" w:cs="Arial" w:eastAsia="Arial" w:hAnsi="Arial"/>
                <w:sz w:val="20"/>
                <w:szCs w:val="20"/>
                <w:b w:val="1"/>
                <w:bCs w:val="1"/>
                <w:color w:val="auto"/>
              </w:rPr>
              <w:t>Novartis Institutes for BioMedical Research, Inc.</w:t>
            </w:r>
          </w:p>
        </w:tc>
      </w:tr>
      <w:tr>
        <w:trPr>
          <w:trHeight w:val="684"/>
        </w:trPr>
        <w:tc>
          <w:tcPr>
            <w:tcW w:w="620" w:type="dxa"/>
            <w:vAlign w:val="bottom"/>
          </w:tcPr>
          <w:p>
            <w:pPr>
              <w:spacing w:after="0"/>
              <w:rPr>
                <w:sz w:val="20"/>
                <w:szCs w:val="20"/>
                <w:color w:val="auto"/>
              </w:rPr>
            </w:pPr>
            <w:r>
              <w:rPr>
                <w:rFonts w:ascii="Arial" w:cs="Arial" w:eastAsia="Arial" w:hAnsi="Arial"/>
                <w:sz w:val="20"/>
                <w:szCs w:val="20"/>
                <w:color w:val="auto"/>
              </w:rPr>
              <w:t>By:</w:t>
            </w:r>
          </w:p>
        </w:tc>
        <w:tc>
          <w:tcPr>
            <w:tcW w:w="4420" w:type="dxa"/>
            <w:vAlign w:val="bottom"/>
            <w:gridSpan w:val="2"/>
          </w:tcPr>
          <w:p>
            <w:pPr>
              <w:ind w:left="80"/>
              <w:spacing w:after="0"/>
              <w:rPr>
                <w:sz w:val="20"/>
                <w:szCs w:val="20"/>
                <w:color w:val="auto"/>
              </w:rPr>
            </w:pPr>
            <w:r>
              <w:rPr>
                <w:rFonts w:ascii="Arial" w:cs="Arial" w:eastAsia="Arial" w:hAnsi="Arial"/>
                <w:sz w:val="20"/>
                <w:szCs w:val="20"/>
                <w:color w:val="auto"/>
              </w:rPr>
              <w:t>/s/ Sean Bohen</w:t>
            </w:r>
          </w:p>
        </w:tc>
        <w:tc>
          <w:tcPr>
            <w:tcW w:w="820" w:type="dxa"/>
            <w:vAlign w:val="bottom"/>
          </w:tcPr>
          <w:p>
            <w:pPr>
              <w:ind w:left="240"/>
              <w:spacing w:after="0"/>
              <w:rPr>
                <w:sz w:val="20"/>
                <w:szCs w:val="20"/>
                <w:color w:val="auto"/>
              </w:rPr>
            </w:pPr>
            <w:r>
              <w:rPr>
                <w:rFonts w:ascii="Arial" w:cs="Arial" w:eastAsia="Arial" w:hAnsi="Arial"/>
                <w:sz w:val="20"/>
                <w:szCs w:val="20"/>
                <w:color w:val="auto"/>
              </w:rPr>
              <w:t>By:</w:t>
            </w:r>
          </w:p>
        </w:tc>
        <w:tc>
          <w:tcPr>
            <w:tcW w:w="4060" w:type="dxa"/>
            <w:vAlign w:val="bottom"/>
          </w:tcPr>
          <w:p>
            <w:pPr>
              <w:spacing w:after="0"/>
              <w:rPr>
                <w:sz w:val="20"/>
                <w:szCs w:val="20"/>
                <w:color w:val="auto"/>
              </w:rPr>
            </w:pPr>
            <w:r>
              <w:rPr>
                <w:rFonts w:ascii="Arial" w:cs="Arial" w:eastAsia="Arial" w:hAnsi="Arial"/>
                <w:sz w:val="20"/>
                <w:szCs w:val="20"/>
                <w:color w:val="auto"/>
              </w:rPr>
              <w:t>/s/ Alice Shaw</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453"/>
        </w:trPr>
        <w:tc>
          <w:tcPr>
            <w:tcW w:w="620" w:type="dxa"/>
            <w:vAlign w:val="bottom"/>
          </w:tcPr>
          <w:p>
            <w:pPr>
              <w:spacing w:after="0"/>
              <w:rPr>
                <w:sz w:val="20"/>
                <w:szCs w:val="20"/>
                <w:color w:val="auto"/>
              </w:rPr>
            </w:pPr>
            <w:r>
              <w:rPr>
                <w:rFonts w:ascii="Arial" w:cs="Arial" w:eastAsia="Arial" w:hAnsi="Arial"/>
                <w:sz w:val="20"/>
                <w:szCs w:val="20"/>
                <w:color w:val="auto"/>
              </w:rPr>
              <w:t>Name:</w:t>
            </w:r>
          </w:p>
        </w:tc>
        <w:tc>
          <w:tcPr>
            <w:tcW w:w="4420" w:type="dxa"/>
            <w:vAlign w:val="bottom"/>
            <w:gridSpan w:val="2"/>
          </w:tcPr>
          <w:p>
            <w:pPr>
              <w:ind w:left="80"/>
              <w:spacing w:after="0"/>
              <w:rPr>
                <w:sz w:val="20"/>
                <w:szCs w:val="20"/>
                <w:color w:val="auto"/>
              </w:rPr>
            </w:pPr>
            <w:r>
              <w:rPr>
                <w:rFonts w:ascii="Arial" w:cs="Arial" w:eastAsia="Arial" w:hAnsi="Arial"/>
                <w:sz w:val="20"/>
                <w:szCs w:val="20"/>
                <w:color w:val="auto"/>
              </w:rPr>
              <w:t>Sean Bohen</w:t>
            </w:r>
          </w:p>
        </w:tc>
        <w:tc>
          <w:tcPr>
            <w:tcW w:w="4880" w:type="dxa"/>
            <w:vAlign w:val="bottom"/>
            <w:gridSpan w:val="2"/>
          </w:tcPr>
          <w:p>
            <w:pPr>
              <w:ind w:left="240"/>
              <w:spacing w:after="0"/>
              <w:rPr>
                <w:sz w:val="20"/>
                <w:szCs w:val="20"/>
                <w:color w:val="auto"/>
              </w:rPr>
            </w:pPr>
            <w:r>
              <w:rPr>
                <w:rFonts w:ascii="Arial" w:cs="Arial" w:eastAsia="Arial" w:hAnsi="Arial"/>
                <w:sz w:val="20"/>
                <w:szCs w:val="20"/>
                <w:color w:val="auto"/>
              </w:rPr>
              <w:t>Name: Alice Shaw</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453"/>
        </w:trPr>
        <w:tc>
          <w:tcPr>
            <w:tcW w:w="620" w:type="dxa"/>
            <w:vAlign w:val="bottom"/>
          </w:tcPr>
          <w:p>
            <w:pPr>
              <w:spacing w:after="0"/>
              <w:rPr>
                <w:sz w:val="20"/>
                <w:szCs w:val="20"/>
                <w:color w:val="auto"/>
              </w:rPr>
            </w:pPr>
            <w:r>
              <w:rPr>
                <w:rFonts w:ascii="Arial" w:cs="Arial" w:eastAsia="Arial" w:hAnsi="Arial"/>
                <w:sz w:val="20"/>
                <w:szCs w:val="20"/>
                <w:color w:val="auto"/>
              </w:rPr>
              <w:t>Title:</w:t>
            </w:r>
          </w:p>
        </w:tc>
        <w:tc>
          <w:tcPr>
            <w:tcW w:w="4420" w:type="dxa"/>
            <w:vAlign w:val="bottom"/>
            <w:gridSpan w:val="2"/>
          </w:tcPr>
          <w:p>
            <w:pPr>
              <w:ind w:left="80"/>
              <w:spacing w:after="0"/>
              <w:rPr>
                <w:sz w:val="20"/>
                <w:szCs w:val="20"/>
                <w:color w:val="auto"/>
              </w:rPr>
            </w:pPr>
            <w:r>
              <w:rPr>
                <w:rFonts w:ascii="Arial" w:cs="Arial" w:eastAsia="Arial" w:hAnsi="Arial"/>
                <w:sz w:val="20"/>
                <w:szCs w:val="20"/>
                <w:color w:val="auto"/>
              </w:rPr>
              <w:t>CEO and President</w:t>
            </w:r>
          </w:p>
        </w:tc>
        <w:tc>
          <w:tcPr>
            <w:tcW w:w="820" w:type="dxa"/>
            <w:vAlign w:val="bottom"/>
          </w:tcPr>
          <w:p>
            <w:pPr>
              <w:ind w:left="240"/>
              <w:spacing w:after="0"/>
              <w:rPr>
                <w:sz w:val="20"/>
                <w:szCs w:val="20"/>
                <w:color w:val="auto"/>
              </w:rPr>
            </w:pPr>
            <w:r>
              <w:rPr>
                <w:rFonts w:ascii="Arial" w:cs="Arial" w:eastAsia="Arial" w:hAnsi="Arial"/>
                <w:sz w:val="20"/>
                <w:szCs w:val="20"/>
                <w:color w:val="auto"/>
              </w:rPr>
              <w:t>Title:</w:t>
            </w:r>
          </w:p>
        </w:tc>
        <w:tc>
          <w:tcPr>
            <w:tcW w:w="4060" w:type="dxa"/>
            <w:vAlign w:val="bottom"/>
          </w:tcPr>
          <w:p>
            <w:pPr>
              <w:spacing w:after="0"/>
              <w:rPr>
                <w:sz w:val="24"/>
                <w:szCs w:val="24"/>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r>
        <w:trPr>
          <w:trHeight w:val="453"/>
        </w:trPr>
        <w:tc>
          <w:tcPr>
            <w:tcW w:w="620" w:type="dxa"/>
            <w:vAlign w:val="bottom"/>
          </w:tcPr>
          <w:p>
            <w:pPr>
              <w:spacing w:after="0"/>
              <w:rPr>
                <w:sz w:val="20"/>
                <w:szCs w:val="20"/>
                <w:color w:val="auto"/>
              </w:rPr>
            </w:pPr>
            <w:r>
              <w:rPr>
                <w:rFonts w:ascii="Arial" w:cs="Arial" w:eastAsia="Arial" w:hAnsi="Arial"/>
                <w:sz w:val="20"/>
                <w:szCs w:val="20"/>
                <w:color w:val="auto"/>
              </w:rPr>
              <w:t>Date:</w:t>
            </w:r>
          </w:p>
        </w:tc>
        <w:tc>
          <w:tcPr>
            <w:tcW w:w="4420" w:type="dxa"/>
            <w:vAlign w:val="bottom"/>
            <w:gridSpan w:val="2"/>
          </w:tcPr>
          <w:p>
            <w:pPr>
              <w:ind w:left="80"/>
              <w:spacing w:after="0"/>
              <w:rPr>
                <w:sz w:val="20"/>
                <w:szCs w:val="20"/>
                <w:color w:val="auto"/>
              </w:rPr>
            </w:pPr>
            <w:r>
              <w:rPr>
                <w:rFonts w:ascii="Arial" w:cs="Arial" w:eastAsia="Arial" w:hAnsi="Arial"/>
                <w:sz w:val="20"/>
                <w:szCs w:val="20"/>
                <w:color w:val="auto"/>
              </w:rPr>
              <w:t>January 13, 2022</w:t>
            </w:r>
          </w:p>
        </w:tc>
        <w:tc>
          <w:tcPr>
            <w:tcW w:w="820" w:type="dxa"/>
            <w:vAlign w:val="bottom"/>
          </w:tcPr>
          <w:p>
            <w:pPr>
              <w:ind w:left="240"/>
              <w:spacing w:after="0"/>
              <w:rPr>
                <w:sz w:val="20"/>
                <w:szCs w:val="20"/>
                <w:color w:val="auto"/>
              </w:rPr>
            </w:pPr>
            <w:r>
              <w:rPr>
                <w:rFonts w:ascii="Arial" w:cs="Arial" w:eastAsia="Arial" w:hAnsi="Arial"/>
                <w:sz w:val="20"/>
                <w:szCs w:val="20"/>
                <w:color w:val="auto"/>
              </w:rPr>
              <w:t>Date:</w:t>
            </w:r>
          </w:p>
        </w:tc>
        <w:tc>
          <w:tcPr>
            <w:tcW w:w="4060" w:type="dxa"/>
            <w:vAlign w:val="bottom"/>
          </w:tcPr>
          <w:p>
            <w:pPr>
              <w:spacing w:after="0"/>
              <w:rPr>
                <w:sz w:val="20"/>
                <w:szCs w:val="20"/>
                <w:color w:val="auto"/>
              </w:rPr>
            </w:pPr>
            <w:r>
              <w:rPr>
                <w:rFonts w:ascii="Arial" w:cs="Arial" w:eastAsia="Arial" w:hAnsi="Arial"/>
                <w:sz w:val="20"/>
                <w:szCs w:val="20"/>
                <w:color w:val="auto"/>
              </w:rPr>
              <w:t>January 19, 2022</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6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60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40" w:name="page141"/>
    <w:bookmarkEnd w:id="140"/>
    <w:p>
      <w:pPr>
        <w:jc w:val="center"/>
        <w:ind w:right="19"/>
        <w:spacing w:after="0"/>
        <w:rPr>
          <w:sz w:val="20"/>
          <w:szCs w:val="20"/>
          <w:color w:val="auto"/>
        </w:rPr>
      </w:pPr>
      <w:r>
        <w:rPr>
          <w:rFonts w:ascii="Arial" w:cs="Arial" w:eastAsia="Arial" w:hAnsi="Arial"/>
          <w:sz w:val="20"/>
          <w:szCs w:val="20"/>
          <w:b w:val="1"/>
          <w:bCs w:val="1"/>
          <w:color w:val="auto"/>
        </w:rPr>
        <w:t>APPENDIX 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DEVELOPMENT PLAN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353060</wp:posOffset>
            </wp:positionV>
            <wp:extent cx="6292215" cy="260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46" w:right="1440" w:bottom="1440" w:gutter="0" w:footer="0" w:header="0"/>
        </w:sectPr>
      </w:pPr>
    </w:p>
    <w:bookmarkStart w:id="141" w:name="page142"/>
    <w:bookmarkEnd w:id="141"/>
    <w:p>
      <w:pPr>
        <w:jc w:val="center"/>
        <w:spacing w:after="0"/>
        <w:rPr>
          <w:sz w:val="20"/>
          <w:szCs w:val="20"/>
          <w:color w:val="auto"/>
        </w:rPr>
      </w:pPr>
      <w:r>
        <w:rPr>
          <w:rFonts w:ascii="Arial" w:cs="Arial" w:eastAsia="Arial" w:hAnsi="Arial"/>
          <w:sz w:val="20"/>
          <w:szCs w:val="20"/>
          <w:b w:val="1"/>
          <w:bCs w:val="1"/>
          <w:color w:val="auto"/>
        </w:rPr>
        <w:t>APPENDIX B</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Direct Costs Budget</w:t>
      </w:r>
    </w:p>
    <w:p>
      <w:pPr>
        <w:spacing w:after="0" w:line="200" w:lineRule="exact"/>
        <w:rPr>
          <w:sz w:val="20"/>
          <w:szCs w:val="20"/>
          <w:color w:val="auto"/>
        </w:rPr>
      </w:pPr>
    </w:p>
    <w:p>
      <w:pPr>
        <w:spacing w:after="0" w:line="234"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1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Study Arm</w:t>
            </w:r>
          </w:p>
        </w:tc>
        <w:tc>
          <w:tcPr>
            <w:tcW w:w="1440" w:type="dxa"/>
            <w:vAlign w:val="bottom"/>
            <w:tcBorders>
              <w:top w:val="single" w:sz="8" w:color="auto"/>
              <w:right w:val="single" w:sz="8" w:color="auto"/>
            </w:tcBorders>
          </w:tcPr>
          <w:p>
            <w:pPr>
              <w:spacing w:after="0"/>
              <w:rPr>
                <w:sz w:val="23"/>
                <w:szCs w:val="23"/>
                <w:color w:val="auto"/>
              </w:rPr>
            </w:pPr>
          </w:p>
        </w:tc>
        <w:tc>
          <w:tcPr>
            <w:tcW w:w="1660" w:type="dxa"/>
            <w:vAlign w:val="bottom"/>
            <w:tcBorders>
              <w:top w:val="single" w:sz="8" w:color="auto"/>
              <w:right w:val="single" w:sz="8" w:color="auto"/>
            </w:tcBorders>
          </w:tcPr>
          <w:p>
            <w:pPr>
              <w:spacing w:after="0"/>
              <w:rPr>
                <w:sz w:val="23"/>
                <w:szCs w:val="23"/>
                <w:color w:val="auto"/>
              </w:rPr>
            </w:pPr>
          </w:p>
        </w:tc>
        <w:tc>
          <w:tcPr>
            <w:tcW w:w="1600" w:type="dxa"/>
            <w:vAlign w:val="bottom"/>
            <w:tcBorders>
              <w:top w:val="single" w:sz="8" w:color="auto"/>
              <w:right w:val="single" w:sz="8" w:color="auto"/>
            </w:tcBorders>
          </w:tcPr>
          <w:p>
            <w:pPr>
              <w:spacing w:after="0"/>
              <w:rPr>
                <w:sz w:val="23"/>
                <w:szCs w:val="23"/>
                <w:color w:val="auto"/>
              </w:rPr>
            </w:pPr>
          </w:p>
        </w:tc>
        <w:tc>
          <w:tcPr>
            <w:tcW w:w="1660" w:type="dxa"/>
            <w:vAlign w:val="bottom"/>
            <w:tcBorders>
              <w:top w:val="single" w:sz="8" w:color="auto"/>
              <w:right w:val="single" w:sz="8" w:color="auto"/>
            </w:tcBorders>
          </w:tcPr>
          <w:p>
            <w:pPr>
              <w:spacing w:after="0"/>
              <w:rPr>
                <w:sz w:val="23"/>
                <w:szCs w:val="23"/>
                <w:color w:val="auto"/>
              </w:rPr>
            </w:pPr>
          </w:p>
        </w:tc>
        <w:tc>
          <w:tcPr>
            <w:tcW w:w="15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Est. Total Costs</w:t>
            </w:r>
          </w:p>
        </w:tc>
      </w:tr>
      <w:tr>
        <w:trPr>
          <w:trHeight w:val="392"/>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24"/>
        </w:trPr>
        <w:tc>
          <w:tcPr>
            <w:tcW w:w="1980" w:type="dxa"/>
            <w:vAlign w:val="bottom"/>
            <w:tcBorders>
              <w:left w:val="single" w:sz="8" w:color="auto"/>
              <w:right w:val="single" w:sz="8" w:color="auto"/>
            </w:tcBorders>
          </w:tcPr>
          <w:p>
            <w:pPr>
              <w:spacing w:after="0"/>
              <w:rPr>
                <w:sz w:val="19"/>
                <w:szCs w:val="19"/>
                <w:color w:val="auto"/>
              </w:rPr>
            </w:pPr>
          </w:p>
        </w:tc>
        <w:tc>
          <w:tcPr>
            <w:tcW w:w="14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spacing w:after="0"/>
              <w:rPr>
                <w:sz w:val="19"/>
                <w:szCs w:val="19"/>
                <w:color w:val="auto"/>
              </w:rPr>
            </w:pPr>
          </w:p>
        </w:tc>
      </w:tr>
      <w:tr>
        <w:trPr>
          <w:trHeight w:val="404"/>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OP-1250+Kisqali</w:t>
            </w:r>
          </w:p>
        </w:tc>
        <w:tc>
          <w:tcPr>
            <w:tcW w:w="14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392"/>
        </w:trPr>
        <w:tc>
          <w:tcPr>
            <w:tcW w:w="1980" w:type="dxa"/>
            <w:vAlign w:val="bottom"/>
            <w:tcBorders>
              <w:left w:val="single" w:sz="8" w:color="auto"/>
              <w:bottom w:val="single" w:sz="8" w:color="auto"/>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600" w:type="dxa"/>
            <w:vAlign w:val="bottom"/>
            <w:tcBorders>
              <w:bottom w:val="single" w:sz="8" w:color="auto"/>
              <w:right w:val="single" w:sz="8" w:color="auto"/>
            </w:tcBorders>
          </w:tcPr>
          <w:p>
            <w:pPr>
              <w:spacing w:after="0"/>
              <w:rPr>
                <w:sz w:val="24"/>
                <w:szCs w:val="24"/>
                <w:color w:val="auto"/>
              </w:rPr>
            </w:pPr>
          </w:p>
        </w:tc>
        <w:tc>
          <w:tcPr>
            <w:tcW w:w="166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r>
      <w:tr>
        <w:trPr>
          <w:trHeight w:val="250"/>
        </w:trPr>
        <w:tc>
          <w:tcPr>
            <w:tcW w:w="1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2"/>
              </w:rPr>
              <w:t>OP-1250+Piqray</w:t>
            </w:r>
          </w:p>
        </w:tc>
        <w:tc>
          <w:tcPr>
            <w:tcW w:w="1440" w:type="dxa"/>
            <w:vAlign w:val="bottom"/>
            <w:tcBorders>
              <w:right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6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660" w:type="dxa"/>
            <w:vAlign w:val="bottom"/>
            <w:tcBorders>
              <w:right w:val="single" w:sz="8" w:color="auto"/>
            </w:tcBorders>
          </w:tcPr>
          <w:p>
            <w:pPr>
              <w:jc w:val="right"/>
              <w:ind w:right="570"/>
              <w:spacing w:after="0"/>
              <w:rPr>
                <w:sz w:val="20"/>
                <w:szCs w:val="20"/>
                <w:color w:val="auto"/>
              </w:rPr>
            </w:pPr>
            <w:r>
              <w:rPr>
                <w:rFonts w:ascii="Arial" w:cs="Arial" w:eastAsia="Arial" w:hAnsi="Arial"/>
                <w:sz w:val="18"/>
                <w:szCs w:val="18"/>
                <w:color w:val="auto"/>
              </w:rPr>
              <w:t>[***]</w:t>
            </w:r>
          </w:p>
        </w:tc>
        <w:tc>
          <w:tcPr>
            <w:tcW w:w="15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162"/>
        </w:trPr>
        <w:tc>
          <w:tcPr>
            <w:tcW w:w="1980" w:type="dxa"/>
            <w:vAlign w:val="bottom"/>
            <w:tcBorders>
              <w:left w:val="single" w:sz="8" w:color="auto"/>
              <w:bottom w:val="single" w:sz="8" w:color="auto"/>
              <w:right w:val="single" w:sz="8" w:color="auto"/>
            </w:tcBorders>
          </w:tcPr>
          <w:p>
            <w:pPr>
              <w:spacing w:after="0"/>
              <w:rPr>
                <w:sz w:val="14"/>
                <w:szCs w:val="14"/>
                <w:color w:val="auto"/>
              </w:rPr>
            </w:pPr>
          </w:p>
        </w:tc>
        <w:tc>
          <w:tcPr>
            <w:tcW w:w="144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600" w:type="dxa"/>
            <w:vAlign w:val="bottom"/>
            <w:tcBorders>
              <w:bottom w:val="single" w:sz="8" w:color="auto"/>
              <w:right w:val="single" w:sz="8" w:color="auto"/>
            </w:tcBorders>
          </w:tcPr>
          <w:p>
            <w:pPr>
              <w:spacing w:after="0"/>
              <w:rPr>
                <w:sz w:val="14"/>
                <w:szCs w:val="14"/>
                <w:color w:val="auto"/>
              </w:rPr>
            </w:pPr>
          </w:p>
        </w:tc>
        <w:tc>
          <w:tcPr>
            <w:tcW w:w="1660" w:type="dxa"/>
            <w:vAlign w:val="bottom"/>
            <w:tcBorders>
              <w:bottom w:val="single" w:sz="8" w:color="auto"/>
              <w:right w:val="single" w:sz="8" w:color="auto"/>
            </w:tcBorders>
          </w:tcPr>
          <w:p>
            <w:pPr>
              <w:spacing w:after="0"/>
              <w:rPr>
                <w:sz w:val="14"/>
                <w:szCs w:val="14"/>
                <w:color w:val="auto"/>
              </w:rPr>
            </w:pPr>
          </w:p>
        </w:tc>
        <w:tc>
          <w:tcPr>
            <w:tcW w:w="1580" w:type="dxa"/>
            <w:vAlign w:val="bottom"/>
            <w:tcBorders>
              <w:bottom w:val="single" w:sz="8" w:color="auto"/>
              <w:right w:val="single" w:sz="8" w:color="auto"/>
            </w:tcBorders>
          </w:tcPr>
          <w:p>
            <w:pPr>
              <w:spacing w:after="0"/>
              <w:rPr>
                <w:sz w:val="14"/>
                <w:szCs w:val="14"/>
                <w:color w:val="auto"/>
              </w:rPr>
            </w:pPr>
          </w:p>
        </w:tc>
      </w:tr>
    </w:tbl>
    <w:p>
      <w:pPr>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7"/>
          <w:szCs w:val="17"/>
          <w:color w:val="auto"/>
        </w:rPr>
        <w:t>[***]. NOTE: Estimated Study Total Cost does not include [***]. See below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381635</wp:posOffset>
            </wp:positionV>
            <wp:extent cx="6292215" cy="11226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0">
                      <a:extLst>
                        <a:ext uri="{28A0092B-C50C-407E-A947-70E740481C1C}"/>
                      </a:extLst>
                    </a:blip>
                    <a:srcRect/>
                    <a:stretch>
                      <a:fillRect/>
                    </a:stretch>
                  </pic:blipFill>
                  <pic:spPr bwMode="auto">
                    <a:xfrm>
                      <a:off x="0" y="0"/>
                      <a:ext cx="6292215" cy="112268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460" w:type="dxa"/>
            <w:vAlign w:val="bottom"/>
            <w:tcBorders>
              <w:top w:val="single" w:sz="8" w:color="auto"/>
            </w:tcBorders>
          </w:tcPr>
          <w:p>
            <w:pPr>
              <w:spacing w:after="0"/>
              <w:rPr>
                <w:sz w:val="23"/>
                <w:szCs w:val="23"/>
                <w:color w:val="auto"/>
              </w:rPr>
            </w:pPr>
          </w:p>
        </w:tc>
        <w:tc>
          <w:tcPr>
            <w:tcW w:w="152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tcPr>
          <w:p>
            <w:pPr>
              <w:jc w:val="right"/>
              <w:ind w:right="590"/>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color w:val="auto"/>
              </w:rPr>
              <w:t>[***]</w:t>
            </w:r>
          </w:p>
        </w:tc>
        <w:tc>
          <w:tcPr>
            <w:tcW w:w="2140" w:type="dxa"/>
            <w:vAlign w:val="bottom"/>
            <w:tcBorders>
              <w:top w:val="single" w:sz="8" w:color="auto"/>
            </w:tcBorders>
          </w:tcPr>
          <w:p>
            <w:pPr>
              <w:jc w:val="center"/>
              <w:ind w:left="87"/>
              <w:spacing w:after="0"/>
              <w:rPr>
                <w:sz w:val="20"/>
                <w:szCs w:val="20"/>
                <w:color w:val="auto"/>
              </w:rPr>
            </w:pPr>
            <w:r>
              <w:rPr>
                <w:rFonts w:ascii="Arial" w:cs="Arial" w:eastAsia="Arial" w:hAnsi="Arial"/>
                <w:sz w:val="20"/>
                <w:szCs w:val="20"/>
                <w:b w:val="1"/>
                <w:bCs w:val="1"/>
                <w:color w:val="auto"/>
                <w:w w:val="87"/>
              </w:rPr>
              <w:t>Est. Total Costs</w:t>
            </w:r>
          </w:p>
        </w:tc>
      </w:tr>
      <w:tr>
        <w:trPr>
          <w:trHeight w:val="392"/>
        </w:trPr>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50"/>
        </w:trPr>
        <w:tc>
          <w:tcPr>
            <w:tcW w:w="1460" w:type="dxa"/>
            <w:vAlign w:val="bottom"/>
          </w:tcPr>
          <w:p>
            <w:pPr>
              <w:ind w:left="400"/>
              <w:spacing w:after="0"/>
              <w:rPr>
                <w:sz w:val="20"/>
                <w:szCs w:val="20"/>
                <w:color w:val="auto"/>
              </w:rPr>
            </w:pPr>
            <w:r>
              <w:rPr>
                <w:rFonts w:ascii="Arial" w:cs="Arial" w:eastAsia="Arial" w:hAnsi="Arial"/>
                <w:sz w:val="20"/>
                <w:szCs w:val="20"/>
                <w:b w:val="1"/>
                <w:bCs w:val="1"/>
                <w:color w:val="auto"/>
              </w:rPr>
              <w:t>Year 1</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140" w:type="dxa"/>
            <w:vAlign w:val="bottom"/>
          </w:tcPr>
          <w:p>
            <w:pPr>
              <w:jc w:val="center"/>
              <w:ind w:left="107"/>
              <w:spacing w:after="0"/>
              <w:rPr>
                <w:sz w:val="20"/>
                <w:szCs w:val="20"/>
                <w:color w:val="auto"/>
              </w:rPr>
            </w:pPr>
            <w:r>
              <w:rPr>
                <w:rFonts w:ascii="Arial" w:cs="Arial" w:eastAsia="Arial" w:hAnsi="Arial"/>
                <w:sz w:val="18"/>
                <w:szCs w:val="18"/>
                <w:color w:val="auto"/>
              </w:rPr>
              <w:t>[***]</w:t>
            </w:r>
          </w:p>
        </w:tc>
      </w:tr>
      <w:tr>
        <w:trPr>
          <w:trHeight w:val="392"/>
        </w:trPr>
        <w:tc>
          <w:tcPr>
            <w:tcW w:w="1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r>
      <w:tr>
        <w:trPr>
          <w:trHeight w:val="250"/>
        </w:trPr>
        <w:tc>
          <w:tcPr>
            <w:tcW w:w="1460" w:type="dxa"/>
            <w:vAlign w:val="bottom"/>
          </w:tcPr>
          <w:p>
            <w:pPr>
              <w:ind w:left="400"/>
              <w:spacing w:after="0"/>
              <w:rPr>
                <w:sz w:val="20"/>
                <w:szCs w:val="20"/>
                <w:color w:val="auto"/>
              </w:rPr>
            </w:pPr>
            <w:r>
              <w:rPr>
                <w:rFonts w:ascii="Arial" w:cs="Arial" w:eastAsia="Arial" w:hAnsi="Arial"/>
                <w:sz w:val="20"/>
                <w:szCs w:val="20"/>
                <w:b w:val="1"/>
                <w:bCs w:val="1"/>
                <w:color w:val="auto"/>
              </w:rPr>
              <w:t>Year 2</w:t>
            </w:r>
          </w:p>
        </w:tc>
        <w:tc>
          <w:tcPr>
            <w:tcW w:w="1520" w:type="dxa"/>
            <w:vAlign w:val="bottom"/>
          </w:tcPr>
          <w:p>
            <w:pPr>
              <w:jc w:val="right"/>
              <w:ind w:right="53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64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140" w:type="dxa"/>
            <w:vAlign w:val="bottom"/>
          </w:tcPr>
          <w:p>
            <w:pPr>
              <w:jc w:val="center"/>
              <w:ind w:left="107"/>
              <w:spacing w:after="0"/>
              <w:rPr>
                <w:sz w:val="20"/>
                <w:szCs w:val="20"/>
                <w:color w:val="auto"/>
              </w:rPr>
            </w:pPr>
            <w:r>
              <w:rPr>
                <w:rFonts w:ascii="Arial" w:cs="Arial" w:eastAsia="Arial" w:hAnsi="Arial"/>
                <w:sz w:val="18"/>
                <w:szCs w:val="18"/>
                <w:color w:val="auto"/>
              </w:rPr>
              <w:t>[***]</w:t>
            </w:r>
          </w:p>
        </w:tc>
      </w:tr>
    </w:tbl>
    <w:p>
      <w:pPr>
        <w:spacing w:after="0" w:line="159"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 excludes </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42" w:name="page143"/>
    <w:bookmarkEnd w:id="142"/>
    <w:p>
      <w:pPr>
        <w:jc w:val="center"/>
        <w:spacing w:after="0"/>
        <w:rPr>
          <w:sz w:val="20"/>
          <w:szCs w:val="20"/>
          <w:color w:val="auto"/>
        </w:rPr>
      </w:pPr>
      <w:r>
        <w:rPr>
          <w:rFonts w:ascii="Arial" w:cs="Arial" w:eastAsia="Arial" w:hAnsi="Arial"/>
          <w:sz w:val="20"/>
          <w:szCs w:val="20"/>
          <w:b w:val="1"/>
          <w:bCs w:val="1"/>
          <w:color w:val="auto"/>
        </w:rPr>
        <w:t>APPENDIX C</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Sample Invoice to Novartis</w:t>
      </w:r>
    </w:p>
    <w:p>
      <w:pPr>
        <w:spacing w:after="0" w:line="353"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3320" w:type="dxa"/>
            <w:vAlign w:val="bottom"/>
            <w:tcBorders>
              <w:top w:val="single" w:sz="8" w:color="auto"/>
              <w:left w:val="single" w:sz="8" w:color="auto"/>
              <w:right w:val="single" w:sz="8" w:color="auto"/>
            </w:tcBorders>
          </w:tcPr>
          <w:p>
            <w:pPr>
              <w:jc w:val="right"/>
              <w:ind w:right="2730"/>
              <w:spacing w:after="0"/>
              <w:rPr>
                <w:sz w:val="20"/>
                <w:szCs w:val="20"/>
                <w:color w:val="auto"/>
              </w:rPr>
            </w:pPr>
            <w:r>
              <w:rPr>
                <w:rFonts w:ascii="Arial" w:cs="Arial" w:eastAsia="Arial" w:hAnsi="Arial"/>
                <w:sz w:val="18"/>
                <w:szCs w:val="18"/>
                <w:color w:val="auto"/>
              </w:rPr>
              <w:t>[***]</w:t>
            </w:r>
          </w:p>
        </w:tc>
        <w:tc>
          <w:tcPr>
            <w:tcW w:w="3300" w:type="dxa"/>
            <w:vAlign w:val="bottom"/>
            <w:tcBorders>
              <w:top w:val="single" w:sz="8" w:color="auto"/>
              <w:right w:val="single" w:sz="8" w:color="auto"/>
            </w:tcBorders>
          </w:tcPr>
          <w:p>
            <w:pPr>
              <w:jc w:val="right"/>
              <w:ind w:right="2730"/>
              <w:spacing w:after="0"/>
              <w:rPr>
                <w:sz w:val="20"/>
                <w:szCs w:val="20"/>
                <w:color w:val="auto"/>
              </w:rPr>
            </w:pPr>
            <w:r>
              <w:rPr>
                <w:rFonts w:ascii="Arial" w:cs="Arial" w:eastAsia="Arial" w:hAnsi="Arial"/>
                <w:sz w:val="18"/>
                <w:szCs w:val="18"/>
                <w:color w:val="auto"/>
              </w:rPr>
              <w:t>[***]</w:t>
            </w:r>
          </w:p>
        </w:tc>
        <w:tc>
          <w:tcPr>
            <w:tcW w:w="3300" w:type="dxa"/>
            <w:vAlign w:val="bottom"/>
            <w:tcBorders>
              <w:top w:val="single" w:sz="8" w:color="auto"/>
              <w:right w:val="single" w:sz="8" w:color="auto"/>
            </w:tcBorders>
          </w:tcPr>
          <w:p>
            <w:pPr>
              <w:jc w:val="right"/>
              <w:ind w:right="2730"/>
              <w:spacing w:after="0"/>
              <w:rPr>
                <w:sz w:val="20"/>
                <w:szCs w:val="20"/>
                <w:color w:val="auto"/>
              </w:rPr>
            </w:pPr>
            <w:r>
              <w:rPr>
                <w:rFonts w:ascii="Arial" w:cs="Arial" w:eastAsia="Arial" w:hAnsi="Arial"/>
                <w:sz w:val="18"/>
                <w:szCs w:val="18"/>
                <w:color w:val="auto"/>
              </w:rPr>
              <w:t>[***]</w:t>
            </w:r>
          </w:p>
        </w:tc>
      </w:tr>
      <w:tr>
        <w:trPr>
          <w:trHeight w:val="458"/>
        </w:trPr>
        <w:tc>
          <w:tcPr>
            <w:tcW w:w="3320" w:type="dxa"/>
            <w:vAlign w:val="bottom"/>
            <w:tcBorders>
              <w:left w:val="single" w:sz="8" w:color="auto"/>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c>
          <w:tcPr>
            <w:tcW w:w="33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APPENDIX D</w:t>
      </w:r>
    </w:p>
    <w:p>
      <w:pPr>
        <w:jc w:val="center"/>
        <w:spacing w:after="0"/>
        <w:rPr>
          <w:sz w:val="20"/>
          <w:szCs w:val="20"/>
          <w:color w:val="auto"/>
        </w:rPr>
      </w:pPr>
      <w:r>
        <w:rPr>
          <w:rFonts w:ascii="Arial" w:cs="Arial" w:eastAsia="Arial" w:hAnsi="Arial"/>
          <w:sz w:val="20"/>
          <w:szCs w:val="20"/>
          <w:b w:val="1"/>
          <w:bCs w:val="1"/>
          <w:color w:val="auto"/>
        </w:rPr>
        <w:t>Protocol Synopsis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291465</wp:posOffset>
            </wp:positionV>
            <wp:extent cx="6292215" cy="4540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2">
                      <a:extLst>
                        <a:ext uri="{28A0092B-C50C-407E-A947-70E740481C1C}"/>
                      </a:extLst>
                    </a:blip>
                    <a:srcRect/>
                    <a:stretch>
                      <a:fillRect/>
                    </a:stretch>
                  </pic:blipFill>
                  <pic:spPr bwMode="auto">
                    <a:xfrm>
                      <a:off x="0" y="0"/>
                      <a:ext cx="629221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4760"/>
        <w:spacing w:after="0"/>
        <w:tabs>
          <w:tab w:leader="none" w:pos="69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353060</wp:posOffset>
            </wp:positionV>
            <wp:extent cx="629221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346" w:right="99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10.2</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March 21, 2023</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Cyrus Harmon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Cyrus:</w:t>
      </w:r>
    </w:p>
    <w:p>
      <w:pPr>
        <w:spacing w:after="0" w:line="200"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This letter sets forth the substance of the separation agreement (the “</w:t>
      </w:r>
      <w:r>
        <w:rPr>
          <w:rFonts w:ascii="Arial" w:cs="Arial" w:eastAsia="Arial" w:hAnsi="Arial"/>
          <w:sz w:val="22"/>
          <w:szCs w:val="22"/>
          <w:b w:val="1"/>
          <w:bCs w:val="1"/>
          <w:color w:val="auto"/>
        </w:rPr>
        <w:t>Agreement</w:t>
      </w:r>
      <w:r>
        <w:rPr>
          <w:rFonts w:ascii="Arial" w:cs="Arial" w:eastAsia="Arial" w:hAnsi="Arial"/>
          <w:sz w:val="22"/>
          <w:szCs w:val="22"/>
          <w:color w:val="auto"/>
        </w:rPr>
        <w:t>”) that Olema Pharmaceuticals, Inc. (the “</w:t>
      </w:r>
      <w:r>
        <w:rPr>
          <w:rFonts w:ascii="Arial" w:cs="Arial" w:eastAsia="Arial" w:hAnsi="Arial"/>
          <w:sz w:val="22"/>
          <w:szCs w:val="22"/>
          <w:b w:val="1"/>
          <w:bCs w:val="1"/>
          <w:color w:val="auto"/>
        </w:rPr>
        <w:t>Company</w:t>
      </w:r>
      <w:r>
        <w:rPr>
          <w:rFonts w:ascii="Arial" w:cs="Arial" w:eastAsia="Arial" w:hAnsi="Arial"/>
          <w:sz w:val="22"/>
          <w:szCs w:val="22"/>
          <w:color w:val="auto"/>
        </w:rPr>
        <w:t>”) is offering to you to aid in your employment transition.</w:t>
      </w:r>
    </w:p>
    <w:p>
      <w:pPr>
        <w:spacing w:after="0" w:line="162" w:lineRule="exact"/>
        <w:rPr>
          <w:sz w:val="20"/>
          <w:szCs w:val="20"/>
          <w:color w:val="auto"/>
        </w:rPr>
      </w:pPr>
    </w:p>
    <w:p>
      <w:pPr>
        <w:jc w:val="both"/>
        <w:ind w:firstLine="656"/>
        <w:spacing w:after="0" w:line="243" w:lineRule="auto"/>
        <w:tabs>
          <w:tab w:leader="none" w:pos="1296" w:val="left"/>
        </w:tabs>
        <w:numPr>
          <w:ilvl w:val="1"/>
          <w:numId w:val="105"/>
        </w:numPr>
        <w:rPr>
          <w:rFonts w:ascii="Arial" w:cs="Arial" w:eastAsia="Arial" w:hAnsi="Arial"/>
          <w:sz w:val="22"/>
          <w:szCs w:val="22"/>
          <w:b w:val="1"/>
          <w:bCs w:val="1"/>
          <w:color w:val="auto"/>
        </w:rPr>
      </w:pPr>
      <w:r>
        <w:rPr>
          <w:rFonts w:ascii="Arial" w:cs="Arial" w:eastAsia="Arial" w:hAnsi="Arial"/>
          <w:sz w:val="22"/>
          <w:szCs w:val="22"/>
          <w:b w:val="1"/>
          <w:bCs w:val="1"/>
          <w:color w:val="auto"/>
        </w:rPr>
        <w:t>SEPARATION</w:t>
      </w:r>
      <w:r>
        <w:rPr>
          <w:rFonts w:ascii="Arial" w:cs="Arial" w:eastAsia="Arial" w:hAnsi="Arial"/>
          <w:sz w:val="22"/>
          <w:szCs w:val="22"/>
          <w:color w:val="auto"/>
        </w:rPr>
        <w:t>. Your employment termination date will be March 24, 2023 (the “</w:t>
      </w:r>
      <w:r>
        <w:rPr>
          <w:rFonts w:ascii="Arial" w:cs="Arial" w:eastAsia="Arial" w:hAnsi="Arial"/>
          <w:sz w:val="22"/>
          <w:szCs w:val="22"/>
          <w:b w:val="1"/>
          <w:bCs w:val="1"/>
          <w:color w:val="auto"/>
        </w:rPr>
        <w:t>Separation Date</w:t>
      </w:r>
      <w:r>
        <w:rPr>
          <w:rFonts w:ascii="Arial" w:cs="Arial" w:eastAsia="Arial" w:hAnsi="Arial"/>
          <w:sz w:val="22"/>
          <w:szCs w:val="22"/>
          <w:color w:val="auto"/>
        </w:rPr>
        <w:t>”). Notwithstanding the termination of your employment relationship, you will remain a member of the</w:t>
      </w:r>
      <w:r>
        <w:rPr>
          <w:rFonts w:ascii="Arial" w:cs="Arial" w:eastAsia="Arial" w:hAnsi="Arial"/>
          <w:sz w:val="22"/>
          <w:szCs w:val="22"/>
          <w:b w:val="1"/>
          <w:bCs w:val="1"/>
          <w:color w:val="auto"/>
        </w:rPr>
        <w:t xml:space="preserve"> </w:t>
      </w:r>
      <w:r>
        <w:rPr>
          <w:rFonts w:ascii="Arial" w:cs="Arial" w:eastAsia="Arial" w:hAnsi="Arial"/>
          <w:sz w:val="22"/>
          <w:szCs w:val="22"/>
          <w:color w:val="auto"/>
        </w:rPr>
        <w:t>Company’s Board of Directors (the “</w:t>
      </w:r>
      <w:r>
        <w:rPr>
          <w:rFonts w:ascii="Arial" w:cs="Arial" w:eastAsia="Arial" w:hAnsi="Arial"/>
          <w:sz w:val="22"/>
          <w:szCs w:val="22"/>
          <w:b w:val="1"/>
          <w:bCs w:val="1"/>
          <w:color w:val="auto"/>
        </w:rPr>
        <w:t>Board</w:t>
      </w:r>
      <w:r>
        <w:rPr>
          <w:rFonts w:ascii="Arial" w:cs="Arial" w:eastAsia="Arial" w:hAnsi="Arial"/>
          <w:sz w:val="22"/>
          <w:szCs w:val="22"/>
          <w:color w:val="auto"/>
        </w:rPr>
        <w:t>”).</w:t>
      </w:r>
    </w:p>
    <w:p>
      <w:pPr>
        <w:spacing w:after="0" w:line="176" w:lineRule="exact"/>
        <w:rPr>
          <w:rFonts w:ascii="Arial" w:cs="Arial" w:eastAsia="Arial" w:hAnsi="Arial"/>
          <w:sz w:val="22"/>
          <w:szCs w:val="22"/>
          <w:b w:val="1"/>
          <w:bCs w:val="1"/>
          <w:color w:val="auto"/>
        </w:rPr>
      </w:pPr>
    </w:p>
    <w:p>
      <w:pPr>
        <w:jc w:val="both"/>
        <w:ind w:firstLine="656"/>
        <w:spacing w:after="0" w:line="289" w:lineRule="auto"/>
        <w:tabs>
          <w:tab w:leader="none" w:pos="1296" w:val="left"/>
        </w:tabs>
        <w:numPr>
          <w:ilvl w:val="1"/>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ACCRUED SALARY</w:t>
      </w:r>
      <w:r>
        <w:rPr>
          <w:rFonts w:ascii="Arial" w:cs="Arial" w:eastAsia="Arial" w:hAnsi="Arial"/>
          <w:sz w:val="19"/>
          <w:szCs w:val="19"/>
          <w:color w:val="auto"/>
        </w:rPr>
        <w:t>. On the Separation Date, the Company will pay you all accrued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earned through the Separation Date, subject to standard payroll deductions and withholdings. You are entitled to this payment by law. Because the Company has a nonaccrual vacation/PTO policy, you do not have any accrued vacation or other paid time off and thus will not be paid out for any accrued vacation or other paid time off.</w:t>
      </w:r>
    </w:p>
    <w:p>
      <w:pPr>
        <w:spacing w:after="0" w:line="135" w:lineRule="exact"/>
        <w:rPr>
          <w:rFonts w:ascii="Arial" w:cs="Arial" w:eastAsia="Arial" w:hAnsi="Arial"/>
          <w:sz w:val="19"/>
          <w:szCs w:val="19"/>
          <w:b w:val="1"/>
          <w:bCs w:val="1"/>
          <w:color w:val="auto"/>
        </w:rPr>
      </w:pPr>
    </w:p>
    <w:p>
      <w:pPr>
        <w:ind w:firstLine="656"/>
        <w:spacing w:after="0" w:line="334" w:lineRule="auto"/>
        <w:tabs>
          <w:tab w:leader="none" w:pos="1296" w:val="left"/>
        </w:tabs>
        <w:numPr>
          <w:ilvl w:val="1"/>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BENEFITS. </w:t>
      </w:r>
      <w:r>
        <w:rPr>
          <w:rFonts w:ascii="Arial" w:cs="Arial" w:eastAsia="Arial" w:hAnsi="Arial"/>
          <w:sz w:val="19"/>
          <w:szCs w:val="19"/>
          <w:color w:val="auto"/>
        </w:rPr>
        <w:t>If you timely sign this Agreement, allow it to become effective,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your obligations under it, then the Company will provide you the following severance benefits:</w:t>
      </w:r>
    </w:p>
    <w:p>
      <w:pPr>
        <w:spacing w:after="0" w:line="93" w:lineRule="exact"/>
        <w:rPr>
          <w:rFonts w:ascii="Arial" w:cs="Arial" w:eastAsia="Arial" w:hAnsi="Arial"/>
          <w:sz w:val="19"/>
          <w:szCs w:val="19"/>
          <w:b w:val="1"/>
          <w:bCs w:val="1"/>
          <w:color w:val="auto"/>
        </w:rPr>
      </w:pPr>
    </w:p>
    <w:p>
      <w:pPr>
        <w:ind w:left="1960" w:hanging="656"/>
        <w:spacing w:after="0"/>
        <w:tabs>
          <w:tab w:leader="none" w:pos="1960" w:val="left"/>
        </w:tabs>
        <w:numPr>
          <w:ilvl w:val="2"/>
          <w:numId w:val="105"/>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Payment. </w:t>
      </w:r>
      <w:r>
        <w:rPr>
          <w:rFonts w:ascii="Arial" w:cs="Arial" w:eastAsia="Arial" w:hAnsi="Arial"/>
          <w:sz w:val="19"/>
          <w:szCs w:val="19"/>
          <w:color w:val="auto"/>
        </w:rPr>
        <w:t>The Company will pay you a lump-sum severance payment equal to</w:t>
      </w:r>
    </w:p>
    <w:p>
      <w:pPr>
        <w:spacing w:after="0" w:line="48" w:lineRule="exact"/>
        <w:rPr>
          <w:rFonts w:ascii="Arial" w:cs="Arial" w:eastAsia="Arial" w:hAnsi="Arial"/>
          <w:sz w:val="19"/>
          <w:szCs w:val="19"/>
          <w:b w:val="1"/>
          <w:bCs w:val="1"/>
          <w:color w:val="auto"/>
        </w:rPr>
      </w:pPr>
    </w:p>
    <w:p>
      <w:pPr>
        <w:jc w:val="both"/>
        <w:ind w:firstLine="8"/>
        <w:spacing w:after="0" w:line="287" w:lineRule="auto"/>
        <w:tabs>
          <w:tab w:leader="none" w:pos="262" w:val="left"/>
        </w:tabs>
        <w:numPr>
          <w:ilvl w:val="0"/>
          <w:numId w:val="106"/>
        </w:numPr>
        <w:rPr>
          <w:rFonts w:ascii="Arial" w:cs="Arial" w:eastAsia="Arial" w:hAnsi="Arial"/>
          <w:sz w:val="19"/>
          <w:szCs w:val="19"/>
          <w:color w:val="auto"/>
        </w:rPr>
      </w:pPr>
      <w:r>
        <w:rPr>
          <w:rFonts w:ascii="Arial" w:cs="Arial" w:eastAsia="Arial" w:hAnsi="Arial"/>
          <w:sz w:val="19"/>
          <w:szCs w:val="19"/>
          <w:color w:val="auto"/>
        </w:rPr>
        <w:t>12 months of your base salary in effect as of the Separation Date, plus (ii) your target bonus for 2023, prorated based on your months of service as an employee during 2023. This severance payment will be subject to standard payroll deductions and withholdings and paid no later than on the 60</w:t>
      </w:r>
      <w:r>
        <w:rPr>
          <w:rFonts w:ascii="Arial" w:cs="Arial" w:eastAsia="Arial" w:hAnsi="Arial"/>
          <w:sz w:val="14"/>
          <w:szCs w:val="14"/>
          <w:color w:val="auto"/>
        </w:rPr>
        <w:t>th</w:t>
      </w:r>
      <w:r>
        <w:rPr>
          <w:rFonts w:ascii="Arial" w:cs="Arial" w:eastAsia="Arial" w:hAnsi="Arial"/>
          <w:sz w:val="19"/>
          <w:szCs w:val="19"/>
          <w:color w:val="auto"/>
        </w:rPr>
        <w:t xml:space="preserve"> day following the Separation Date.</w:t>
      </w:r>
    </w:p>
    <w:p>
      <w:pPr>
        <w:spacing w:after="0" w:line="143" w:lineRule="exact"/>
        <w:rPr>
          <w:rFonts w:ascii="Arial" w:cs="Arial" w:eastAsia="Arial" w:hAnsi="Arial"/>
          <w:sz w:val="19"/>
          <w:szCs w:val="19"/>
          <w:color w:val="auto"/>
        </w:rPr>
      </w:pPr>
    </w:p>
    <w:p>
      <w:pPr>
        <w:ind w:firstLine="1304"/>
        <w:spacing w:after="0" w:line="273" w:lineRule="auto"/>
        <w:tabs>
          <w:tab w:leader="none" w:pos="1944" w:val="left"/>
        </w:tabs>
        <w:numPr>
          <w:ilvl w:val="2"/>
          <w:numId w:val="106"/>
        </w:numPr>
        <w:rPr>
          <w:rFonts w:ascii="Arial" w:cs="Arial" w:eastAsia="Arial" w:hAnsi="Arial"/>
          <w:sz w:val="19"/>
          <w:szCs w:val="19"/>
          <w:b w:val="1"/>
          <w:bCs w:val="1"/>
          <w:color w:val="auto"/>
        </w:rPr>
      </w:pPr>
      <w:r>
        <w:rPr>
          <w:rFonts w:ascii="Arial" w:cs="Arial" w:eastAsia="Arial" w:hAnsi="Arial"/>
          <w:sz w:val="19"/>
          <w:szCs w:val="19"/>
          <w:color w:val="auto"/>
        </w:rPr>
        <w:t>To the extent provided by the federal COBRA law or, if applicable, 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As an additional severance benefit under this Agreement, provided that you timely elect continued coverage under COBRA, then the Company will pay you a lump-sum amount of $51,408 which is equal to the COBRA premiums to continue your health insurance for one year following the Separation Date. This payment will be subject to standard payroll deductions and withholdings and paid with the severance payment under Section 3(a) above. You may, but are not required to, use this payment for health insurance premiums.</w:t>
      </w:r>
    </w:p>
    <w:p>
      <w:pPr>
        <w:spacing w:after="0" w:line="154" w:lineRule="exact"/>
        <w:rPr>
          <w:rFonts w:ascii="Arial" w:cs="Arial" w:eastAsia="Arial" w:hAnsi="Arial"/>
          <w:sz w:val="19"/>
          <w:szCs w:val="19"/>
          <w:b w:val="1"/>
          <w:bCs w:val="1"/>
          <w:color w:val="auto"/>
        </w:rPr>
      </w:pPr>
    </w:p>
    <w:p>
      <w:pPr>
        <w:jc w:val="both"/>
        <w:ind w:firstLine="656"/>
        <w:spacing w:after="0" w:line="243" w:lineRule="auto"/>
        <w:tabs>
          <w:tab w:leader="none" w:pos="972" w:val="left"/>
        </w:tabs>
        <w:numPr>
          <w:ilvl w:val="1"/>
          <w:numId w:val="10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EQUITY AWARDS. </w:t>
      </w:r>
      <w:r>
        <w:rPr>
          <w:rFonts w:ascii="Arial" w:cs="Arial" w:eastAsia="Arial" w:hAnsi="Arial"/>
          <w:sz w:val="22"/>
          <w:szCs w:val="22"/>
          <w:color w:val="auto"/>
        </w:rPr>
        <w:t>Because your service as a member of the Board will be continuous, your</w:t>
      </w:r>
      <w:r>
        <w:rPr>
          <w:rFonts w:ascii="Arial" w:cs="Arial" w:eastAsia="Arial" w:hAnsi="Arial"/>
          <w:sz w:val="22"/>
          <w:szCs w:val="22"/>
          <w:b w:val="1"/>
          <w:bCs w:val="1"/>
          <w:color w:val="auto"/>
        </w:rPr>
        <w:t xml:space="preserve"> </w:t>
      </w:r>
      <w:r>
        <w:rPr>
          <w:rFonts w:ascii="Arial" w:cs="Arial" w:eastAsia="Arial" w:hAnsi="Arial"/>
          <w:sz w:val="22"/>
          <w:szCs w:val="22"/>
          <w:color w:val="auto"/>
        </w:rPr>
        <w:t>termination of employment will not constitute a termination of service. Thus, vesting of your outstanding equity awards to acquire the Company’s common stock (the “</w:t>
      </w:r>
      <w:r>
        <w:rPr>
          <w:rFonts w:ascii="Arial" w:cs="Arial" w:eastAsia="Arial" w:hAnsi="Arial"/>
          <w:sz w:val="22"/>
          <w:szCs w:val="22"/>
          <w:b w:val="1"/>
          <w:bCs w:val="1"/>
          <w:color w:val="auto"/>
        </w:rPr>
        <w:t>Equity Awards</w:t>
      </w:r>
      <w:r>
        <w:rPr>
          <w:rFonts w:ascii="Arial" w:cs="Arial" w:eastAsia="Arial" w:hAnsi="Arial"/>
          <w:sz w:val="22"/>
          <w:szCs w:val="22"/>
          <w:color w:val="auto"/>
        </w:rPr>
        <w:t>”)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626745</wp:posOffset>
            </wp:positionV>
            <wp:extent cx="629221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398"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not cease as of the Separation Date but instead shall continue until your Board service ceases. Your Equity Awards shall continue to be governed by the plans under which they were granted and all applicable grant notices and agreements, except that in the event your service as a Board member ceases prior to the expiration of any Equity Awards, you shall have a 24-month period following cessation of Board service to exercise all then-vested Equity Awards. You understand that any Equity Awards that you hold as of the Separation Date that qualify as “incentive stock options” will cease to qualify as such three months after the Separation Date, and instead will be treated as “nonqualified stock options” for tax withholding and reporting purposes.</w:t>
      </w:r>
    </w:p>
    <w:p>
      <w:pPr>
        <w:spacing w:after="0" w:line="146" w:lineRule="exact"/>
        <w:rPr>
          <w:sz w:val="20"/>
          <w:szCs w:val="20"/>
          <w:color w:val="auto"/>
        </w:rPr>
      </w:pPr>
    </w:p>
    <w:p>
      <w:pPr>
        <w:jc w:val="both"/>
        <w:ind w:firstLine="656"/>
        <w:spacing w:after="0" w:line="245" w:lineRule="auto"/>
        <w:tabs>
          <w:tab w:leader="none" w:pos="1296"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TAXES AND WITHHOLDING. </w:t>
      </w:r>
      <w:r>
        <w:rPr>
          <w:rFonts w:ascii="Arial" w:cs="Arial" w:eastAsia="Arial" w:hAnsi="Arial"/>
          <w:sz w:val="21"/>
          <w:szCs w:val="21"/>
          <w:color w:val="auto"/>
        </w:rPr>
        <w:t>As a member of the Board, the Company will not withhold any</w:t>
      </w:r>
      <w:r>
        <w:rPr>
          <w:rFonts w:ascii="Arial" w:cs="Arial" w:eastAsia="Arial" w:hAnsi="Arial"/>
          <w:sz w:val="21"/>
          <w:szCs w:val="21"/>
          <w:b w:val="1"/>
          <w:bCs w:val="1"/>
          <w:color w:val="auto"/>
        </w:rPr>
        <w:t xml:space="preserve"> </w:t>
      </w:r>
      <w:r>
        <w:rPr>
          <w:rFonts w:ascii="Arial" w:cs="Arial" w:eastAsia="Arial" w:hAnsi="Arial"/>
          <w:sz w:val="21"/>
          <w:szCs w:val="21"/>
          <w:color w:val="auto"/>
        </w:rPr>
        <w:t>amount for taxes, social security or other payroll deductions relating to your Board service. The Company will issue you a Form 1099 with respect to any compensation resulting from your Board service. Any taxable income resulting from your employment, including taxes upon exercise of nonqualified stock options or settlement of restricted stock units granted to you in your capacity as an employee, will be reported to you as employment income on Form W-2 and be subject to withholding that you will be required to satisfy to the extent required by law. You acknowledge that you will be entirely responsible for payment of any such taxes, and you hereby indemnify, defend and save harmless the Company, and its officers and directors in their individual capacity, from any liability for any taxes, penalties or interest that may be assessed by any taxing authority with respect to all compensation you receive under this Agreement, with the exception of the employer’s share of social security, if any.</w:t>
      </w:r>
    </w:p>
    <w:p>
      <w:pPr>
        <w:spacing w:after="0" w:line="177" w:lineRule="exact"/>
        <w:rPr>
          <w:rFonts w:ascii="Arial" w:cs="Arial" w:eastAsia="Arial" w:hAnsi="Arial"/>
          <w:sz w:val="21"/>
          <w:szCs w:val="21"/>
          <w:b w:val="1"/>
          <w:bCs w:val="1"/>
          <w:color w:val="auto"/>
        </w:rPr>
      </w:pPr>
    </w:p>
    <w:p>
      <w:pPr>
        <w:jc w:val="both"/>
        <w:ind w:firstLine="656"/>
        <w:spacing w:after="0" w:line="247" w:lineRule="auto"/>
        <w:tabs>
          <w:tab w:leader="none" w:pos="1296"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COMPENSATION OR BENEFITS. </w:t>
      </w:r>
      <w:r>
        <w:rPr>
          <w:rFonts w:ascii="Arial" w:cs="Arial" w:eastAsia="Arial" w:hAnsi="Arial"/>
          <w:sz w:val="21"/>
          <w:szCs w:val="21"/>
          <w:color w:val="auto"/>
        </w:rPr>
        <w:t>You acknowledge that, except as expressly</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You further acknowledge and agree that you are accepting the benefits set forth herein in full satisfaction of any severance benefits you are eligible to receive from the Company under any plan or agreement, including (without limitation) under the terms of your November 13, 2020 amended and restated offer letter with the Company.</w:t>
      </w:r>
    </w:p>
    <w:p>
      <w:pPr>
        <w:spacing w:after="0" w:line="171"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30 days after the Separation Date, you</w:t>
      </w:r>
      <w:r>
        <w:rPr>
          <w:rFonts w:ascii="Arial" w:cs="Arial" w:eastAsia="Arial" w:hAnsi="Arial"/>
          <w:sz w:val="22"/>
          <w:szCs w:val="22"/>
          <w:b w:val="1"/>
          <w:bCs w:val="1"/>
          <w:color w:val="auto"/>
        </w:rPr>
        <w:t xml:space="preserve"> </w:t>
      </w:r>
      <w:r>
        <w:rPr>
          <w:rFonts w:ascii="Arial" w:cs="Arial" w:eastAsia="Arial" w:hAnsi="Arial"/>
          <w:sz w:val="22"/>
          <w:szCs w:val="22"/>
          <w:color w:val="auto"/>
        </w:rPr>
        <w:t>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8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CLAIMS.</w:t>
      </w:r>
    </w:p>
    <w:p>
      <w:pPr>
        <w:spacing w:after="0" w:line="206" w:lineRule="exact"/>
        <w:rPr>
          <w:rFonts w:ascii="Arial" w:cs="Arial" w:eastAsia="Arial" w:hAnsi="Arial"/>
          <w:sz w:val="22"/>
          <w:szCs w:val="22"/>
          <w:b w:val="1"/>
          <w:bCs w:val="1"/>
          <w:color w:val="auto"/>
        </w:rPr>
      </w:pPr>
    </w:p>
    <w:p>
      <w:pPr>
        <w:jc w:val="both"/>
        <w:ind w:firstLine="1304"/>
        <w:spacing w:after="0" w:line="237" w:lineRule="auto"/>
        <w:tabs>
          <w:tab w:leader="none" w:pos="1944" w:val="left"/>
        </w:tabs>
        <w:numPr>
          <w:ilvl w:val="1"/>
          <w:numId w:val="107"/>
        </w:numPr>
        <w:rPr>
          <w:rFonts w:ascii="Arial" w:cs="Arial" w:eastAsia="Arial" w:hAnsi="Arial"/>
          <w:sz w:val="22"/>
          <w:szCs w:val="22"/>
          <w:b w:val="1"/>
          <w:bCs w:val="1"/>
          <w:color w:val="auto"/>
        </w:rPr>
      </w:pPr>
      <w:r>
        <w:rPr>
          <w:rFonts w:ascii="Arial" w:cs="Arial" w:eastAsia="Arial" w:hAnsi="Arial"/>
          <w:sz w:val="22"/>
          <w:szCs w:val="22"/>
          <w:b w:val="1"/>
          <w:bCs w:val="1"/>
          <w:color w:val="auto"/>
        </w:rPr>
        <w:t>General Release of Claims</w:t>
      </w:r>
      <w:r>
        <w:rPr>
          <w:rFonts w:ascii="Arial" w:cs="Arial" w:eastAsia="Arial" w:hAnsi="Arial"/>
          <w:sz w:val="22"/>
          <w:szCs w:val="22"/>
          <w:color w:val="auto"/>
        </w:rPr>
        <w:t>. In exchange for the consideration provided to you under this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1058545</wp:posOffset>
            </wp:positionV>
            <wp:extent cx="629221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5" w:name="page146"/>
    <w:bookmarkEnd w:id="145"/>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3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liabilities, demands, causes of action, and obligations, both known and unknown, arising from or in any way related to events, acts, conduct, or omissions occurring at any time prior to and including the date you sign this Agreement.</w:t>
      </w:r>
    </w:p>
    <w:p>
      <w:pPr>
        <w:spacing w:after="0" w:line="180" w:lineRule="exact"/>
        <w:rPr>
          <w:sz w:val="20"/>
          <w:szCs w:val="20"/>
          <w:color w:val="auto"/>
        </w:rPr>
      </w:pPr>
    </w:p>
    <w:p>
      <w:pPr>
        <w:jc w:val="both"/>
        <w:ind w:firstLine="1304"/>
        <w:spacing w:after="0" w:line="271" w:lineRule="auto"/>
        <w:tabs>
          <w:tab w:leader="none" w:pos="1944" w:val="left"/>
        </w:tabs>
        <w:numPr>
          <w:ilvl w:val="1"/>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Scope of Release</w:t>
      </w:r>
      <w:r>
        <w:rPr>
          <w:rFonts w:ascii="Arial" w:cs="Arial" w:eastAsia="Arial" w:hAnsi="Arial"/>
          <w:sz w:val="19"/>
          <w:szCs w:val="19"/>
          <w:color w:val="auto"/>
        </w:rPr>
        <w:t>. This general release includes, but is not limited to: (i) all claims arising</w:t>
      </w:r>
      <w:r>
        <w:rPr>
          <w:rFonts w:ascii="Arial" w:cs="Arial" w:eastAsia="Arial" w:hAnsi="Arial"/>
          <w:sz w:val="19"/>
          <w:szCs w:val="19"/>
          <w:b w:val="1"/>
          <w:bCs w:val="1"/>
          <w:color w:val="auto"/>
        </w:rPr>
        <w:t xml:space="preserve"> </w:t>
      </w:r>
      <w:r>
        <w:rPr>
          <w:rFonts w:ascii="Arial" w:cs="Arial" w:eastAsia="Arial" w:hAnsi="Arial"/>
          <w:sz w:val="19"/>
          <w:szCs w:val="19"/>
          <w:color w:val="auto"/>
        </w:rPr>
        <w:t>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California Labor Code, the California Family Rights Act,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xml:space="preserve">”) and the California Fair Employment and Housing Act. </w:t>
      </w:r>
      <w:r>
        <w:rPr>
          <w:rFonts w:ascii="Arial" w:cs="Arial" w:eastAsia="Arial" w:hAnsi="Arial"/>
          <w:sz w:val="19"/>
          <w:szCs w:val="19"/>
          <w:b w:val="1"/>
          <w:bCs w:val="1"/>
          <w:color w:val="auto"/>
        </w:rPr>
        <w:t>You acknowledge that you have been advised, as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required by California Government Code Section 12964.5(b)(4), that you have the right to consult an attorney regarding this Agreement and that you were given a reasonable time period of not less than five business days in which to do so. </w:t>
      </w:r>
      <w:r>
        <w:rPr>
          <w:rFonts w:ascii="Arial" w:cs="Arial" w:eastAsia="Arial" w:hAnsi="Arial"/>
          <w:sz w:val="19"/>
          <w:szCs w:val="19"/>
          <w:color w:val="auto"/>
        </w:rPr>
        <w:t>You further acknowledge and agree that, in the event you sign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end of the reasonable time period provided by the Company, your decision to accept such shortening of time is knowing and voluntary and is not induced by the Company 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395" w:lineRule="exact"/>
        <w:rPr>
          <w:rFonts w:ascii="Arial" w:cs="Arial" w:eastAsia="Arial" w:hAnsi="Arial"/>
          <w:sz w:val="19"/>
          <w:szCs w:val="19"/>
          <w:b w:val="1"/>
          <w:bCs w:val="1"/>
          <w:color w:val="auto"/>
        </w:rPr>
      </w:pPr>
    </w:p>
    <w:p>
      <w:pPr>
        <w:jc w:val="both"/>
        <w:ind w:firstLine="1304"/>
        <w:spacing w:after="0" w:line="270" w:lineRule="auto"/>
        <w:tabs>
          <w:tab w:leader="none" w:pos="1944" w:val="left"/>
        </w:tabs>
        <w:numPr>
          <w:ilvl w:val="1"/>
          <w:numId w:val="10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ADEA Release. </w:t>
      </w:r>
      <w:r>
        <w:rPr>
          <w:rFonts w:ascii="Arial" w:cs="Arial" w:eastAsia="Arial" w:hAnsi="Arial"/>
          <w:sz w:val="19"/>
          <w:szCs w:val="19"/>
          <w:color w:val="auto"/>
        </w:rPr>
        <w:t>You acknowledge that you are knowingly and voluntarily waiving and</w:t>
      </w:r>
      <w:r>
        <w:rPr>
          <w:rFonts w:ascii="Arial" w:cs="Arial" w:eastAsia="Arial" w:hAnsi="Arial"/>
          <w:sz w:val="19"/>
          <w:szCs w:val="19"/>
          <w:b w:val="1"/>
          <w:bCs w:val="1"/>
          <w:color w:val="auto"/>
        </w:rPr>
        <w:t xml:space="preserve"> </w:t>
      </w:r>
      <w:r>
        <w:rPr>
          <w:rFonts w:ascii="Arial" w:cs="Arial" w:eastAsia="Arial" w:hAnsi="Arial"/>
          <w:sz w:val="19"/>
          <w:szCs w:val="19"/>
          <w:color w:val="auto"/>
        </w:rPr>
        <w:t>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21 days to consider this Agreement (although you may choose voluntarily to sign it sooner); (iv) you have seven days following the date you sign this Agreement to revoke this Agreement (in a written revocation sent to me); and</w:t>
      </w:r>
    </w:p>
    <w:p>
      <w:pPr>
        <w:spacing w:after="0" w:line="1" w:lineRule="exact"/>
        <w:rPr>
          <w:rFonts w:ascii="Arial" w:cs="Arial" w:eastAsia="Arial" w:hAnsi="Arial"/>
          <w:sz w:val="19"/>
          <w:szCs w:val="19"/>
          <w:b w:val="1"/>
          <w:bCs w:val="1"/>
          <w:color w:val="auto"/>
        </w:rPr>
      </w:pPr>
    </w:p>
    <w:p>
      <w:pPr>
        <w:ind w:firstLine="8"/>
        <w:spacing w:after="0" w:line="308" w:lineRule="auto"/>
        <w:tabs>
          <w:tab w:leader="none" w:pos="307"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17" w:lineRule="exact"/>
        <w:rPr>
          <w:rFonts w:ascii="Arial" w:cs="Arial" w:eastAsia="Arial" w:hAnsi="Arial"/>
          <w:sz w:val="19"/>
          <w:szCs w:val="19"/>
          <w:color w:val="auto"/>
        </w:rPr>
      </w:pPr>
    </w:p>
    <w:p>
      <w:pPr>
        <w:jc w:val="both"/>
        <w:ind w:firstLine="1304"/>
        <w:spacing w:after="0" w:line="236" w:lineRule="auto"/>
        <w:tabs>
          <w:tab w:leader="none" w:pos="1944" w:val="left"/>
        </w:tabs>
        <w:numPr>
          <w:ilvl w:val="1"/>
          <w:numId w:val="10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Section 1542 Waiver. </w:t>
      </w:r>
      <w:r>
        <w:rPr>
          <w:rFonts w:ascii="Arial" w:cs="Arial" w:eastAsia="Arial" w:hAnsi="Arial"/>
          <w:sz w:val="22"/>
          <w:szCs w:val="22"/>
          <w:color w:val="auto"/>
        </w:rPr>
        <w:t>In giving the release herein, which includes claims that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unknown to you at present, you acknowledge that you have read and understand Section 1542 of the California Civil Code, which reads as follows: </w:t>
      </w:r>
      <w:r>
        <w:rPr>
          <w:rFonts w:ascii="Arial" w:cs="Arial" w:eastAsia="Arial" w:hAnsi="Arial"/>
          <w:sz w:val="22"/>
          <w:szCs w:val="22"/>
          <w:b w:val="1"/>
          <w:bCs w:val="1"/>
          <w:color w:val="auto"/>
        </w:rPr>
        <w:t>“A general release does not extend to claims that the creditor or</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22"/>
          <w:szCs w:val="22"/>
          <w:color w:val="auto"/>
        </w:rPr>
        <w:t>You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1058545</wp:posOffset>
            </wp:positionV>
            <wp:extent cx="629221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spacing w:after="0" w:line="398" w:lineRule="exact"/>
        <w:rPr>
          <w:sz w:val="20"/>
          <w:szCs w:val="20"/>
          <w:color w:val="auto"/>
        </w:rPr>
      </w:pPr>
    </w:p>
    <w:p>
      <w:pPr>
        <w:jc w:val="both"/>
        <w:spacing w:after="0"/>
        <w:rPr>
          <w:sz w:val="20"/>
          <w:szCs w:val="20"/>
          <w:color w:val="auto"/>
        </w:rPr>
      </w:pPr>
      <w:r>
        <w:rPr>
          <w:rFonts w:ascii="Arial" w:cs="Arial" w:eastAsia="Arial" w:hAnsi="Arial"/>
          <w:sz w:val="22"/>
          <w:szCs w:val="22"/>
          <w:color w:val="auto"/>
        </w:rPr>
        <w:t>expressly waive and relinquish all rights and benefits under that section and any law of any other jurisdiction of similar effect with respect to your release of claims herein, including but not limited to your release of unknown claims.</w:t>
      </w:r>
    </w:p>
    <w:p>
      <w:pPr>
        <w:spacing w:after="0" w:line="180" w:lineRule="exact"/>
        <w:rPr>
          <w:sz w:val="20"/>
          <w:szCs w:val="20"/>
          <w:color w:val="auto"/>
        </w:rPr>
      </w:pPr>
    </w:p>
    <w:p>
      <w:pPr>
        <w:ind w:left="1960" w:hanging="656"/>
        <w:spacing w:after="0"/>
        <w:tabs>
          <w:tab w:leader="none" w:pos="1960"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w:t>
      </w:r>
      <w:r>
        <w:rPr>
          <w:rFonts w:ascii="Arial" w:cs="Arial" w:eastAsia="Arial" w:hAnsi="Arial"/>
          <w:sz w:val="19"/>
          <w:szCs w:val="19"/>
          <w:color w:val="auto"/>
        </w:rPr>
        <w:t>.  Notwithstanding the foregoing, you are not releasing the Company hereby</w:t>
      </w:r>
    </w:p>
    <w:p>
      <w:pPr>
        <w:spacing w:after="0" w:line="48" w:lineRule="exact"/>
        <w:rPr>
          <w:rFonts w:ascii="Arial" w:cs="Arial" w:eastAsia="Arial" w:hAnsi="Arial"/>
          <w:sz w:val="19"/>
          <w:szCs w:val="19"/>
          <w:b w:val="1"/>
          <w:bCs w:val="1"/>
          <w:color w:val="auto"/>
        </w:rPr>
      </w:pPr>
    </w:p>
    <w:p>
      <w:pPr>
        <w:jc w:val="both"/>
        <w:spacing w:after="0" w:line="233" w:lineRule="auto"/>
        <w:rPr>
          <w:rFonts w:ascii="Arial" w:cs="Arial" w:eastAsia="Arial" w:hAnsi="Arial"/>
          <w:sz w:val="19"/>
          <w:szCs w:val="19"/>
          <w:b w:val="1"/>
          <w:bCs w:val="1"/>
          <w:color w:val="auto"/>
        </w:rPr>
      </w:pPr>
      <w:r>
        <w:rPr>
          <w:rFonts w:ascii="Arial" w:cs="Arial" w:eastAsia="Arial" w:hAnsi="Arial"/>
          <w:sz w:val="22"/>
          <w:szCs w:val="22"/>
          <w:color w:val="auto"/>
        </w:rPr>
        <w:t>from: (i) any 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or (iii) any claims for breach of this Agreement.</w:t>
      </w:r>
    </w:p>
    <w:p>
      <w:pPr>
        <w:spacing w:after="0" w:line="181" w:lineRule="exact"/>
        <w:rPr>
          <w:rFonts w:ascii="Arial" w:cs="Arial" w:eastAsia="Arial" w:hAnsi="Arial"/>
          <w:sz w:val="19"/>
          <w:szCs w:val="19"/>
          <w:b w:val="1"/>
          <w:bCs w:val="1"/>
          <w:color w:val="auto"/>
        </w:rPr>
      </w:pPr>
    </w:p>
    <w:p>
      <w:pPr>
        <w:jc w:val="both"/>
        <w:ind w:firstLine="1304"/>
        <w:spacing w:after="0" w:line="271" w:lineRule="auto"/>
        <w:tabs>
          <w:tab w:leader="none" w:pos="1944" w:val="left"/>
        </w:tabs>
        <w:numPr>
          <w:ilvl w:val="1"/>
          <w:numId w:val="11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You understand that nothing in this Agreement limits your ability to file</w:t>
      </w:r>
      <w:r>
        <w:rPr>
          <w:rFonts w:ascii="Arial" w:cs="Arial" w:eastAsia="Arial" w:hAnsi="Arial"/>
          <w:sz w:val="19"/>
          <w:szCs w:val="19"/>
          <w:b w:val="1"/>
          <w:bCs w:val="1"/>
          <w:color w:val="auto"/>
        </w:rPr>
        <w:t xml:space="preserve"> </w:t>
      </w:r>
      <w:r>
        <w:rPr>
          <w:rFonts w:ascii="Arial" w:cs="Arial" w:eastAsia="Arial" w:hAnsi="Arial"/>
          <w:sz w:val="19"/>
          <w:szCs w:val="19"/>
          <w:color w:val="auto"/>
        </w:rPr>
        <w:t>a charge or 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(subject to the release of claims set forth herein).</w:t>
      </w:r>
    </w:p>
    <w:p>
      <w:pPr>
        <w:spacing w:after="0" w:line="200" w:lineRule="exact"/>
        <w:rPr>
          <w:rFonts w:ascii="Arial" w:cs="Arial" w:eastAsia="Arial" w:hAnsi="Arial"/>
          <w:sz w:val="19"/>
          <w:szCs w:val="19"/>
          <w:b w:val="1"/>
          <w:bCs w:val="1"/>
          <w:color w:val="auto"/>
        </w:rPr>
      </w:pPr>
    </w:p>
    <w:p>
      <w:pPr>
        <w:spacing w:after="0" w:line="207" w:lineRule="exact"/>
        <w:rPr>
          <w:rFonts w:ascii="Arial" w:cs="Arial" w:eastAsia="Arial" w:hAnsi="Arial"/>
          <w:sz w:val="19"/>
          <w:szCs w:val="19"/>
          <w:b w:val="1"/>
          <w:bCs w:val="1"/>
          <w:color w:val="auto"/>
        </w:rPr>
      </w:pPr>
    </w:p>
    <w:p>
      <w:pPr>
        <w:jc w:val="both"/>
        <w:ind w:firstLine="656"/>
        <w:spacing w:after="0" w:line="271" w:lineRule="auto"/>
        <w:tabs>
          <w:tab w:leader="none" w:pos="1296" w:val="left"/>
        </w:tabs>
        <w:numPr>
          <w:ilvl w:val="0"/>
          <w:numId w:val="111"/>
        </w:numPr>
        <w:rPr>
          <w:rFonts w:ascii="Arial" w:cs="Arial" w:eastAsia="Arial" w:hAnsi="Arial"/>
          <w:sz w:val="19"/>
          <w:szCs w:val="19"/>
          <w:b w:val="1"/>
          <w:bCs w:val="1"/>
          <w:color w:val="auto"/>
        </w:rPr>
      </w:pPr>
      <w:r>
        <w:rPr>
          <w:rFonts w:ascii="Arial" w:cs="Arial" w:eastAsia="Arial" w:hAnsi="Arial"/>
          <w:sz w:val="19"/>
          <w:szCs w:val="19"/>
          <w:b w:val="1"/>
          <w:bCs w:val="1"/>
          <w:color w:val="auto"/>
        </w:rPr>
        <w:t>RETURN OF COMPANY PROPERTY</w:t>
      </w:r>
      <w:r>
        <w:rPr>
          <w:rFonts w:ascii="Arial" w:cs="Arial" w:eastAsia="Arial" w:hAnsi="Arial"/>
          <w:sz w:val="19"/>
          <w:szCs w:val="19"/>
          <w:color w:val="auto"/>
        </w:rPr>
        <w:t>. Following your Separation Date, it is agreed that you</w:t>
      </w:r>
      <w:r>
        <w:rPr>
          <w:rFonts w:ascii="Arial" w:cs="Arial" w:eastAsia="Arial" w:hAnsi="Arial"/>
          <w:sz w:val="19"/>
          <w:szCs w:val="19"/>
          <w:b w:val="1"/>
          <w:bCs w:val="1"/>
          <w:color w:val="auto"/>
        </w:rPr>
        <w:t xml:space="preserve"> </w:t>
      </w:r>
      <w:r>
        <w:rPr>
          <w:rFonts w:ascii="Arial" w:cs="Arial" w:eastAsia="Arial" w:hAnsi="Arial"/>
          <w:sz w:val="19"/>
          <w:szCs w:val="19"/>
          <w:color w:val="auto"/>
        </w:rPr>
        <w:t>will provide focused ongoing support to the Company, at the direction of the Chief Executive Officer, relating to the drafting and preparation of a scientific manuscript (“Manuscript Drafting”) targeted for submission to a leading peer reviewed scientific journal by June 30, 2023. Excepting Company documents and information (i) expressly identified by you as needed for the Manuscript Drafting, or (ii) which you have obtained via the Olema Board portal or otherwise and which you believe are relevant as part of your ongoing non-employee Board Director role, you agree that within ten days after the Separation Date, you will return to the Company all Company documents (and all copies thereof) and other Company property which to your knowledge is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laptop(s) with Company information, mobile telephones, servers), credit cards, entry cards, identification badges and keys; and any materials of any kind that contain or embody any proprietary or confidential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1045210</wp:posOffset>
            </wp:positionV>
            <wp:extent cx="629221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color w:val="auto"/>
        </w:rPr>
        <w:t>Page 5</w:t>
      </w:r>
    </w:p>
    <w:p>
      <w:pPr>
        <w:spacing w:after="0" w:line="200" w:lineRule="exact"/>
        <w:rPr>
          <w:sz w:val="20"/>
          <w:szCs w:val="20"/>
          <w:color w:val="auto"/>
        </w:rPr>
      </w:pPr>
    </w:p>
    <w:p>
      <w:pPr>
        <w:spacing w:after="0" w:line="3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of the Company (and all reproductions or embodiments thereof in whole or in part). You will work with the Chief Executive Officer or his designee on identifying what Company documents and information you need for Manuscript Drafting, and the return of that information upon submission of the manuscript to the peer reviewed scientific journal for publication; provided that the Olema property specifically listed in Exhibit A will be transferred to you on the Separation Date at no cost.</w:t>
      </w:r>
    </w:p>
    <w:p>
      <w:pPr>
        <w:spacing w:after="0" w:line="181" w:lineRule="exact"/>
        <w:rPr>
          <w:sz w:val="20"/>
          <w:szCs w:val="20"/>
          <w:color w:val="auto"/>
        </w:rPr>
      </w:pPr>
    </w:p>
    <w:p>
      <w:pPr>
        <w:ind w:right="20" w:firstLine="656"/>
        <w:spacing w:after="0" w:line="280" w:lineRule="auto"/>
        <w:tabs>
          <w:tab w:leader="none" w:pos="1296"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CONFIDENTIAL INFORMATION OBLIGATIONS</w:t>
      </w:r>
      <w:r>
        <w:rPr>
          <w:rFonts w:ascii="Arial" w:cs="Arial" w:eastAsia="Arial" w:hAnsi="Arial"/>
          <w:sz w:val="21"/>
          <w:szCs w:val="21"/>
          <w:color w:val="auto"/>
        </w:rPr>
        <w:t>. You acknowledge and reaffirm your</w:t>
      </w:r>
      <w:r>
        <w:rPr>
          <w:rFonts w:ascii="Arial" w:cs="Arial" w:eastAsia="Arial" w:hAnsi="Arial"/>
          <w:sz w:val="21"/>
          <w:szCs w:val="21"/>
          <w:b w:val="1"/>
          <w:bCs w:val="1"/>
          <w:color w:val="auto"/>
        </w:rPr>
        <w:t xml:space="preserve"> </w:t>
      </w:r>
      <w:r>
        <w:rPr>
          <w:rFonts w:ascii="Arial" w:cs="Arial" w:eastAsia="Arial" w:hAnsi="Arial"/>
          <w:sz w:val="21"/>
          <w:szCs w:val="21"/>
          <w:color w:val="auto"/>
        </w:rPr>
        <w:t>continuing obligations under your Employee Proprietary Information and Invention Assignment Agreement.</w:t>
      </w:r>
    </w:p>
    <w:p>
      <w:pPr>
        <w:spacing w:after="0" w:line="138" w:lineRule="exact"/>
        <w:rPr>
          <w:rFonts w:ascii="Arial" w:cs="Arial" w:eastAsia="Arial" w:hAnsi="Arial"/>
          <w:sz w:val="21"/>
          <w:szCs w:val="21"/>
          <w:b w:val="1"/>
          <w:bCs w:val="1"/>
          <w:color w:val="auto"/>
        </w:rPr>
      </w:pPr>
    </w:p>
    <w:p>
      <w:pPr>
        <w:jc w:val="both"/>
        <w:ind w:firstLine="656"/>
        <w:spacing w:after="0" w:line="234" w:lineRule="auto"/>
        <w:tabs>
          <w:tab w:leader="none" w:pos="1296"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Except to the extent permitted by Section 8(f), you agree not to</w:t>
      </w:r>
      <w:r>
        <w:rPr>
          <w:rFonts w:ascii="Arial" w:cs="Arial" w:eastAsia="Arial" w:hAnsi="Arial"/>
          <w:sz w:val="22"/>
          <w:szCs w:val="22"/>
          <w:b w:val="1"/>
          <w:bCs w:val="1"/>
          <w:color w:val="auto"/>
        </w:rPr>
        <w:t xml:space="preserve"> </w:t>
      </w:r>
      <w:r>
        <w:rPr>
          <w:rFonts w:ascii="Arial" w:cs="Arial" w:eastAsia="Arial" w:hAnsi="Arial"/>
          <w:sz w:val="22"/>
          <w:szCs w:val="22"/>
          <w:color w:val="auto"/>
        </w:rPr>
        <w:t>disparage the Company or its officers, directors, employees, shareholders,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w:t>
      </w:r>
    </w:p>
    <w:p>
      <w:pPr>
        <w:spacing w:after="0" w:line="186" w:lineRule="exact"/>
        <w:rPr>
          <w:rFonts w:ascii="Arial" w:cs="Arial" w:eastAsia="Arial" w:hAnsi="Arial"/>
          <w:sz w:val="22"/>
          <w:szCs w:val="22"/>
          <w:b w:val="1"/>
          <w:bCs w:val="1"/>
          <w:color w:val="auto"/>
        </w:rPr>
      </w:pPr>
    </w:p>
    <w:p>
      <w:pPr>
        <w:jc w:val="both"/>
        <w:ind w:firstLine="656"/>
        <w:spacing w:after="0" w:line="237" w:lineRule="auto"/>
        <w:tabs>
          <w:tab w:leader="none" w:pos="1296"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VOLUNTARY ADVERSE ACTION. </w:t>
      </w:r>
      <w:r>
        <w:rPr>
          <w:rFonts w:ascii="Arial" w:cs="Arial" w:eastAsia="Arial" w:hAnsi="Arial"/>
          <w:sz w:val="22"/>
          <w:szCs w:val="22"/>
          <w:color w:val="auto"/>
        </w:rPr>
        <w:t>You agree that you will not voluntarily (except in</w:t>
      </w:r>
      <w:r>
        <w:rPr>
          <w:rFonts w:ascii="Arial" w:cs="Arial" w:eastAsia="Arial" w:hAnsi="Arial"/>
          <w:sz w:val="22"/>
          <w:szCs w:val="22"/>
          <w:b w:val="1"/>
          <w:bCs w:val="1"/>
          <w:color w:val="auto"/>
        </w:rPr>
        <w:t xml:space="preserve"> </w:t>
      </w:r>
      <w:r>
        <w:rPr>
          <w:rFonts w:ascii="Arial" w:cs="Arial" w:eastAsia="Arial" w:hAnsi="Arial"/>
          <w:sz w:val="22"/>
          <w:szCs w:val="22"/>
          <w:color w:val="auto"/>
        </w:rPr>
        <w:t>response to legal compulsion or as permitted under the section of this Agreement entitled “</w:t>
      </w:r>
      <w:r>
        <w:rPr>
          <w:rFonts w:ascii="Arial" w:cs="Arial" w:eastAsia="Arial" w:hAnsi="Arial"/>
          <w:sz w:val="22"/>
          <w:szCs w:val="22"/>
          <w:b w:val="1"/>
          <w:bCs w:val="1"/>
          <w:color w:val="auto"/>
        </w:rPr>
        <w:t>Protected Rights</w:t>
      </w:r>
      <w:r>
        <w:rPr>
          <w:rFonts w:ascii="Arial" w:cs="Arial" w:eastAsia="Arial" w:hAnsi="Arial"/>
          <w:sz w:val="22"/>
          <w:szCs w:val="22"/>
          <w:color w:val="auto"/>
        </w:rPr>
        <w:t>”)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81" w:lineRule="exact"/>
        <w:rPr>
          <w:rFonts w:ascii="Arial" w:cs="Arial" w:eastAsia="Arial" w:hAnsi="Arial"/>
          <w:sz w:val="22"/>
          <w:szCs w:val="22"/>
          <w:b w:val="1"/>
          <w:bCs w:val="1"/>
          <w:color w:val="auto"/>
        </w:rPr>
      </w:pPr>
    </w:p>
    <w:p>
      <w:pPr>
        <w:jc w:val="both"/>
        <w:ind w:firstLine="656"/>
        <w:spacing w:after="0" w:line="247" w:lineRule="auto"/>
        <w:tabs>
          <w:tab w:leader="none" w:pos="1296" w:val="left"/>
        </w:tabs>
        <w:numPr>
          <w:ilvl w:val="0"/>
          <w:numId w:val="112"/>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COOPERATION. </w:t>
      </w:r>
      <w:r>
        <w:rPr>
          <w:rFonts w:ascii="Arial" w:cs="Arial" w:eastAsia="Arial" w:hAnsi="Arial"/>
          <w:sz w:val="21"/>
          <w:szCs w:val="21"/>
          <w:color w:val="auto"/>
        </w:rPr>
        <w:t>You agree to cooperate fully with the Company in connection with its actual or</w:t>
      </w:r>
      <w:r>
        <w:rPr>
          <w:rFonts w:ascii="Arial" w:cs="Arial" w:eastAsia="Arial" w:hAnsi="Arial"/>
          <w:sz w:val="21"/>
          <w:szCs w:val="21"/>
          <w:b w:val="1"/>
          <w:bCs w:val="1"/>
          <w:color w:val="auto"/>
        </w:rPr>
        <w:t xml:space="preserve"> </w:t>
      </w:r>
      <w:r>
        <w:rPr>
          <w:rFonts w:ascii="Arial" w:cs="Arial" w:eastAsia="Arial" w:hAnsi="Arial"/>
          <w:sz w:val="21"/>
          <w:szCs w:val="21"/>
          <w:color w:val="auto"/>
        </w:rPr>
        <w:t>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w:t>
      </w:r>
    </w:p>
    <w:p>
      <w:pPr>
        <w:spacing w:after="0" w:line="171" w:lineRule="exact"/>
        <w:rPr>
          <w:rFonts w:ascii="Arial" w:cs="Arial" w:eastAsia="Arial" w:hAnsi="Arial"/>
          <w:sz w:val="21"/>
          <w:szCs w:val="21"/>
          <w:b w:val="1"/>
          <w:bCs w:val="1"/>
          <w:color w:val="auto"/>
        </w:rPr>
      </w:pPr>
    </w:p>
    <w:p>
      <w:pPr>
        <w:jc w:val="both"/>
        <w:ind w:firstLine="656"/>
        <w:spacing w:after="0" w:line="243" w:lineRule="auto"/>
        <w:tabs>
          <w:tab w:leader="none" w:pos="1296"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ADMISSIONS. </w:t>
      </w:r>
      <w:r>
        <w:rPr>
          <w:rFonts w:ascii="Arial" w:cs="Arial" w:eastAsia="Arial" w:hAnsi="Arial"/>
          <w:sz w:val="22"/>
          <w:szCs w:val="22"/>
          <w:color w:val="auto"/>
        </w:rPr>
        <w:t>You understand and agree that the promises and payments in consideration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not be construed to be an admission of any liability or obligation by the Company to you or to any other person, and that the Company makes no such admission.</w:t>
      </w:r>
    </w:p>
    <w:p>
      <w:pPr>
        <w:spacing w:after="0" w:line="176" w:lineRule="exact"/>
        <w:rPr>
          <w:rFonts w:ascii="Arial" w:cs="Arial" w:eastAsia="Arial" w:hAnsi="Arial"/>
          <w:sz w:val="22"/>
          <w:szCs w:val="22"/>
          <w:b w:val="1"/>
          <w:bCs w:val="1"/>
          <w:color w:val="auto"/>
        </w:rPr>
      </w:pPr>
    </w:p>
    <w:p>
      <w:pPr>
        <w:jc w:val="both"/>
        <w:ind w:firstLine="656"/>
        <w:spacing w:after="0" w:line="243" w:lineRule="auto"/>
        <w:tabs>
          <w:tab w:leader="none" w:pos="1296" w:val="left"/>
        </w:tabs>
        <w:numPr>
          <w:ilvl w:val="0"/>
          <w:numId w:val="11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w:t>
      </w:r>
      <w:r>
        <w:rPr>
          <w:rFonts w:ascii="Arial" w:cs="Arial" w:eastAsia="Arial" w:hAnsi="Arial"/>
          <w:sz w:val="22"/>
          <w:szCs w:val="22"/>
          <w:color w:val="auto"/>
        </w:rPr>
        <w:t>You hereby represent that you have been paid all compensation owed and</w:t>
      </w:r>
      <w:r>
        <w:rPr>
          <w:rFonts w:ascii="Arial" w:cs="Arial" w:eastAsia="Arial" w:hAnsi="Arial"/>
          <w:sz w:val="22"/>
          <w:szCs w:val="22"/>
          <w:b w:val="1"/>
          <w:bCs w:val="1"/>
          <w:color w:val="auto"/>
        </w:rPr>
        <w:t xml:space="preserve"> </w:t>
      </w:r>
      <w:r>
        <w:rPr>
          <w:rFonts w:ascii="Arial" w:cs="Arial" w:eastAsia="Arial" w:hAnsi="Arial"/>
          <w:sz w:val="22"/>
          <w:szCs w:val="22"/>
          <w:color w:val="auto"/>
        </w:rPr>
        <w:t>for all hours worked; received all leave and leave benefits and protections for which you are eligible pursuant to the Family and Medical Leave Act, the California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1055370</wp:posOffset>
            </wp:positionV>
            <wp:extent cx="629221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8" w:name="page149"/>
    <w:bookmarkEnd w:id="148"/>
    <w:p>
      <w:pPr>
        <w:spacing w:after="0"/>
        <w:rPr>
          <w:sz w:val="20"/>
          <w:szCs w:val="20"/>
          <w:color w:val="auto"/>
        </w:rPr>
      </w:pPr>
      <w:r>
        <w:rPr>
          <w:rFonts w:ascii="Arial" w:cs="Arial" w:eastAsia="Arial" w:hAnsi="Arial"/>
          <w:sz w:val="22"/>
          <w:szCs w:val="22"/>
          <w:color w:val="auto"/>
        </w:rPr>
        <w:t>Page 6</w:t>
      </w:r>
    </w:p>
    <w:p>
      <w:pPr>
        <w:spacing w:after="0" w:line="200" w:lineRule="exact"/>
        <w:rPr>
          <w:sz w:val="20"/>
          <w:szCs w:val="20"/>
          <w:color w:val="auto"/>
        </w:rPr>
      </w:pPr>
    </w:p>
    <w:p>
      <w:pPr>
        <w:spacing w:after="0" w:line="398"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Rights Act, or otherwise; and not suffered any on-the-job injury for which you have not already filed a workers’ compensation claim.</w:t>
      </w:r>
    </w:p>
    <w:p>
      <w:pPr>
        <w:spacing w:after="0" w:line="169" w:lineRule="exact"/>
        <w:rPr>
          <w:sz w:val="20"/>
          <w:szCs w:val="20"/>
          <w:color w:val="auto"/>
        </w:rPr>
      </w:pPr>
    </w:p>
    <w:p>
      <w:pPr>
        <w:jc w:val="both"/>
        <w:ind w:firstLine="656"/>
        <w:spacing w:after="0" w:line="269" w:lineRule="auto"/>
        <w:tabs>
          <w:tab w:leader="none" w:pos="1296"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 RESOLUTION. </w:t>
      </w:r>
      <w:r>
        <w:rPr>
          <w:rFonts w:ascii="Arial" w:cs="Arial" w:eastAsia="Arial" w:hAnsi="Arial"/>
          <w:sz w:val="19"/>
          <w:szCs w:val="19"/>
          <w:color w:val="auto"/>
        </w:rPr>
        <w:t>You and the Company agree that any and all disputes, claims, or</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controversies of any nature whatsoever arising from, or relating to, this Agreement or its interpretation, enforcement, breach, performance or execution, your employment or the termination of such employment (including, but not limited to, any statutory claims), shall be resolved, pursuant to the Federal Arbitration Act, 9 U.S.C. §1-16, and to the fullest extent permitted by law, by final, binding and confidential arbitration in San Francisco, California (or another mutually acceptable location) conducted before a single neutral arbitrator by JAMS, Inc. (“</w:t>
      </w:r>
      <w:r>
        <w:rPr>
          <w:rFonts w:ascii="Arial" w:cs="Arial" w:eastAsia="Arial" w:hAnsi="Arial"/>
          <w:sz w:val="19"/>
          <w:szCs w:val="19"/>
          <w:b w:val="1"/>
          <w:bCs w:val="1"/>
          <w:color w:val="auto"/>
        </w:rPr>
        <w:t>JAMS</w:t>
      </w:r>
      <w:r>
        <w:rPr>
          <w:rFonts w:ascii="Arial" w:cs="Arial" w:eastAsia="Arial" w:hAnsi="Arial"/>
          <w:sz w:val="19"/>
          <w:szCs w:val="19"/>
          <w:color w:val="auto"/>
        </w:rPr>
        <w:t xml:space="preserve">”) or its successor, under the then applicable JAMS Arbitration Rules and Procedures for Employment Disputes (available at http://www.jamsadr.com/rules-employment-arbitration/). </w:t>
      </w:r>
      <w:r>
        <w:rPr>
          <w:rFonts w:ascii="Arial" w:cs="Arial" w:eastAsia="Arial" w:hAnsi="Arial"/>
          <w:sz w:val="19"/>
          <w:szCs w:val="19"/>
          <w:b w:val="1"/>
          <w:bCs w:val="1"/>
          <w:color w:val="auto"/>
        </w:rPr>
        <w:t>By agreeing to this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arbitration procedure, both you and the Company waive the right to have any claim resolved through a trial by jury or judge. </w:t>
      </w:r>
      <w:r>
        <w:rPr>
          <w:rFonts w:ascii="Arial" w:cs="Arial" w:eastAsia="Arial" w:hAnsi="Arial"/>
          <w:sz w:val="19"/>
          <w:szCs w:val="19"/>
          <w:color w:val="auto"/>
        </w:rPr>
        <w:t>You will have the right to be represented by legal counsel at any arbitration proceeding, at</w:t>
      </w:r>
      <w:r>
        <w:rPr>
          <w:rFonts w:ascii="Arial" w:cs="Arial" w:eastAsia="Arial" w:hAnsi="Arial"/>
          <w:sz w:val="19"/>
          <w:szCs w:val="19"/>
          <w:b w:val="1"/>
          <w:bCs w:val="1"/>
          <w:color w:val="auto"/>
        </w:rPr>
        <w:t xml:space="preserve"> </w:t>
      </w:r>
      <w:r>
        <w:rPr>
          <w:rFonts w:ascii="Arial" w:cs="Arial" w:eastAsia="Arial" w:hAnsi="Arial"/>
          <w:sz w:val="19"/>
          <w:szCs w:val="19"/>
          <w:color w:val="auto"/>
        </w:rPr>
        <w:t>your own expense. This paragraph shall not apply to any action or claim that cannot be subject to mandatory arbitration as a matter of law, to the extent such claims are not permitted by applicable law to be submitted to mandatory arbitration and the applicable law(s) are not preempted by the Federal Arbitration Act or otherwise invalid (collectively, the “</w:t>
      </w:r>
      <w:r>
        <w:rPr>
          <w:rFonts w:ascii="Arial" w:cs="Arial" w:eastAsia="Arial" w:hAnsi="Arial"/>
          <w:sz w:val="19"/>
          <w:szCs w:val="19"/>
          <w:b w:val="1"/>
          <w:bCs w:val="1"/>
          <w:color w:val="auto"/>
        </w:rPr>
        <w:t>Excluded Claims</w:t>
      </w:r>
      <w:r>
        <w:rPr>
          <w:rFonts w:ascii="Arial" w:cs="Arial" w:eastAsia="Arial" w:hAnsi="Arial"/>
          <w:sz w:val="19"/>
          <w:szCs w:val="19"/>
          <w:color w:val="auto"/>
        </w:rPr>
        <w:t>”). In the event you intend to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200" w:lineRule="exact"/>
        <w:rPr>
          <w:rFonts w:ascii="Arial" w:cs="Arial" w:eastAsia="Arial" w:hAnsi="Arial"/>
          <w:sz w:val="19"/>
          <w:szCs w:val="19"/>
          <w:b w:val="1"/>
          <w:bCs w:val="1"/>
          <w:color w:val="auto"/>
        </w:rPr>
      </w:pPr>
    </w:p>
    <w:p>
      <w:pPr>
        <w:spacing w:after="0" w:line="213" w:lineRule="exact"/>
        <w:rPr>
          <w:rFonts w:ascii="Arial" w:cs="Arial" w:eastAsia="Arial" w:hAnsi="Arial"/>
          <w:sz w:val="19"/>
          <w:szCs w:val="19"/>
          <w:b w:val="1"/>
          <w:bCs w:val="1"/>
          <w:color w:val="auto"/>
        </w:rPr>
      </w:pPr>
    </w:p>
    <w:p>
      <w:pPr>
        <w:jc w:val="both"/>
        <w:ind w:firstLine="656"/>
        <w:spacing w:after="0" w:line="274" w:lineRule="auto"/>
        <w:tabs>
          <w:tab w:leader="none" w:pos="1296" w:val="left"/>
        </w:tabs>
        <w:numPr>
          <w:ilvl w:val="0"/>
          <w:numId w:val="11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constitutes the complete, final and exclusive embodiment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1193800</wp:posOffset>
            </wp:positionV>
            <wp:extent cx="629221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color w:val="auto"/>
        </w:rPr>
        <w:t>Page 7</w:t>
      </w:r>
    </w:p>
    <w:p>
      <w:pPr>
        <w:spacing w:after="0" w:line="200" w:lineRule="exact"/>
        <w:rPr>
          <w:sz w:val="20"/>
          <w:szCs w:val="20"/>
          <w:color w:val="auto"/>
        </w:rPr>
      </w:pPr>
    </w:p>
    <w:p>
      <w:pPr>
        <w:spacing w:after="0" w:line="398"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187"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this Agreement is acceptable to you, please sign below and return the original to me. You have 21 calendar days to decide whether to accept this Agreement, and the Company’s offer contained herein will automatically expire if you do not sign and return it within that timeframe.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6985</wp:posOffset>
            </wp:positionV>
            <wp:extent cx="290576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0">
                      <a:extLst>
                        <a:ext uri="{28A0092B-C50C-407E-A947-70E740481C1C}"/>
                      </a:extLst>
                    </a:blip>
                    <a:srcRect/>
                    <a:stretch>
                      <a:fillRect/>
                    </a:stretch>
                  </pic:blipFill>
                  <pic:spPr bwMode="auto">
                    <a:xfrm>
                      <a:off x="0" y="0"/>
                      <a:ext cx="2905760"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2"/>
          <w:szCs w:val="22"/>
          <w:color w:val="auto"/>
        </w:rPr>
        <w:t>Sean P. Bohen, M.D., Ph.D.</w:t>
      </w:r>
    </w:p>
    <w:p>
      <w:pPr>
        <w:ind w:left="42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HAVE READ, UNDERSTAND AND AGREE FULLY TO THE FOREGOING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/s/ Cyrus Harmon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6293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1">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Cyrus Harmon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3/21/2023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6293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2">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1076325</wp:posOffset>
            </wp:positionV>
            <wp:extent cx="62922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0" w:name="page151"/>
    <w:bookmarkEnd w:id="150"/>
    <w:p>
      <w:pPr>
        <w:jc w:val="center"/>
        <w:ind w:right="-440"/>
        <w:spacing w:after="0"/>
        <w:rPr>
          <w:sz w:val="20"/>
          <w:szCs w:val="20"/>
          <w:color w:val="auto"/>
        </w:rPr>
      </w:pPr>
      <w:r>
        <w:rPr>
          <w:rFonts w:ascii="Arial" w:cs="Arial" w:eastAsia="Arial" w:hAnsi="Arial"/>
          <w:sz w:val="21"/>
          <w:szCs w:val="21"/>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9"/>
          <w:szCs w:val="19"/>
          <w:color w:val="auto"/>
        </w:rPr>
        <w:t>To be inserted by Cyrus and company reviewed/approved.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372110</wp:posOffset>
            </wp:positionV>
            <wp:extent cx="629221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479"/>
          </w:cols>
          <w:pgMar w:left="980" w:top="509" w:right="1440"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b w:val="1"/>
          <w:bCs w:val="1"/>
          <w:color w:val="auto"/>
        </w:rPr>
        <w:t>Exhibit 10.3</w:t>
      </w:r>
    </w:p>
    <w:p>
      <w:pPr>
        <w:spacing w:after="0" w:line="145" w:lineRule="exact"/>
        <w:rPr>
          <w:sz w:val="20"/>
          <w:szCs w:val="20"/>
          <w:color w:val="auto"/>
        </w:rPr>
      </w:pPr>
    </w:p>
    <w:p>
      <w:pPr>
        <w:spacing w:after="0"/>
        <w:rPr>
          <w:sz w:val="20"/>
          <w:szCs w:val="20"/>
          <w:color w:val="auto"/>
        </w:rPr>
      </w:pPr>
      <w:r>
        <w:rPr>
          <w:rFonts w:ascii="Arial" w:cs="Arial" w:eastAsia="Arial" w:hAnsi="Arial"/>
          <w:sz w:val="22"/>
          <w:szCs w:val="22"/>
          <w:color w:val="auto"/>
        </w:rPr>
        <w:t>March 8, 2023</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Kinney Horn</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VIA EMAIL</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Dear Kinney:</w:t>
      </w:r>
    </w:p>
    <w:p>
      <w:pPr>
        <w:spacing w:after="0" w:line="200" w:lineRule="exact"/>
        <w:rPr>
          <w:sz w:val="20"/>
          <w:szCs w:val="20"/>
          <w:color w:val="auto"/>
        </w:rPr>
      </w:pPr>
    </w:p>
    <w:p>
      <w:pPr>
        <w:ind w:right="20"/>
        <w:spacing w:after="0" w:line="280" w:lineRule="auto"/>
        <w:rPr>
          <w:sz w:val="20"/>
          <w:szCs w:val="20"/>
          <w:color w:val="auto"/>
        </w:rPr>
      </w:pPr>
      <w:r>
        <w:rPr>
          <w:rFonts w:ascii="Arial" w:cs="Arial" w:eastAsia="Arial" w:hAnsi="Arial"/>
          <w:sz w:val="21"/>
          <w:szCs w:val="21"/>
          <w:color w:val="auto"/>
        </w:rPr>
        <w:t>This letter sets forth the substance of the separation and consulting agreement (the “</w:t>
      </w:r>
      <w:r>
        <w:rPr>
          <w:rFonts w:ascii="Arial" w:cs="Arial" w:eastAsia="Arial" w:hAnsi="Arial"/>
          <w:sz w:val="21"/>
          <w:szCs w:val="21"/>
          <w:b w:val="1"/>
          <w:bCs w:val="1"/>
          <w:color w:val="auto"/>
        </w:rPr>
        <w:t>Agreement</w:t>
      </w:r>
      <w:r>
        <w:rPr>
          <w:rFonts w:ascii="Arial" w:cs="Arial" w:eastAsia="Arial" w:hAnsi="Arial"/>
          <w:sz w:val="21"/>
          <w:szCs w:val="21"/>
          <w:color w:val="auto"/>
        </w:rPr>
        <w:t>”) that Olema Pharmaceuticals, Inc. (the “</w:t>
      </w:r>
      <w:r>
        <w:rPr>
          <w:rFonts w:ascii="Arial" w:cs="Arial" w:eastAsia="Arial" w:hAnsi="Arial"/>
          <w:sz w:val="21"/>
          <w:szCs w:val="21"/>
          <w:b w:val="1"/>
          <w:bCs w:val="1"/>
          <w:color w:val="auto"/>
        </w:rPr>
        <w:t>Company</w:t>
      </w:r>
      <w:r>
        <w:rPr>
          <w:rFonts w:ascii="Arial" w:cs="Arial" w:eastAsia="Arial" w:hAnsi="Arial"/>
          <w:sz w:val="21"/>
          <w:szCs w:val="21"/>
          <w:color w:val="auto"/>
        </w:rPr>
        <w:t>”) is offering to you to aid in your employment transition.</w:t>
      </w:r>
    </w:p>
    <w:p>
      <w:pPr>
        <w:spacing w:after="0" w:line="139" w:lineRule="exact"/>
        <w:rPr>
          <w:sz w:val="20"/>
          <w:szCs w:val="20"/>
          <w:color w:val="auto"/>
        </w:rPr>
      </w:pPr>
    </w:p>
    <w:p>
      <w:pPr>
        <w:ind w:left="1300" w:hanging="644"/>
        <w:spacing w:after="0"/>
        <w:tabs>
          <w:tab w:leader="none" w:pos="1300" w:val="left"/>
        </w:tabs>
        <w:numPr>
          <w:ilvl w:val="1"/>
          <w:numId w:val="114"/>
        </w:numPr>
        <w:rPr>
          <w:rFonts w:ascii="Arial" w:cs="Arial" w:eastAsia="Arial" w:hAnsi="Arial"/>
          <w:sz w:val="21"/>
          <w:szCs w:val="21"/>
          <w:b w:val="1"/>
          <w:bCs w:val="1"/>
          <w:color w:val="auto"/>
        </w:rPr>
      </w:pPr>
      <w:r>
        <w:rPr>
          <w:rFonts w:ascii="Arial" w:cs="Arial" w:eastAsia="Arial" w:hAnsi="Arial"/>
          <w:sz w:val="21"/>
          <w:szCs w:val="21"/>
          <w:b w:val="1"/>
          <w:bCs w:val="1"/>
          <w:color w:val="auto"/>
        </w:rPr>
        <w:t>SEPARATION</w:t>
      </w:r>
      <w:r>
        <w:rPr>
          <w:rFonts w:ascii="Arial" w:cs="Arial" w:eastAsia="Arial" w:hAnsi="Arial"/>
          <w:sz w:val="21"/>
          <w:szCs w:val="21"/>
          <w:color w:val="auto"/>
        </w:rPr>
        <w:t>. Your employment termination date will be March 24, 2023 (the “</w:t>
      </w:r>
      <w:r>
        <w:rPr>
          <w:rFonts w:ascii="Arial" w:cs="Arial" w:eastAsia="Arial" w:hAnsi="Arial"/>
          <w:sz w:val="21"/>
          <w:szCs w:val="21"/>
          <w:b w:val="1"/>
          <w:bCs w:val="1"/>
          <w:color w:val="auto"/>
        </w:rPr>
        <w:t>Separation</w:t>
      </w:r>
    </w:p>
    <w:p>
      <w:pPr>
        <w:spacing w:after="0" w:line="25" w:lineRule="exact"/>
        <w:rPr>
          <w:rFonts w:ascii="Arial" w:cs="Arial" w:eastAsia="Arial" w:hAnsi="Arial"/>
          <w:sz w:val="21"/>
          <w:szCs w:val="21"/>
          <w:b w:val="1"/>
          <w:bCs w:val="1"/>
          <w:color w:val="auto"/>
        </w:rPr>
      </w:pPr>
    </w:p>
    <w:p>
      <w:pPr>
        <w:spacing w:after="0"/>
        <w:rPr>
          <w:rFonts w:ascii="Arial" w:cs="Arial" w:eastAsia="Arial" w:hAnsi="Arial"/>
          <w:sz w:val="21"/>
          <w:szCs w:val="21"/>
          <w:b w:val="1"/>
          <w:bCs w:val="1"/>
          <w:color w:val="auto"/>
        </w:rPr>
      </w:pPr>
      <w:r>
        <w:rPr>
          <w:rFonts w:ascii="Arial" w:cs="Arial" w:eastAsia="Arial" w:hAnsi="Arial"/>
          <w:sz w:val="22"/>
          <w:szCs w:val="22"/>
          <w:b w:val="1"/>
          <w:bCs w:val="1"/>
          <w:color w:val="auto"/>
        </w:rPr>
        <w:t>Date</w:t>
      </w:r>
      <w:r>
        <w:rPr>
          <w:rFonts w:ascii="Arial" w:cs="Arial" w:eastAsia="Arial" w:hAnsi="Arial"/>
          <w:sz w:val="22"/>
          <w:szCs w:val="22"/>
          <w:color w:val="auto"/>
        </w:rPr>
        <w:t>”).</w:t>
      </w:r>
    </w:p>
    <w:p>
      <w:pPr>
        <w:spacing w:after="0" w:line="182" w:lineRule="exact"/>
        <w:rPr>
          <w:rFonts w:ascii="Arial" w:cs="Arial" w:eastAsia="Arial" w:hAnsi="Arial"/>
          <w:sz w:val="21"/>
          <w:szCs w:val="21"/>
          <w:b w:val="1"/>
          <w:bCs w:val="1"/>
          <w:color w:val="auto"/>
        </w:rPr>
      </w:pPr>
    </w:p>
    <w:p>
      <w:pPr>
        <w:jc w:val="both"/>
        <w:ind w:firstLine="656"/>
        <w:spacing w:after="0" w:line="289" w:lineRule="auto"/>
        <w:tabs>
          <w:tab w:leader="none" w:pos="1296" w:val="left"/>
        </w:tabs>
        <w:numPr>
          <w:ilvl w:val="1"/>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ACCRUED SALARY</w:t>
      </w:r>
      <w:r>
        <w:rPr>
          <w:rFonts w:ascii="Arial" w:cs="Arial" w:eastAsia="Arial" w:hAnsi="Arial"/>
          <w:sz w:val="19"/>
          <w:szCs w:val="19"/>
          <w:color w:val="auto"/>
        </w:rPr>
        <w:t>. On the Separation Date, the Company will pay you all accrued salary</w:t>
      </w:r>
      <w:r>
        <w:rPr>
          <w:rFonts w:ascii="Arial" w:cs="Arial" w:eastAsia="Arial" w:hAnsi="Arial"/>
          <w:sz w:val="19"/>
          <w:szCs w:val="19"/>
          <w:b w:val="1"/>
          <w:bCs w:val="1"/>
          <w:color w:val="auto"/>
        </w:rPr>
        <w:t xml:space="preserve"> </w:t>
      </w:r>
      <w:r>
        <w:rPr>
          <w:rFonts w:ascii="Arial" w:cs="Arial" w:eastAsia="Arial" w:hAnsi="Arial"/>
          <w:sz w:val="19"/>
          <w:szCs w:val="19"/>
          <w:color w:val="auto"/>
        </w:rPr>
        <w:t>earned through the Separation Date, subject to standard payroll deductions and withholdings. You are entitled to this payment by law. Because the Company has a nonaccrual vacation/PTO policy, you do not have any accrued vacation or other paid time off and thus will not be paid out for any accrued vacation or other paid time off.</w:t>
      </w:r>
    </w:p>
    <w:p>
      <w:pPr>
        <w:spacing w:after="0" w:line="135" w:lineRule="exact"/>
        <w:rPr>
          <w:rFonts w:ascii="Arial" w:cs="Arial" w:eastAsia="Arial" w:hAnsi="Arial"/>
          <w:sz w:val="19"/>
          <w:szCs w:val="19"/>
          <w:b w:val="1"/>
          <w:bCs w:val="1"/>
          <w:color w:val="auto"/>
        </w:rPr>
      </w:pPr>
    </w:p>
    <w:p>
      <w:pPr>
        <w:ind w:firstLine="656"/>
        <w:spacing w:after="0" w:line="334" w:lineRule="auto"/>
        <w:tabs>
          <w:tab w:leader="none" w:pos="1296" w:val="left"/>
        </w:tabs>
        <w:numPr>
          <w:ilvl w:val="1"/>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BENEFITS. </w:t>
      </w:r>
      <w:r>
        <w:rPr>
          <w:rFonts w:ascii="Arial" w:cs="Arial" w:eastAsia="Arial" w:hAnsi="Arial"/>
          <w:sz w:val="19"/>
          <w:szCs w:val="19"/>
          <w:color w:val="auto"/>
        </w:rPr>
        <w:t>If you timely sign this Agreement, allow it to become effective, and</w:t>
      </w:r>
      <w:r>
        <w:rPr>
          <w:rFonts w:ascii="Arial" w:cs="Arial" w:eastAsia="Arial" w:hAnsi="Arial"/>
          <w:sz w:val="19"/>
          <w:szCs w:val="19"/>
          <w:b w:val="1"/>
          <w:bCs w:val="1"/>
          <w:color w:val="auto"/>
        </w:rPr>
        <w:t xml:space="preserve"> </w:t>
      </w:r>
      <w:r>
        <w:rPr>
          <w:rFonts w:ascii="Arial" w:cs="Arial" w:eastAsia="Arial" w:hAnsi="Arial"/>
          <w:sz w:val="19"/>
          <w:szCs w:val="19"/>
          <w:color w:val="auto"/>
        </w:rPr>
        <w:t>comply with your obligations under it, then the Company will provide you the following severance benefits:</w:t>
      </w:r>
    </w:p>
    <w:p>
      <w:pPr>
        <w:spacing w:after="0" w:line="93" w:lineRule="exact"/>
        <w:rPr>
          <w:rFonts w:ascii="Arial" w:cs="Arial" w:eastAsia="Arial" w:hAnsi="Arial"/>
          <w:sz w:val="19"/>
          <w:szCs w:val="19"/>
          <w:b w:val="1"/>
          <w:bCs w:val="1"/>
          <w:color w:val="auto"/>
        </w:rPr>
      </w:pPr>
    </w:p>
    <w:p>
      <w:pPr>
        <w:ind w:left="1960" w:hanging="656"/>
        <w:spacing w:after="0"/>
        <w:tabs>
          <w:tab w:leader="none" w:pos="1960" w:val="left"/>
        </w:tabs>
        <w:numPr>
          <w:ilvl w:val="2"/>
          <w:numId w:val="11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Severance Payment. </w:t>
      </w:r>
      <w:r>
        <w:rPr>
          <w:rFonts w:ascii="Arial" w:cs="Arial" w:eastAsia="Arial" w:hAnsi="Arial"/>
          <w:sz w:val="19"/>
          <w:szCs w:val="19"/>
          <w:color w:val="auto"/>
        </w:rPr>
        <w:t>The Company will pay you a lump-sum severance payment equal to</w:t>
      </w:r>
    </w:p>
    <w:p>
      <w:pPr>
        <w:spacing w:after="0" w:line="48" w:lineRule="exact"/>
        <w:rPr>
          <w:rFonts w:ascii="Arial" w:cs="Arial" w:eastAsia="Arial" w:hAnsi="Arial"/>
          <w:sz w:val="19"/>
          <w:szCs w:val="19"/>
          <w:b w:val="1"/>
          <w:bCs w:val="1"/>
          <w:color w:val="auto"/>
        </w:rPr>
      </w:pPr>
    </w:p>
    <w:p>
      <w:pPr>
        <w:jc w:val="both"/>
        <w:ind w:firstLine="8"/>
        <w:spacing w:after="0" w:line="287" w:lineRule="auto"/>
        <w:tabs>
          <w:tab w:leader="none" w:pos="259" w:val="left"/>
        </w:tabs>
        <w:numPr>
          <w:ilvl w:val="0"/>
          <w:numId w:val="115"/>
        </w:numPr>
        <w:rPr>
          <w:rFonts w:ascii="Arial" w:cs="Arial" w:eastAsia="Arial" w:hAnsi="Arial"/>
          <w:sz w:val="19"/>
          <w:szCs w:val="19"/>
          <w:color w:val="auto"/>
        </w:rPr>
      </w:pPr>
      <w:r>
        <w:rPr>
          <w:rFonts w:ascii="Arial" w:cs="Arial" w:eastAsia="Arial" w:hAnsi="Arial"/>
          <w:sz w:val="19"/>
          <w:szCs w:val="19"/>
          <w:color w:val="auto"/>
        </w:rPr>
        <w:t>12 months of your base salary in effect as of the Separation Date, plus (ii) your target bonus for 2023, pro-rated based on your months of service as an employee during 2023. This severance payment will be subject to standard payroll deductions and withholdings and paid no later than on the 60</w:t>
      </w:r>
      <w:r>
        <w:rPr>
          <w:rFonts w:ascii="Arial" w:cs="Arial" w:eastAsia="Arial" w:hAnsi="Arial"/>
          <w:sz w:val="14"/>
          <w:szCs w:val="14"/>
          <w:color w:val="auto"/>
        </w:rPr>
        <w:t>th</w:t>
      </w:r>
      <w:r>
        <w:rPr>
          <w:rFonts w:ascii="Arial" w:cs="Arial" w:eastAsia="Arial" w:hAnsi="Arial"/>
          <w:sz w:val="19"/>
          <w:szCs w:val="19"/>
          <w:color w:val="auto"/>
        </w:rPr>
        <w:t xml:space="preserve"> day following the Separation Date.</w:t>
      </w:r>
    </w:p>
    <w:p>
      <w:pPr>
        <w:spacing w:after="0" w:line="137" w:lineRule="exact"/>
        <w:rPr>
          <w:rFonts w:ascii="Arial" w:cs="Arial" w:eastAsia="Arial" w:hAnsi="Arial"/>
          <w:sz w:val="19"/>
          <w:szCs w:val="19"/>
          <w:color w:val="auto"/>
        </w:rPr>
      </w:pPr>
    </w:p>
    <w:p>
      <w:pPr>
        <w:ind w:firstLine="1304"/>
        <w:spacing w:after="0" w:line="245" w:lineRule="auto"/>
        <w:tabs>
          <w:tab w:leader="none" w:pos="1944" w:val="left"/>
        </w:tabs>
        <w:numPr>
          <w:ilvl w:val="2"/>
          <w:numId w:val="115"/>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Health Insurance. </w:t>
      </w:r>
      <w:r>
        <w:rPr>
          <w:rFonts w:ascii="Arial" w:cs="Arial" w:eastAsia="Arial" w:hAnsi="Arial"/>
          <w:sz w:val="21"/>
          <w:szCs w:val="21"/>
          <w:color w:val="auto"/>
        </w:rPr>
        <w:t>To the extent provided by the federal COBRA law or, if applicable,</w:t>
      </w:r>
      <w:r>
        <w:rPr>
          <w:rFonts w:ascii="Arial" w:cs="Arial" w:eastAsia="Arial" w:hAnsi="Arial"/>
          <w:sz w:val="21"/>
          <w:szCs w:val="21"/>
          <w:b w:val="1"/>
          <w:bCs w:val="1"/>
          <w:color w:val="auto"/>
        </w:rPr>
        <w:t xml:space="preserve"> </w:t>
      </w:r>
      <w:r>
        <w:rPr>
          <w:rFonts w:ascii="Arial" w:cs="Arial" w:eastAsia="Arial" w:hAnsi="Arial"/>
          <w:sz w:val="21"/>
          <w:szCs w:val="21"/>
          <w:color w:val="auto"/>
        </w:rPr>
        <w:t>state insurance laws, and by the Company’s current group health insurance policies, you will be eligible to continue your group health insurance benefits at your own expense following the Separation Date. Later, you may be able to convert to an individual policy through the provider of the Company’s health insurance, if you wish. You will be provided with a separate notice describing your rights and obligations under COBRA and a form for electing COBRA coverage. As an additional severance benefit under this Agreement, provided that you timely elect continued coverage under COBRA, then the Company will pay you a lump-sum amount of $20,825 which is equal to the COBRA premiums to continue your health insurance for one year following the Separation Date. This payment will be subject to standard payroll deductions and withholdings and paid with the severance payment under Section 3(a) above. You may, but are not required to, use this payment for health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627380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1" w:right="999" w:bottom="1440" w:gutter="0" w:footer="0" w:header="0"/>
        </w:sectPr>
      </w:pPr>
    </w:p>
    <w:bookmarkStart w:id="152" w:name="page153"/>
    <w:bookmarkEnd w:id="152"/>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jc w:val="both"/>
        <w:ind w:firstLine="1304"/>
        <w:spacing w:after="0" w:line="254" w:lineRule="auto"/>
        <w:tabs>
          <w:tab w:leader="none" w:pos="1944" w:val="left"/>
        </w:tabs>
        <w:numPr>
          <w:ilvl w:val="1"/>
          <w:numId w:val="116"/>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Acceleration. </w:t>
      </w:r>
      <w:r>
        <w:rPr>
          <w:rFonts w:ascii="Arial" w:cs="Arial" w:eastAsia="Arial" w:hAnsi="Arial"/>
          <w:sz w:val="21"/>
          <w:szCs w:val="21"/>
          <w:color w:val="auto"/>
        </w:rPr>
        <w:t>You were granted a stock option on June 10, 2020 with respect to 252,060</w:t>
      </w:r>
      <w:r>
        <w:rPr>
          <w:rFonts w:ascii="Arial" w:cs="Arial" w:eastAsia="Arial" w:hAnsi="Arial"/>
          <w:sz w:val="21"/>
          <w:szCs w:val="21"/>
          <w:b w:val="1"/>
          <w:bCs w:val="1"/>
          <w:color w:val="auto"/>
        </w:rPr>
        <w:t xml:space="preserve"> </w:t>
      </w:r>
      <w:r>
        <w:rPr>
          <w:rFonts w:ascii="Arial" w:cs="Arial" w:eastAsia="Arial" w:hAnsi="Arial"/>
          <w:sz w:val="21"/>
          <w:szCs w:val="21"/>
          <w:color w:val="auto"/>
        </w:rPr>
        <w:t>shares of the Company’s common stock (the “</w:t>
      </w:r>
      <w:r>
        <w:rPr>
          <w:rFonts w:ascii="Arial" w:cs="Arial" w:eastAsia="Arial" w:hAnsi="Arial"/>
          <w:sz w:val="21"/>
          <w:szCs w:val="21"/>
          <w:b w:val="1"/>
          <w:bCs w:val="1"/>
          <w:color w:val="auto"/>
        </w:rPr>
        <w:t>Stock Option</w:t>
      </w:r>
      <w:r>
        <w:rPr>
          <w:rFonts w:ascii="Arial" w:cs="Arial" w:eastAsia="Arial" w:hAnsi="Arial"/>
          <w:sz w:val="21"/>
          <w:szCs w:val="21"/>
          <w:color w:val="auto"/>
        </w:rPr>
        <w:t>”). The Company will accelerate the vesting of the Stock Option such that 50% of the unvested portion of the Stock Option as of the Separation Date (which equals 39,384 shares of common stock) shall be deemed vested and exercisable.</w:t>
      </w:r>
    </w:p>
    <w:p>
      <w:pPr>
        <w:spacing w:after="0" w:line="165" w:lineRule="exact"/>
        <w:rPr>
          <w:rFonts w:ascii="Arial" w:cs="Arial" w:eastAsia="Arial" w:hAnsi="Arial"/>
          <w:sz w:val="21"/>
          <w:szCs w:val="21"/>
          <w:b w:val="1"/>
          <w:bCs w:val="1"/>
          <w:color w:val="auto"/>
        </w:rPr>
      </w:pPr>
    </w:p>
    <w:p>
      <w:pPr>
        <w:jc w:val="both"/>
        <w:ind w:firstLine="656"/>
        <w:spacing w:after="0" w:line="243" w:lineRule="auto"/>
        <w:tabs>
          <w:tab w:leader="none" w:pos="1296" w:val="left"/>
        </w:tabs>
        <w:numPr>
          <w:ilvl w:val="0"/>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PERIOD. </w:t>
      </w:r>
      <w:r>
        <w:rPr>
          <w:rFonts w:ascii="Arial" w:cs="Arial" w:eastAsia="Arial" w:hAnsi="Arial"/>
          <w:sz w:val="22"/>
          <w:szCs w:val="22"/>
          <w:color w:val="auto"/>
        </w:rPr>
        <w:t>If you timely sign this Agreement, allow it to become effective, and</w:t>
      </w:r>
      <w:r>
        <w:rPr>
          <w:rFonts w:ascii="Arial" w:cs="Arial" w:eastAsia="Arial" w:hAnsi="Arial"/>
          <w:sz w:val="22"/>
          <w:szCs w:val="22"/>
          <w:b w:val="1"/>
          <w:bCs w:val="1"/>
          <w:color w:val="auto"/>
        </w:rPr>
        <w:t xml:space="preserve"> </w:t>
      </w:r>
      <w:r>
        <w:rPr>
          <w:rFonts w:ascii="Arial" w:cs="Arial" w:eastAsia="Arial" w:hAnsi="Arial"/>
          <w:sz w:val="22"/>
          <w:szCs w:val="22"/>
          <w:color w:val="auto"/>
        </w:rPr>
        <w:t>comply with your obligations under it, then the Company will retain you as a consultant to the Company under the terms specified below.</w:t>
      </w:r>
    </w:p>
    <w:p>
      <w:pPr>
        <w:spacing w:after="0" w:line="176" w:lineRule="exact"/>
        <w:rPr>
          <w:rFonts w:ascii="Arial" w:cs="Arial" w:eastAsia="Arial" w:hAnsi="Arial"/>
          <w:sz w:val="22"/>
          <w:szCs w:val="22"/>
          <w:b w:val="1"/>
          <w:bCs w:val="1"/>
          <w:color w:val="auto"/>
        </w:rPr>
      </w:pPr>
    </w:p>
    <w:p>
      <w:pPr>
        <w:ind w:firstLine="1304"/>
        <w:spacing w:after="0" w:line="256" w:lineRule="auto"/>
        <w:tabs>
          <w:tab w:leader="none" w:pos="1944"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 </w:t>
      </w:r>
      <w:r>
        <w:rPr>
          <w:rFonts w:ascii="Arial" w:cs="Arial" w:eastAsia="Arial" w:hAnsi="Arial"/>
          <w:sz w:val="22"/>
          <w:szCs w:val="22"/>
          <w:color w:val="auto"/>
        </w:rPr>
        <w:t>The term of your consulting will commence on the Separation Date and continue</w:t>
      </w:r>
      <w:r>
        <w:rPr>
          <w:rFonts w:ascii="Arial" w:cs="Arial" w:eastAsia="Arial" w:hAnsi="Arial"/>
          <w:sz w:val="22"/>
          <w:szCs w:val="22"/>
          <w:b w:val="1"/>
          <w:bCs w:val="1"/>
          <w:color w:val="auto"/>
        </w:rPr>
        <w:t xml:space="preserve"> </w:t>
      </w:r>
      <w:r>
        <w:rPr>
          <w:rFonts w:ascii="Arial" w:cs="Arial" w:eastAsia="Arial" w:hAnsi="Arial"/>
          <w:sz w:val="22"/>
          <w:szCs w:val="22"/>
          <w:color w:val="auto"/>
        </w:rPr>
        <w:t>until terminated with 30 days advance notice (the “</w:t>
      </w:r>
      <w:r>
        <w:rPr>
          <w:rFonts w:ascii="Arial" w:cs="Arial" w:eastAsia="Arial" w:hAnsi="Arial"/>
          <w:sz w:val="22"/>
          <w:szCs w:val="22"/>
          <w:b w:val="1"/>
          <w:bCs w:val="1"/>
          <w:color w:val="auto"/>
        </w:rPr>
        <w:t>Consulting Period</w:t>
      </w:r>
      <w:r>
        <w:rPr>
          <w:rFonts w:ascii="Arial" w:cs="Arial" w:eastAsia="Arial" w:hAnsi="Arial"/>
          <w:sz w:val="22"/>
          <w:szCs w:val="22"/>
          <w:color w:val="auto"/>
        </w:rPr>
        <w:t>”).</w:t>
      </w:r>
    </w:p>
    <w:p>
      <w:pPr>
        <w:spacing w:after="0" w:line="162" w:lineRule="exact"/>
        <w:rPr>
          <w:rFonts w:ascii="Arial" w:cs="Arial" w:eastAsia="Arial" w:hAnsi="Arial"/>
          <w:sz w:val="22"/>
          <w:szCs w:val="22"/>
          <w:b w:val="1"/>
          <w:bCs w:val="1"/>
          <w:color w:val="auto"/>
        </w:rPr>
      </w:pPr>
    </w:p>
    <w:p>
      <w:pPr>
        <w:jc w:val="both"/>
        <w:ind w:firstLine="1304"/>
        <w:spacing w:after="0" w:line="289" w:lineRule="auto"/>
        <w:tabs>
          <w:tab w:leader="none" w:pos="1944" w:val="left"/>
        </w:tabs>
        <w:numPr>
          <w:ilvl w:val="1"/>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Consulting Services. </w:t>
      </w:r>
      <w:r>
        <w:rPr>
          <w:rFonts w:ascii="Arial" w:cs="Arial" w:eastAsia="Arial" w:hAnsi="Arial"/>
          <w:sz w:val="19"/>
          <w:szCs w:val="19"/>
          <w:color w:val="auto"/>
        </w:rPr>
        <w:t>During the Consulting Period, you will use your best efforts to</w:t>
      </w:r>
      <w:r>
        <w:rPr>
          <w:rFonts w:ascii="Arial" w:cs="Arial" w:eastAsia="Arial" w:hAnsi="Arial"/>
          <w:sz w:val="19"/>
          <w:szCs w:val="19"/>
          <w:b w:val="1"/>
          <w:bCs w:val="1"/>
          <w:color w:val="auto"/>
        </w:rPr>
        <w:t xml:space="preserve"> </w:t>
      </w:r>
      <w:r>
        <w:rPr>
          <w:rFonts w:ascii="Arial" w:cs="Arial" w:eastAsia="Arial" w:hAnsi="Arial"/>
          <w:sz w:val="19"/>
          <w:szCs w:val="19"/>
          <w:color w:val="auto"/>
        </w:rPr>
        <w:t>provide consulting services as may be requested by the Company in any area of your experience (the “</w:t>
      </w:r>
      <w:r>
        <w:rPr>
          <w:rFonts w:ascii="Arial" w:cs="Arial" w:eastAsia="Arial" w:hAnsi="Arial"/>
          <w:sz w:val="19"/>
          <w:szCs w:val="19"/>
          <w:b w:val="1"/>
          <w:bCs w:val="1"/>
          <w:color w:val="auto"/>
        </w:rPr>
        <w:t>Consulting</w:t>
      </w:r>
      <w:r>
        <w:rPr>
          <w:rFonts w:ascii="Arial" w:cs="Arial" w:eastAsia="Arial" w:hAnsi="Arial"/>
          <w:sz w:val="19"/>
          <w:szCs w:val="19"/>
          <w:color w:val="auto"/>
        </w:rPr>
        <w:t xml:space="preserve"> </w:t>
      </w:r>
      <w:r>
        <w:rPr>
          <w:rFonts w:ascii="Arial" w:cs="Arial" w:eastAsia="Arial" w:hAnsi="Arial"/>
          <w:sz w:val="19"/>
          <w:szCs w:val="19"/>
          <w:b w:val="1"/>
          <w:bCs w:val="1"/>
          <w:color w:val="auto"/>
        </w:rPr>
        <w:t>Services</w:t>
      </w:r>
      <w:r>
        <w:rPr>
          <w:rFonts w:ascii="Arial" w:cs="Arial" w:eastAsia="Arial" w:hAnsi="Arial"/>
          <w:sz w:val="19"/>
          <w:szCs w:val="19"/>
          <w:color w:val="auto"/>
        </w:rPr>
        <w:t>”). The Company anticipates that you will provide services at my request, and subject to my direction (or</w:t>
      </w:r>
      <w:r>
        <w:rPr>
          <w:rFonts w:ascii="Arial" w:cs="Arial" w:eastAsia="Arial" w:hAnsi="Arial"/>
          <w:sz w:val="19"/>
          <w:szCs w:val="19"/>
          <w:b w:val="1"/>
          <w:bCs w:val="1"/>
          <w:color w:val="auto"/>
        </w:rPr>
        <w:t xml:space="preserve"> </w:t>
      </w:r>
      <w:r>
        <w:rPr>
          <w:rFonts w:ascii="Arial" w:cs="Arial" w:eastAsia="Arial" w:hAnsi="Arial"/>
          <w:sz w:val="19"/>
          <w:szCs w:val="19"/>
          <w:color w:val="auto"/>
        </w:rPr>
        <w:t>my designee), and anticipates that you will not be required to perform more than eight hours of service per week.</w:t>
      </w:r>
    </w:p>
    <w:p>
      <w:pPr>
        <w:spacing w:after="0" w:line="135" w:lineRule="exact"/>
        <w:rPr>
          <w:rFonts w:ascii="Arial" w:cs="Arial" w:eastAsia="Arial" w:hAnsi="Arial"/>
          <w:sz w:val="19"/>
          <w:szCs w:val="19"/>
          <w:b w:val="1"/>
          <w:bCs w:val="1"/>
          <w:color w:val="auto"/>
        </w:rPr>
      </w:pPr>
    </w:p>
    <w:p>
      <w:pPr>
        <w:jc w:val="both"/>
        <w:ind w:firstLine="1304"/>
        <w:spacing w:after="0" w:line="243" w:lineRule="auto"/>
        <w:tabs>
          <w:tab w:leader="none" w:pos="1944"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Provision of Consulting Services</w:t>
      </w:r>
      <w:r>
        <w:rPr>
          <w:rFonts w:ascii="Arial" w:cs="Arial" w:eastAsia="Arial" w:hAnsi="Arial"/>
          <w:sz w:val="22"/>
          <w:szCs w:val="22"/>
          <w:color w:val="auto"/>
        </w:rPr>
        <w:t>. You agree to exercise the highest degree of</w:t>
      </w:r>
      <w:r>
        <w:rPr>
          <w:rFonts w:ascii="Arial" w:cs="Arial" w:eastAsia="Arial" w:hAnsi="Arial"/>
          <w:sz w:val="22"/>
          <w:szCs w:val="22"/>
          <w:b w:val="1"/>
          <w:bCs w:val="1"/>
          <w:color w:val="auto"/>
        </w:rPr>
        <w:t xml:space="preserve"> </w:t>
      </w:r>
      <w:r>
        <w:rPr>
          <w:rFonts w:ascii="Arial" w:cs="Arial" w:eastAsia="Arial" w:hAnsi="Arial"/>
          <w:sz w:val="22"/>
          <w:szCs w:val="22"/>
          <w:color w:val="auto"/>
        </w:rPr>
        <w:t>professionalism and utilize your expertise and creative talents in performing the Consulting Services. You shall abide by the Company’s applicable policies and procedures during the Consulting Period.</w:t>
      </w:r>
    </w:p>
    <w:p>
      <w:pPr>
        <w:spacing w:after="0" w:line="176" w:lineRule="exact"/>
        <w:rPr>
          <w:rFonts w:ascii="Arial" w:cs="Arial" w:eastAsia="Arial" w:hAnsi="Arial"/>
          <w:sz w:val="22"/>
          <w:szCs w:val="22"/>
          <w:b w:val="1"/>
          <w:bCs w:val="1"/>
          <w:color w:val="auto"/>
        </w:rPr>
      </w:pPr>
    </w:p>
    <w:p>
      <w:pPr>
        <w:jc w:val="both"/>
        <w:ind w:firstLine="1304"/>
        <w:spacing w:after="0" w:line="239" w:lineRule="auto"/>
        <w:tabs>
          <w:tab w:leader="none" w:pos="1944"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Consulting Fees. </w:t>
      </w:r>
      <w:r>
        <w:rPr>
          <w:rFonts w:ascii="Arial" w:cs="Arial" w:eastAsia="Arial" w:hAnsi="Arial"/>
          <w:sz w:val="22"/>
          <w:szCs w:val="22"/>
          <w:color w:val="auto"/>
        </w:rPr>
        <w:t>During the Consulting Period, you will receive a consulting fee of</w:t>
      </w:r>
      <w:r>
        <w:rPr>
          <w:rFonts w:ascii="Arial" w:cs="Arial" w:eastAsia="Arial" w:hAnsi="Arial"/>
          <w:sz w:val="22"/>
          <w:szCs w:val="22"/>
          <w:b w:val="1"/>
          <w:bCs w:val="1"/>
          <w:color w:val="auto"/>
        </w:rPr>
        <w:t xml:space="preserve"> </w:t>
      </w:r>
      <w:r>
        <w:rPr>
          <w:rFonts w:ascii="Arial" w:cs="Arial" w:eastAsia="Arial" w:hAnsi="Arial"/>
          <w:sz w:val="22"/>
          <w:szCs w:val="22"/>
          <w:color w:val="auto"/>
        </w:rPr>
        <w:t>$2,500 payable quarterly, commencing on April 1, 2023 (“</w:t>
      </w:r>
      <w:r>
        <w:rPr>
          <w:rFonts w:ascii="Arial" w:cs="Arial" w:eastAsia="Arial" w:hAnsi="Arial"/>
          <w:sz w:val="22"/>
          <w:szCs w:val="22"/>
          <w:b w:val="1"/>
          <w:bCs w:val="1"/>
          <w:color w:val="auto"/>
        </w:rPr>
        <w:t>Consulting Fees</w:t>
      </w:r>
      <w:r>
        <w:rPr>
          <w:rFonts w:ascii="Arial" w:cs="Arial" w:eastAsia="Arial" w:hAnsi="Arial"/>
          <w:sz w:val="22"/>
          <w:szCs w:val="22"/>
          <w:color w:val="auto"/>
        </w:rPr>
        <w:t>”). You shall seek advance written approval prior to incurring any expenses for which you will seek reimbursement in connection with your duties during the Consulting Period.</w:t>
      </w:r>
    </w:p>
    <w:p>
      <w:pPr>
        <w:spacing w:after="0" w:line="180" w:lineRule="exact"/>
        <w:rPr>
          <w:rFonts w:ascii="Arial" w:cs="Arial" w:eastAsia="Arial" w:hAnsi="Arial"/>
          <w:sz w:val="22"/>
          <w:szCs w:val="22"/>
          <w:b w:val="1"/>
          <w:bCs w:val="1"/>
          <w:color w:val="auto"/>
        </w:rPr>
      </w:pPr>
    </w:p>
    <w:p>
      <w:pPr>
        <w:jc w:val="both"/>
        <w:ind w:firstLine="1304"/>
        <w:spacing w:after="0" w:line="283" w:lineRule="auto"/>
        <w:tabs>
          <w:tab w:leader="none" w:pos="1944" w:val="left"/>
        </w:tabs>
        <w:numPr>
          <w:ilvl w:val="1"/>
          <w:numId w:val="117"/>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Equity Awards. </w:t>
      </w:r>
      <w:r>
        <w:rPr>
          <w:rFonts w:ascii="Arial" w:cs="Arial" w:eastAsia="Arial" w:hAnsi="Arial"/>
          <w:sz w:val="19"/>
          <w:szCs w:val="19"/>
          <w:color w:val="auto"/>
        </w:rPr>
        <w:t>Because your service as an employee and consultant will be continuous,</w:t>
      </w:r>
      <w:r>
        <w:rPr>
          <w:rFonts w:ascii="Arial" w:cs="Arial" w:eastAsia="Arial" w:hAnsi="Arial"/>
          <w:sz w:val="19"/>
          <w:szCs w:val="19"/>
          <w:b w:val="1"/>
          <w:bCs w:val="1"/>
          <w:color w:val="auto"/>
        </w:rPr>
        <w:t xml:space="preserve"> </w:t>
      </w:r>
      <w:r>
        <w:rPr>
          <w:rFonts w:ascii="Arial" w:cs="Arial" w:eastAsia="Arial" w:hAnsi="Arial"/>
          <w:sz w:val="19"/>
          <w:szCs w:val="19"/>
          <w:color w:val="auto"/>
        </w:rPr>
        <w:t>your termination of employment will not constitute a termination of service. Thus, vesting of your outstanding equity awards to acquire the Company’s common stock (the “</w:t>
      </w:r>
      <w:r>
        <w:rPr>
          <w:rFonts w:ascii="Arial" w:cs="Arial" w:eastAsia="Arial" w:hAnsi="Arial"/>
          <w:sz w:val="19"/>
          <w:szCs w:val="19"/>
          <w:b w:val="1"/>
          <w:bCs w:val="1"/>
          <w:color w:val="auto"/>
        </w:rPr>
        <w:t>Equity Awards</w:t>
      </w:r>
      <w:r>
        <w:rPr>
          <w:rFonts w:ascii="Arial" w:cs="Arial" w:eastAsia="Arial" w:hAnsi="Arial"/>
          <w:sz w:val="19"/>
          <w:szCs w:val="19"/>
          <w:color w:val="auto"/>
        </w:rPr>
        <w:t>”) will not cease as of the Separation Date but instead shall continue until your consulting services cease. Your Equity Awards shall continue to be governed by the plans under which they were granted and all applicable grant notices and agreements.</w:t>
      </w:r>
    </w:p>
    <w:p>
      <w:pPr>
        <w:spacing w:after="0" w:line="142" w:lineRule="exact"/>
        <w:rPr>
          <w:rFonts w:ascii="Arial" w:cs="Arial" w:eastAsia="Arial" w:hAnsi="Arial"/>
          <w:sz w:val="19"/>
          <w:szCs w:val="19"/>
          <w:b w:val="1"/>
          <w:bCs w:val="1"/>
          <w:color w:val="auto"/>
        </w:rPr>
      </w:pPr>
    </w:p>
    <w:p>
      <w:pPr>
        <w:jc w:val="both"/>
        <w:ind w:firstLine="1304"/>
        <w:spacing w:after="0" w:line="249" w:lineRule="auto"/>
        <w:tabs>
          <w:tab w:leader="none" w:pos="1944" w:val="left"/>
        </w:tabs>
        <w:numPr>
          <w:ilvl w:val="1"/>
          <w:numId w:val="117"/>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Independent Contractor Relationship. </w:t>
      </w:r>
      <w:r>
        <w:rPr>
          <w:rFonts w:ascii="Arial" w:cs="Arial" w:eastAsia="Arial" w:hAnsi="Arial"/>
          <w:sz w:val="21"/>
          <w:szCs w:val="21"/>
          <w:color w:val="auto"/>
        </w:rPr>
        <w:t>During the Consulting Period, your relationship</w:t>
      </w:r>
      <w:r>
        <w:rPr>
          <w:rFonts w:ascii="Arial" w:cs="Arial" w:eastAsia="Arial" w:hAnsi="Arial"/>
          <w:sz w:val="21"/>
          <w:szCs w:val="21"/>
          <w:b w:val="1"/>
          <w:bCs w:val="1"/>
          <w:color w:val="auto"/>
        </w:rPr>
        <w:t xml:space="preserve"> </w:t>
      </w:r>
      <w:r>
        <w:rPr>
          <w:rFonts w:ascii="Arial" w:cs="Arial" w:eastAsia="Arial" w:hAnsi="Arial"/>
          <w:sz w:val="21"/>
          <w:szCs w:val="21"/>
          <w:color w:val="auto"/>
        </w:rPr>
        <w:t>with the Company will be that of an independent contractor, and nothing in this Agreement is intended to, or should be construed to, create a partnership, agency, joint venture or employment relationship after the Separation Date. Except as expressly provided in this Agreement, you will not be entitled to, and will not receive, any benefits that the Company may make available to its employees, including but not limited to, group health or life insurance, profit-sharing or retirement benefits.</w:t>
      </w:r>
    </w:p>
    <w:p>
      <w:pPr>
        <w:spacing w:after="0" w:line="170" w:lineRule="exact"/>
        <w:rPr>
          <w:rFonts w:ascii="Arial" w:cs="Arial" w:eastAsia="Arial" w:hAnsi="Arial"/>
          <w:sz w:val="21"/>
          <w:szCs w:val="21"/>
          <w:b w:val="1"/>
          <w:bCs w:val="1"/>
          <w:color w:val="auto"/>
        </w:rPr>
      </w:pPr>
    </w:p>
    <w:p>
      <w:pPr>
        <w:ind w:firstLine="1304"/>
        <w:spacing w:after="0" w:line="256" w:lineRule="auto"/>
        <w:tabs>
          <w:tab w:leader="none" w:pos="1944" w:val="left"/>
        </w:tabs>
        <w:numPr>
          <w:ilvl w:val="1"/>
          <w:numId w:val="117"/>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Taxes and Withholding. </w:t>
      </w:r>
      <w:r>
        <w:rPr>
          <w:rFonts w:ascii="Arial" w:cs="Arial" w:eastAsia="Arial" w:hAnsi="Arial"/>
          <w:sz w:val="22"/>
          <w:szCs w:val="22"/>
          <w:color w:val="auto"/>
        </w:rPr>
        <w:t>As an independent contractor, the Company will not withhold</w:t>
      </w:r>
      <w:r>
        <w:rPr>
          <w:rFonts w:ascii="Arial" w:cs="Arial" w:eastAsia="Arial" w:hAnsi="Arial"/>
          <w:sz w:val="22"/>
          <w:szCs w:val="22"/>
          <w:b w:val="1"/>
          <w:bCs w:val="1"/>
          <w:color w:val="auto"/>
        </w:rPr>
        <w:t xml:space="preserve"> </w:t>
      </w:r>
      <w:r>
        <w:rPr>
          <w:rFonts w:ascii="Arial" w:cs="Arial" w:eastAsia="Arial" w:hAnsi="Arial"/>
          <w:sz w:val="22"/>
          <w:szCs w:val="22"/>
          <w:color w:val="auto"/>
        </w:rPr>
        <w:t>any amount for taxes, social security or other payroll deductions relating to your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617855</wp:posOffset>
            </wp:positionV>
            <wp:extent cx="629221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3" w:name="page154"/>
    <w:bookmarkEnd w:id="153"/>
    <w:p>
      <w:pPr>
        <w:spacing w:after="0"/>
        <w:rPr>
          <w:sz w:val="20"/>
          <w:szCs w:val="20"/>
          <w:color w:val="auto"/>
        </w:rPr>
      </w:pPr>
      <w:r>
        <w:rPr>
          <w:rFonts w:ascii="Arial" w:cs="Arial" w:eastAsia="Arial" w:hAnsi="Arial"/>
          <w:sz w:val="22"/>
          <w:szCs w:val="22"/>
          <w:color w:val="auto"/>
        </w:rPr>
        <w:t>Page 3</w:t>
      </w:r>
    </w:p>
    <w:p>
      <w:pPr>
        <w:spacing w:after="0" w:line="2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consulting service. The Company will issue you a Form 1099 with respect to any compensation resulting from your consulting service. Any taxable income resulting from your employment, including taxes upon exercise of nonqualified stock options or settlement of restricted stock units granted to you in your capacity as an employee, will be reported to you as employment income on Form W-2 and be subject to withholding that you will be required to satisfy to the extent required by law. You acknowledge that you will be entirely responsible for payment of any such taxes, and you hereby indemnify, defend and save harmless the Company, and its officers and directors in their individual capacity, from any liability for any taxes, penalties or interest that may be assessed by any taxing authority with respect to all compensation you receive under this Agreement, with the exception of the employer’s share of social security, if any.</w:t>
      </w:r>
    </w:p>
    <w:p>
      <w:pPr>
        <w:spacing w:after="0" w:line="178" w:lineRule="exact"/>
        <w:rPr>
          <w:sz w:val="20"/>
          <w:szCs w:val="20"/>
          <w:color w:val="auto"/>
        </w:rPr>
      </w:pPr>
    </w:p>
    <w:p>
      <w:pPr>
        <w:jc w:val="both"/>
        <w:ind w:firstLine="1304"/>
        <w:spacing w:after="0" w:line="283" w:lineRule="auto"/>
        <w:tabs>
          <w:tab w:leader="none" w:pos="1944"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Limitations on Authority. </w:t>
      </w:r>
      <w:r>
        <w:rPr>
          <w:rFonts w:ascii="Arial" w:cs="Arial" w:eastAsia="Arial" w:hAnsi="Arial"/>
          <w:sz w:val="19"/>
          <w:szCs w:val="19"/>
          <w:color w:val="auto"/>
        </w:rPr>
        <w:t>During the Consulting Period, you will have no responsibilities</w:t>
      </w:r>
      <w:r>
        <w:rPr>
          <w:rFonts w:ascii="Arial" w:cs="Arial" w:eastAsia="Arial" w:hAnsi="Arial"/>
          <w:sz w:val="19"/>
          <w:szCs w:val="19"/>
          <w:b w:val="1"/>
          <w:bCs w:val="1"/>
          <w:color w:val="auto"/>
        </w:rPr>
        <w:t xml:space="preserve"> </w:t>
      </w:r>
      <w:r>
        <w:rPr>
          <w:rFonts w:ascii="Arial" w:cs="Arial" w:eastAsia="Arial" w:hAnsi="Arial"/>
          <w:sz w:val="19"/>
          <w:szCs w:val="19"/>
          <w:color w:val="auto"/>
        </w:rPr>
        <w:t>or authority as a consultant to the Company other than as provided above. You will have no authority to bind the Company to any contractual obligations, whether written, oral or implied, except with the prior written authorization of an officer of the Company. You agree not to represent or purport to represent the Company in any manner whatsoever to any third party unless authorized in advance by the Company, in writing, to do so.</w:t>
      </w:r>
    </w:p>
    <w:p>
      <w:pPr>
        <w:spacing w:after="0" w:line="142" w:lineRule="exact"/>
        <w:rPr>
          <w:rFonts w:ascii="Arial" w:cs="Arial" w:eastAsia="Arial" w:hAnsi="Arial"/>
          <w:sz w:val="19"/>
          <w:szCs w:val="19"/>
          <w:b w:val="1"/>
          <w:bCs w:val="1"/>
          <w:color w:val="auto"/>
        </w:rPr>
      </w:pPr>
    </w:p>
    <w:p>
      <w:pPr>
        <w:jc w:val="both"/>
        <w:ind w:firstLine="1304"/>
        <w:spacing w:after="0" w:line="247" w:lineRule="auto"/>
        <w:tabs>
          <w:tab w:leader="none" w:pos="1944"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Confidential Information and Inventions. </w:t>
      </w:r>
      <w:r>
        <w:rPr>
          <w:rFonts w:ascii="Arial" w:cs="Arial" w:eastAsia="Arial" w:hAnsi="Arial"/>
          <w:sz w:val="21"/>
          <w:szCs w:val="21"/>
          <w:color w:val="auto"/>
        </w:rPr>
        <w:t>You agree that, during the Consulting Period</w:t>
      </w:r>
      <w:r>
        <w:rPr>
          <w:rFonts w:ascii="Arial" w:cs="Arial" w:eastAsia="Arial" w:hAnsi="Arial"/>
          <w:sz w:val="21"/>
          <w:szCs w:val="21"/>
          <w:b w:val="1"/>
          <w:bCs w:val="1"/>
          <w:color w:val="auto"/>
        </w:rPr>
        <w:t xml:space="preserve"> </w:t>
      </w:r>
      <w:r>
        <w:rPr>
          <w:rFonts w:ascii="Arial" w:cs="Arial" w:eastAsia="Arial" w:hAnsi="Arial"/>
          <w:sz w:val="21"/>
          <w:szCs w:val="21"/>
          <w:color w:val="auto"/>
        </w:rPr>
        <w:t>and thereafter, you will not use or disclose, in any manner that is not authorized by the Company or essential to your performance of specifically requested Consulting Services, any confidential or proprietary information or materials of the Company that you obtain or develop in the course of performing the Consulting Services. Any and all work product you create in the course of performing the Consulting Services will be the sole and exclusive property of the Company. You hereby assign to the Company all right, title, and interest in all inventions, techniques, processes, materials, and other intellectual property developed in the course of performing the Consulting Services.</w:t>
      </w:r>
    </w:p>
    <w:p>
      <w:pPr>
        <w:spacing w:after="0" w:line="171" w:lineRule="exact"/>
        <w:rPr>
          <w:rFonts w:ascii="Arial" w:cs="Arial" w:eastAsia="Arial" w:hAnsi="Arial"/>
          <w:sz w:val="21"/>
          <w:szCs w:val="21"/>
          <w:b w:val="1"/>
          <w:bCs w:val="1"/>
          <w:color w:val="auto"/>
        </w:rPr>
      </w:pPr>
    </w:p>
    <w:p>
      <w:pPr>
        <w:jc w:val="both"/>
        <w:ind w:firstLine="1304"/>
        <w:spacing w:after="0" w:line="276" w:lineRule="auto"/>
        <w:tabs>
          <w:tab w:leader="none" w:pos="1944" w:val="left"/>
        </w:tabs>
        <w:numPr>
          <w:ilvl w:val="0"/>
          <w:numId w:val="118"/>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Other Work Activities. </w:t>
      </w:r>
      <w:r>
        <w:rPr>
          <w:rFonts w:ascii="Arial" w:cs="Arial" w:eastAsia="Arial" w:hAnsi="Arial"/>
          <w:sz w:val="19"/>
          <w:szCs w:val="19"/>
          <w:color w:val="auto"/>
        </w:rPr>
        <w:t>Throughout the Consulting Period, you shall have the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engage in employment, consulting, or other work relationships in addition to your work for the Company. The Company will make arrangements to enable you to perform your work for the Company at such times and in such a manner so that it will not unreasonably interfere with other activities in which you may engage. In order to protect the trade secrets and confidential and proprietary information of the Company, you agree that, during the Consulting Period, you will notify me in writing, and obtain the Company’s written consent, before you obtain employment with, or perform competitive work for, any business entity that is competitive with the Company, or engage in any other work activity, or preparation for work activity, competitive with the Company.</w:t>
      </w:r>
    </w:p>
    <w:p>
      <w:pPr>
        <w:spacing w:after="0" w:line="149" w:lineRule="exact"/>
        <w:rPr>
          <w:rFonts w:ascii="Arial" w:cs="Arial" w:eastAsia="Arial" w:hAnsi="Arial"/>
          <w:sz w:val="19"/>
          <w:szCs w:val="19"/>
          <w:b w:val="1"/>
          <w:bCs w:val="1"/>
          <w:color w:val="auto"/>
        </w:rPr>
      </w:pPr>
    </w:p>
    <w:p>
      <w:pPr>
        <w:jc w:val="both"/>
        <w:ind w:firstLine="1304"/>
        <w:spacing w:after="0" w:line="239" w:lineRule="auto"/>
        <w:tabs>
          <w:tab w:leader="none" w:pos="1944" w:val="left"/>
        </w:tabs>
        <w:numPr>
          <w:ilvl w:val="0"/>
          <w:numId w:val="11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Termination of Consulting Period. </w:t>
      </w:r>
      <w:r>
        <w:rPr>
          <w:rFonts w:ascii="Arial" w:cs="Arial" w:eastAsia="Arial" w:hAnsi="Arial"/>
          <w:sz w:val="22"/>
          <w:szCs w:val="22"/>
          <w:color w:val="auto"/>
        </w:rPr>
        <w:t>Either party may terminate the Consulting Period</w:t>
      </w:r>
      <w:r>
        <w:rPr>
          <w:rFonts w:ascii="Arial" w:cs="Arial" w:eastAsia="Arial" w:hAnsi="Arial"/>
          <w:sz w:val="22"/>
          <w:szCs w:val="22"/>
          <w:b w:val="1"/>
          <w:bCs w:val="1"/>
          <w:color w:val="auto"/>
        </w:rPr>
        <w:t xml:space="preserve"> </w:t>
      </w:r>
      <w:r>
        <w:rPr>
          <w:rFonts w:ascii="Arial" w:cs="Arial" w:eastAsia="Arial" w:hAnsi="Arial"/>
          <w:sz w:val="22"/>
          <w:szCs w:val="22"/>
          <w:color w:val="auto"/>
        </w:rPr>
        <w:t>upon 30 days’ advance written notice to the other party. Additionally, the Company may terminate the Consulting Period immediately upon written notice to you in the event of your material breach of any legal or contractual obligation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629285</wp:posOffset>
            </wp:positionV>
            <wp:extent cx="629221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color w:val="auto"/>
        </w:rPr>
        <w:t>Page 4</w:t>
      </w:r>
    </w:p>
    <w:p>
      <w:pPr>
        <w:spacing w:after="0" w:line="200" w:lineRule="exact"/>
        <w:rPr>
          <w:sz w:val="20"/>
          <w:szCs w:val="20"/>
          <w:color w:val="auto"/>
        </w:rPr>
      </w:pPr>
    </w:p>
    <w:p>
      <w:pPr>
        <w:jc w:val="both"/>
        <w:ind w:firstLine="656"/>
        <w:spacing w:after="0" w:line="247" w:lineRule="auto"/>
        <w:tabs>
          <w:tab w:leader="none" w:pos="1296"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OTHER COMPENSATION OR BENEFITS. </w:t>
      </w:r>
      <w:r>
        <w:rPr>
          <w:rFonts w:ascii="Arial" w:cs="Arial" w:eastAsia="Arial" w:hAnsi="Arial"/>
          <w:sz w:val="21"/>
          <w:szCs w:val="21"/>
          <w:color w:val="auto"/>
        </w:rPr>
        <w:t>You acknowledge that, except as expressly</w:t>
      </w:r>
      <w:r>
        <w:rPr>
          <w:rFonts w:ascii="Arial" w:cs="Arial" w:eastAsia="Arial" w:hAnsi="Arial"/>
          <w:sz w:val="21"/>
          <w:szCs w:val="21"/>
          <w:b w:val="1"/>
          <w:bCs w:val="1"/>
          <w:color w:val="auto"/>
        </w:rPr>
        <w:t xml:space="preserve"> </w:t>
      </w:r>
      <w:r>
        <w:rPr>
          <w:rFonts w:ascii="Arial" w:cs="Arial" w:eastAsia="Arial" w:hAnsi="Arial"/>
          <w:sz w:val="21"/>
          <w:szCs w:val="21"/>
          <w:color w:val="auto"/>
        </w:rPr>
        <w:t>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You further acknowledge and agree that you are accepting the benefits set forth herein in full satisfaction of any severance benefits you are eligible to receive from the Company under any plan or agreement, including (without limitation) under the terms of your November 13, 2020 amended and restated offer letter with the Company.</w:t>
      </w:r>
    </w:p>
    <w:p>
      <w:pPr>
        <w:spacing w:after="0" w:line="171" w:lineRule="exact"/>
        <w:rPr>
          <w:rFonts w:ascii="Arial" w:cs="Arial" w:eastAsia="Arial" w:hAnsi="Arial"/>
          <w:sz w:val="21"/>
          <w:szCs w:val="21"/>
          <w:b w:val="1"/>
          <w:bCs w:val="1"/>
          <w:color w:val="auto"/>
        </w:rPr>
      </w:pPr>
    </w:p>
    <w:p>
      <w:pPr>
        <w:jc w:val="both"/>
        <w:ind w:firstLine="656"/>
        <w:spacing w:after="0" w:line="239" w:lineRule="auto"/>
        <w:tabs>
          <w:tab w:leader="none" w:pos="1296"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EXPENSE REIMBURSEMENTS. </w:t>
      </w:r>
      <w:r>
        <w:rPr>
          <w:rFonts w:ascii="Arial" w:cs="Arial" w:eastAsia="Arial" w:hAnsi="Arial"/>
          <w:sz w:val="22"/>
          <w:szCs w:val="22"/>
          <w:color w:val="auto"/>
        </w:rPr>
        <w:t>You agree that, within 30 days after the Separation Date, you</w:t>
      </w:r>
      <w:r>
        <w:rPr>
          <w:rFonts w:ascii="Arial" w:cs="Arial" w:eastAsia="Arial" w:hAnsi="Arial"/>
          <w:sz w:val="22"/>
          <w:szCs w:val="22"/>
          <w:b w:val="1"/>
          <w:bCs w:val="1"/>
          <w:color w:val="auto"/>
        </w:rPr>
        <w:t xml:space="preserve"> </w:t>
      </w:r>
      <w:r>
        <w:rPr>
          <w:rFonts w:ascii="Arial" w:cs="Arial" w:eastAsia="Arial" w:hAnsi="Arial"/>
          <w:sz w:val="22"/>
          <w:szCs w:val="22"/>
          <w:color w:val="auto"/>
        </w:rPr>
        <w:t>will submit your final documented expense reimbursement statement reflecting all business expenses you incurred through the Separation Date, if any, for which you seek reimbursement. The Company will reimburse you for these expenses pursuant to its regular business practice.</w:t>
      </w:r>
    </w:p>
    <w:p>
      <w:pPr>
        <w:spacing w:after="0" w:line="180"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19"/>
        </w:numPr>
        <w:rPr>
          <w:rFonts w:ascii="Arial" w:cs="Arial" w:eastAsia="Arial" w:hAnsi="Arial"/>
          <w:sz w:val="22"/>
          <w:szCs w:val="22"/>
          <w:b w:val="1"/>
          <w:bCs w:val="1"/>
          <w:color w:val="auto"/>
        </w:rPr>
      </w:pPr>
      <w:r>
        <w:rPr>
          <w:rFonts w:ascii="Arial" w:cs="Arial" w:eastAsia="Arial" w:hAnsi="Arial"/>
          <w:sz w:val="22"/>
          <w:szCs w:val="22"/>
          <w:b w:val="1"/>
          <w:bCs w:val="1"/>
          <w:color w:val="auto"/>
        </w:rPr>
        <w:t>RELEASE OF CLAIMS.</w:t>
      </w:r>
    </w:p>
    <w:p>
      <w:pPr>
        <w:spacing w:after="0" w:line="206" w:lineRule="exact"/>
        <w:rPr>
          <w:rFonts w:ascii="Arial" w:cs="Arial" w:eastAsia="Arial" w:hAnsi="Arial"/>
          <w:sz w:val="22"/>
          <w:szCs w:val="22"/>
          <w:b w:val="1"/>
          <w:bCs w:val="1"/>
          <w:color w:val="auto"/>
        </w:rPr>
      </w:pPr>
    </w:p>
    <w:p>
      <w:pPr>
        <w:jc w:val="both"/>
        <w:ind w:firstLine="1304"/>
        <w:spacing w:after="0" w:line="247" w:lineRule="auto"/>
        <w:tabs>
          <w:tab w:leader="none" w:pos="1944" w:val="left"/>
        </w:tabs>
        <w:numPr>
          <w:ilvl w:val="1"/>
          <w:numId w:val="119"/>
        </w:numPr>
        <w:rPr>
          <w:rFonts w:ascii="Arial" w:cs="Arial" w:eastAsia="Arial" w:hAnsi="Arial"/>
          <w:sz w:val="21"/>
          <w:szCs w:val="21"/>
          <w:b w:val="1"/>
          <w:bCs w:val="1"/>
          <w:color w:val="auto"/>
        </w:rPr>
      </w:pPr>
      <w:r>
        <w:rPr>
          <w:rFonts w:ascii="Arial" w:cs="Arial" w:eastAsia="Arial" w:hAnsi="Arial"/>
          <w:sz w:val="21"/>
          <w:szCs w:val="21"/>
          <w:b w:val="1"/>
          <w:bCs w:val="1"/>
          <w:color w:val="auto"/>
        </w:rPr>
        <w:t>General Release of Claims</w:t>
      </w:r>
      <w:r>
        <w:rPr>
          <w:rFonts w:ascii="Arial" w:cs="Arial" w:eastAsia="Arial" w:hAnsi="Arial"/>
          <w:sz w:val="21"/>
          <w:szCs w:val="21"/>
          <w:color w:val="auto"/>
        </w:rPr>
        <w:t>. In exchange for the consideration provided to you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which you 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177" w:lineRule="exact"/>
        <w:rPr>
          <w:rFonts w:ascii="Arial" w:cs="Arial" w:eastAsia="Arial" w:hAnsi="Arial"/>
          <w:sz w:val="21"/>
          <w:szCs w:val="21"/>
          <w:b w:val="1"/>
          <w:bCs w:val="1"/>
          <w:color w:val="auto"/>
        </w:rPr>
      </w:pPr>
    </w:p>
    <w:p>
      <w:pPr>
        <w:jc w:val="both"/>
        <w:ind w:firstLine="1304"/>
        <w:spacing w:after="0" w:line="271" w:lineRule="auto"/>
        <w:tabs>
          <w:tab w:leader="none" w:pos="1944" w:val="left"/>
        </w:tabs>
        <w:numPr>
          <w:ilvl w:val="1"/>
          <w:numId w:val="119"/>
        </w:numPr>
        <w:rPr>
          <w:rFonts w:ascii="Arial" w:cs="Arial" w:eastAsia="Arial" w:hAnsi="Arial"/>
          <w:sz w:val="19"/>
          <w:szCs w:val="19"/>
          <w:b w:val="1"/>
          <w:bCs w:val="1"/>
          <w:color w:val="auto"/>
        </w:rPr>
      </w:pPr>
      <w:r>
        <w:rPr>
          <w:rFonts w:ascii="Arial" w:cs="Arial" w:eastAsia="Arial" w:hAnsi="Arial"/>
          <w:sz w:val="19"/>
          <w:szCs w:val="19"/>
          <w:b w:val="1"/>
          <w:bCs w:val="1"/>
          <w:color w:val="auto"/>
        </w:rPr>
        <w:t>Scope of Release</w:t>
      </w:r>
      <w:r>
        <w:rPr>
          <w:rFonts w:ascii="Arial" w:cs="Arial" w:eastAsia="Arial" w:hAnsi="Arial"/>
          <w:sz w:val="19"/>
          <w:szCs w:val="19"/>
          <w:color w:val="auto"/>
        </w:rPr>
        <w:t>. This general release includes, but is not limited to: (i) all claims arising</w:t>
      </w:r>
      <w:r>
        <w:rPr>
          <w:rFonts w:ascii="Arial" w:cs="Arial" w:eastAsia="Arial" w:hAnsi="Arial"/>
          <w:sz w:val="19"/>
          <w:szCs w:val="19"/>
          <w:b w:val="1"/>
          <w:bCs w:val="1"/>
          <w:color w:val="auto"/>
        </w:rPr>
        <w:t xml:space="preserve"> </w:t>
      </w:r>
      <w:r>
        <w:rPr>
          <w:rFonts w:ascii="Arial" w:cs="Arial" w:eastAsia="Arial" w:hAnsi="Arial"/>
          <w:sz w:val="19"/>
          <w:szCs w:val="19"/>
          <w:color w:val="auto"/>
        </w:rPr>
        <w:t>from or in any way related to 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the federal Americans with Disabilities Act of 1990, the California Labor Code, the California Family Rights Act, the Age Discrimination in Employment Act (“</w:t>
      </w:r>
      <w:r>
        <w:rPr>
          <w:rFonts w:ascii="Arial" w:cs="Arial" w:eastAsia="Arial" w:hAnsi="Arial"/>
          <w:sz w:val="19"/>
          <w:szCs w:val="19"/>
          <w:b w:val="1"/>
          <w:bCs w:val="1"/>
          <w:color w:val="auto"/>
        </w:rPr>
        <w:t>ADEA</w:t>
      </w:r>
      <w:r>
        <w:rPr>
          <w:rFonts w:ascii="Arial" w:cs="Arial" w:eastAsia="Arial" w:hAnsi="Arial"/>
          <w:sz w:val="19"/>
          <w:szCs w:val="19"/>
          <w:color w:val="auto"/>
        </w:rPr>
        <w:t xml:space="preserve">”) and the California Fair Employment and Housing Act. </w:t>
      </w:r>
      <w:r>
        <w:rPr>
          <w:rFonts w:ascii="Arial" w:cs="Arial" w:eastAsia="Arial" w:hAnsi="Arial"/>
          <w:sz w:val="19"/>
          <w:szCs w:val="19"/>
          <w:b w:val="1"/>
          <w:bCs w:val="1"/>
          <w:color w:val="auto"/>
        </w:rPr>
        <w:t>You acknowledge that you have been advised, as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required by California Government Code Section 12964.5(b)(4), that you have the right to consult an attorney regarding this Agreement and that you were given a reasonable time period of not less than five business days in which to do so. </w:t>
      </w:r>
      <w:r>
        <w:rPr>
          <w:rFonts w:ascii="Arial" w:cs="Arial" w:eastAsia="Arial" w:hAnsi="Arial"/>
          <w:sz w:val="19"/>
          <w:szCs w:val="19"/>
          <w:color w:val="auto"/>
        </w:rPr>
        <w:t>You further acknowledge and agree that, in the event you sign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prior to the end of the reasonable time period provided by the Company, your decision to accept such shortening of time is knowing and voluntary and is not induced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770890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5" w:name="page156"/>
    <w:bookmarkEnd w:id="155"/>
    <w:p>
      <w:pPr>
        <w:spacing w:after="0"/>
        <w:rPr>
          <w:sz w:val="20"/>
          <w:szCs w:val="20"/>
          <w:color w:val="auto"/>
        </w:rPr>
      </w:pPr>
      <w:r>
        <w:rPr>
          <w:rFonts w:ascii="Arial" w:cs="Arial" w:eastAsia="Arial" w:hAnsi="Arial"/>
          <w:sz w:val="22"/>
          <w:szCs w:val="22"/>
          <w:color w:val="auto"/>
        </w:rPr>
        <w:t>Page 5</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through fraud, misrepresentation, or a threat to withdraw or alter the offer prior to the expiration of the reasonable time period, or by providing different terms to employees who sign such an agreement prior to the expiration of the time period.</w:t>
      </w:r>
    </w:p>
    <w:p>
      <w:pPr>
        <w:spacing w:after="0" w:line="180" w:lineRule="exact"/>
        <w:rPr>
          <w:sz w:val="20"/>
          <w:szCs w:val="20"/>
          <w:color w:val="auto"/>
        </w:rPr>
      </w:pPr>
    </w:p>
    <w:p>
      <w:pPr>
        <w:jc w:val="both"/>
        <w:ind w:firstLine="1304"/>
        <w:spacing w:after="0" w:line="270" w:lineRule="auto"/>
        <w:tabs>
          <w:tab w:leader="none" w:pos="1944" w:val="left"/>
        </w:tabs>
        <w:numPr>
          <w:ilvl w:val="1"/>
          <w:numId w:val="120"/>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ADEA Release. </w:t>
      </w:r>
      <w:r>
        <w:rPr>
          <w:rFonts w:ascii="Arial" w:cs="Arial" w:eastAsia="Arial" w:hAnsi="Arial"/>
          <w:sz w:val="19"/>
          <w:szCs w:val="19"/>
          <w:color w:val="auto"/>
        </w:rPr>
        <w:t>You acknowledge that you are knowingly and voluntarily waiving and</w:t>
      </w:r>
      <w:r>
        <w:rPr>
          <w:rFonts w:ascii="Arial" w:cs="Arial" w:eastAsia="Arial" w:hAnsi="Arial"/>
          <w:sz w:val="19"/>
          <w:szCs w:val="19"/>
          <w:b w:val="1"/>
          <w:bCs w:val="1"/>
          <w:color w:val="auto"/>
        </w:rPr>
        <w:t xml:space="preserve"> </w:t>
      </w:r>
      <w:r>
        <w:rPr>
          <w:rFonts w:ascii="Arial" w:cs="Arial" w:eastAsia="Arial" w:hAnsi="Arial"/>
          <w:sz w:val="19"/>
          <w:szCs w:val="19"/>
          <w:color w:val="auto"/>
        </w:rPr>
        <w:t>releasing any rights you 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 21 days to consider this Agreement (although you may choose voluntarily to sign it sooner); (iv) you have seven days following the date you sign this Agreement to revoke this Agreement (in a written revocation sent to me); and</w:t>
      </w:r>
    </w:p>
    <w:p>
      <w:pPr>
        <w:spacing w:after="0" w:line="1" w:lineRule="exact"/>
        <w:rPr>
          <w:rFonts w:ascii="Arial" w:cs="Arial" w:eastAsia="Arial" w:hAnsi="Arial"/>
          <w:sz w:val="19"/>
          <w:szCs w:val="19"/>
          <w:b w:val="1"/>
          <w:bCs w:val="1"/>
          <w:color w:val="auto"/>
        </w:rPr>
      </w:pPr>
    </w:p>
    <w:p>
      <w:pPr>
        <w:ind w:firstLine="8"/>
        <w:spacing w:after="0" w:line="308" w:lineRule="auto"/>
        <w:tabs>
          <w:tab w:leader="none" w:pos="307" w:val="left"/>
        </w:tabs>
        <w:numPr>
          <w:ilvl w:val="0"/>
          <w:numId w:val="121"/>
        </w:numPr>
        <w:rPr>
          <w:rFonts w:ascii="Arial" w:cs="Arial" w:eastAsia="Arial" w:hAnsi="Arial"/>
          <w:sz w:val="19"/>
          <w:szCs w:val="19"/>
          <w:color w:val="auto"/>
        </w:rPr>
      </w:pPr>
      <w:r>
        <w:rPr>
          <w:rFonts w:ascii="Arial" w:cs="Arial" w:eastAsia="Arial" w:hAnsi="Arial"/>
          <w:sz w:val="19"/>
          <w:szCs w:val="19"/>
          <w:color w:val="auto"/>
        </w:rPr>
        <w:t>this Agreement will not be effective until the date upon which the revocation period has expired, which will be the eighth day after you sign this Agreement provided that you do not revoke it (the “</w:t>
      </w:r>
      <w:r>
        <w:rPr>
          <w:rFonts w:ascii="Arial" w:cs="Arial" w:eastAsia="Arial" w:hAnsi="Arial"/>
          <w:sz w:val="19"/>
          <w:szCs w:val="19"/>
          <w:b w:val="1"/>
          <w:bCs w:val="1"/>
          <w:color w:val="auto"/>
        </w:rPr>
        <w:t>Effective Date</w:t>
      </w:r>
      <w:r>
        <w:rPr>
          <w:rFonts w:ascii="Arial" w:cs="Arial" w:eastAsia="Arial" w:hAnsi="Arial"/>
          <w:sz w:val="19"/>
          <w:szCs w:val="19"/>
          <w:color w:val="auto"/>
        </w:rPr>
        <w:t>”).</w:t>
      </w:r>
    </w:p>
    <w:p>
      <w:pPr>
        <w:spacing w:after="0" w:line="117" w:lineRule="exact"/>
        <w:rPr>
          <w:rFonts w:ascii="Arial" w:cs="Arial" w:eastAsia="Arial" w:hAnsi="Arial"/>
          <w:sz w:val="19"/>
          <w:szCs w:val="19"/>
          <w:color w:val="auto"/>
        </w:rPr>
      </w:pPr>
    </w:p>
    <w:p>
      <w:pPr>
        <w:jc w:val="both"/>
        <w:ind w:firstLine="1304"/>
        <w:spacing w:after="0" w:line="247" w:lineRule="auto"/>
        <w:tabs>
          <w:tab w:leader="none" w:pos="1944" w:val="left"/>
        </w:tabs>
        <w:numPr>
          <w:ilvl w:val="1"/>
          <w:numId w:val="121"/>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Section 1542 Waiver. </w:t>
      </w:r>
      <w:r>
        <w:rPr>
          <w:rFonts w:ascii="Arial" w:cs="Arial" w:eastAsia="Arial" w:hAnsi="Arial"/>
          <w:sz w:val="21"/>
          <w:szCs w:val="21"/>
          <w:color w:val="auto"/>
        </w:rPr>
        <w:t>In giving the release herein, which includes claims that may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unknown to you at present, you acknowledge that you have read and understand Section 1542 of the California Civil Code, which reads as follows: </w:t>
      </w:r>
      <w:r>
        <w:rPr>
          <w:rFonts w:ascii="Arial" w:cs="Arial" w:eastAsia="Arial" w:hAnsi="Arial"/>
          <w:sz w:val="21"/>
          <w:szCs w:val="21"/>
          <w:b w:val="1"/>
          <w:bCs w:val="1"/>
          <w:color w:val="auto"/>
        </w:rPr>
        <w:t>“A general release does not extend to claims that the creditor or</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releasing party does not know or suspect to exist in his or her favor at the time of executing the release and that, if known by him or her, would have materially affected his or her settlement with the debtor or released party.” </w:t>
      </w:r>
      <w:r>
        <w:rPr>
          <w:rFonts w:ascii="Arial" w:cs="Arial" w:eastAsia="Arial" w:hAnsi="Arial"/>
          <w:sz w:val="21"/>
          <w:szCs w:val="21"/>
          <w:color w:val="auto"/>
        </w:rPr>
        <w:t>You hereby expressly waive and relinquish all rights and benefits under that section and any law</w:t>
      </w:r>
      <w:r>
        <w:rPr>
          <w:rFonts w:ascii="Arial" w:cs="Arial" w:eastAsia="Arial" w:hAnsi="Arial"/>
          <w:sz w:val="21"/>
          <w:szCs w:val="21"/>
          <w:b w:val="1"/>
          <w:bCs w:val="1"/>
          <w:color w:val="auto"/>
        </w:rPr>
        <w:t xml:space="preserve"> </w:t>
      </w:r>
      <w:r>
        <w:rPr>
          <w:rFonts w:ascii="Arial" w:cs="Arial" w:eastAsia="Arial" w:hAnsi="Arial"/>
          <w:sz w:val="21"/>
          <w:szCs w:val="21"/>
          <w:color w:val="auto"/>
        </w:rPr>
        <w:t>of any other jurisdiction of similar effect with respect to your release of claims herein, including but not limited to your release of unknown claims.</w:t>
      </w:r>
    </w:p>
    <w:p>
      <w:pPr>
        <w:spacing w:after="0" w:line="171" w:lineRule="exact"/>
        <w:rPr>
          <w:rFonts w:ascii="Arial" w:cs="Arial" w:eastAsia="Arial" w:hAnsi="Arial"/>
          <w:sz w:val="21"/>
          <w:szCs w:val="21"/>
          <w:b w:val="1"/>
          <w:bCs w:val="1"/>
          <w:color w:val="auto"/>
        </w:rPr>
      </w:pPr>
    </w:p>
    <w:p>
      <w:pPr>
        <w:ind w:left="1960" w:hanging="656"/>
        <w:spacing w:after="0"/>
        <w:tabs>
          <w:tab w:leader="none" w:pos="1960" w:val="left"/>
        </w:tabs>
        <w:numPr>
          <w:ilvl w:val="1"/>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Exceptions</w:t>
      </w:r>
      <w:r>
        <w:rPr>
          <w:rFonts w:ascii="Arial" w:cs="Arial" w:eastAsia="Arial" w:hAnsi="Arial"/>
          <w:sz w:val="19"/>
          <w:szCs w:val="19"/>
          <w:color w:val="auto"/>
        </w:rPr>
        <w:t>.  Notwithstanding the foregoing, you are not releasing the Company hereby</w:t>
      </w:r>
    </w:p>
    <w:p>
      <w:pPr>
        <w:spacing w:after="0" w:line="48" w:lineRule="exact"/>
        <w:rPr>
          <w:rFonts w:ascii="Arial" w:cs="Arial" w:eastAsia="Arial" w:hAnsi="Arial"/>
          <w:sz w:val="19"/>
          <w:szCs w:val="19"/>
          <w:b w:val="1"/>
          <w:bCs w:val="1"/>
          <w:color w:val="auto"/>
        </w:rPr>
      </w:pPr>
    </w:p>
    <w:p>
      <w:pPr>
        <w:jc w:val="both"/>
        <w:spacing w:after="0" w:line="233" w:lineRule="auto"/>
        <w:rPr>
          <w:rFonts w:ascii="Arial" w:cs="Arial" w:eastAsia="Arial" w:hAnsi="Arial"/>
          <w:sz w:val="19"/>
          <w:szCs w:val="19"/>
          <w:b w:val="1"/>
          <w:bCs w:val="1"/>
          <w:color w:val="auto"/>
        </w:rPr>
      </w:pPr>
      <w:r>
        <w:rPr>
          <w:rFonts w:ascii="Arial" w:cs="Arial" w:eastAsia="Arial" w:hAnsi="Arial"/>
          <w:sz w:val="22"/>
          <w:szCs w:val="22"/>
          <w:color w:val="auto"/>
        </w:rPr>
        <w:t>from: (i) any obligation to indemnify you pursuant to the Certificate of Incorporation and Bylaws of the Company, any valid fully executed indemnification agreement with the Company, applicable law, or applicable directors and officers liability insurance; (ii) any claims that cannot be waived by law; or (iii) any claims for breach of this Agreement.</w:t>
      </w:r>
    </w:p>
    <w:p>
      <w:pPr>
        <w:spacing w:after="0" w:line="181" w:lineRule="exact"/>
        <w:rPr>
          <w:rFonts w:ascii="Arial" w:cs="Arial" w:eastAsia="Arial" w:hAnsi="Arial"/>
          <w:sz w:val="19"/>
          <w:szCs w:val="19"/>
          <w:b w:val="1"/>
          <w:bCs w:val="1"/>
          <w:color w:val="auto"/>
        </w:rPr>
      </w:pPr>
    </w:p>
    <w:p>
      <w:pPr>
        <w:jc w:val="both"/>
        <w:ind w:firstLine="1304"/>
        <w:spacing w:after="0" w:line="274" w:lineRule="auto"/>
        <w:tabs>
          <w:tab w:leader="none" w:pos="1944" w:val="left"/>
        </w:tabs>
        <w:numPr>
          <w:ilvl w:val="1"/>
          <w:numId w:val="12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Protected Rights. </w:t>
      </w:r>
      <w:r>
        <w:rPr>
          <w:rFonts w:ascii="Arial" w:cs="Arial" w:eastAsia="Arial" w:hAnsi="Arial"/>
          <w:sz w:val="19"/>
          <w:szCs w:val="19"/>
          <w:color w:val="auto"/>
        </w:rPr>
        <w:t>You understand that nothing in this Agreement limits your ability to file</w:t>
      </w:r>
      <w:r>
        <w:rPr>
          <w:rFonts w:ascii="Arial" w:cs="Arial" w:eastAsia="Arial" w:hAnsi="Arial"/>
          <w:sz w:val="19"/>
          <w:szCs w:val="19"/>
          <w:b w:val="1"/>
          <w:bCs w:val="1"/>
          <w:color w:val="auto"/>
        </w:rPr>
        <w:t xml:space="preserve"> </w:t>
      </w:r>
      <w:r>
        <w:rPr>
          <w:rFonts w:ascii="Arial" w:cs="Arial" w:eastAsia="Arial" w:hAnsi="Arial"/>
          <w:sz w:val="19"/>
          <w:szCs w:val="19"/>
          <w:color w:val="auto"/>
        </w:rPr>
        <w:t>a charge or complaint with the Equal Employment Opportunity Commission, the Department of Labor, the National Labor Relations Board, the Occupational Safety and Health Administration, the California Department of Fair Employment and Housing, the Securities and Exchange Commission or any other federal, state or local governmental agency or commission (“</w:t>
      </w:r>
      <w:r>
        <w:rPr>
          <w:rFonts w:ascii="Arial" w:cs="Arial" w:eastAsia="Arial" w:hAnsi="Arial"/>
          <w:sz w:val="19"/>
          <w:szCs w:val="19"/>
          <w:b w:val="1"/>
          <w:bCs w:val="1"/>
          <w:color w:val="auto"/>
        </w:rPr>
        <w:t>Government Agencies</w:t>
      </w:r>
      <w:r>
        <w:rPr>
          <w:rFonts w:ascii="Arial" w:cs="Arial" w:eastAsia="Arial" w:hAnsi="Arial"/>
          <w:sz w:val="19"/>
          <w:szCs w:val="19"/>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765175</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6" w:name="page157"/>
    <w:bookmarkEnd w:id="156"/>
    <w:p>
      <w:pPr>
        <w:spacing w:after="0"/>
        <w:rPr>
          <w:sz w:val="20"/>
          <w:szCs w:val="20"/>
          <w:color w:val="auto"/>
        </w:rPr>
      </w:pPr>
      <w:r>
        <w:rPr>
          <w:rFonts w:ascii="Arial" w:cs="Arial" w:eastAsia="Arial" w:hAnsi="Arial"/>
          <w:sz w:val="22"/>
          <w:szCs w:val="22"/>
          <w:color w:val="auto"/>
        </w:rPr>
        <w:t>Page 6</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any rights you have waived by signing this Agreement. Nothing in this Agreement (i) prevents you from discussing or disclosing information about unlawful acts in the workplace, such as harassment or discrimination or any other conduct that you have reason to believe is unlawful; or (ii) waives any rights you may have under Section 7 of the National Labor Relations Act (subject to the release of claims set forth herein).</w:t>
      </w:r>
    </w:p>
    <w:p>
      <w:pPr>
        <w:spacing w:after="0" w:line="137" w:lineRule="exact"/>
        <w:rPr>
          <w:sz w:val="20"/>
          <w:szCs w:val="20"/>
          <w:color w:val="auto"/>
        </w:rPr>
      </w:pPr>
    </w:p>
    <w:p>
      <w:pPr>
        <w:jc w:val="both"/>
        <w:ind w:firstLine="656"/>
        <w:spacing w:after="0" w:line="274" w:lineRule="auto"/>
        <w:tabs>
          <w:tab w:leader="none" w:pos="1296" w:val="left"/>
        </w:tabs>
        <w:numPr>
          <w:ilvl w:val="0"/>
          <w:numId w:val="122"/>
        </w:numPr>
        <w:rPr>
          <w:rFonts w:ascii="Arial" w:cs="Arial" w:eastAsia="Arial" w:hAnsi="Arial"/>
          <w:sz w:val="19"/>
          <w:szCs w:val="19"/>
          <w:b w:val="1"/>
          <w:bCs w:val="1"/>
          <w:color w:val="auto"/>
        </w:rPr>
      </w:pPr>
      <w:r>
        <w:rPr>
          <w:rFonts w:ascii="Arial" w:cs="Arial" w:eastAsia="Arial" w:hAnsi="Arial"/>
          <w:sz w:val="19"/>
          <w:szCs w:val="19"/>
          <w:b w:val="1"/>
          <w:bCs w:val="1"/>
          <w:color w:val="auto"/>
        </w:rPr>
        <w:t>RETURN OF COMPANY PROPERTY</w:t>
      </w:r>
      <w:r>
        <w:rPr>
          <w:rFonts w:ascii="Arial" w:cs="Arial" w:eastAsia="Arial" w:hAnsi="Arial"/>
          <w:sz w:val="19"/>
          <w:szCs w:val="19"/>
          <w:color w:val="auto"/>
        </w:rPr>
        <w:t>. You agree that, within ten days after each of the</w:t>
      </w:r>
      <w:r>
        <w:rPr>
          <w:rFonts w:ascii="Arial" w:cs="Arial" w:eastAsia="Arial" w:hAnsi="Arial"/>
          <w:sz w:val="19"/>
          <w:szCs w:val="19"/>
          <w:b w:val="1"/>
          <w:bCs w:val="1"/>
          <w:color w:val="auto"/>
        </w:rPr>
        <w:t xml:space="preserve"> </w:t>
      </w:r>
      <w:r>
        <w:rPr>
          <w:rFonts w:ascii="Arial" w:cs="Arial" w:eastAsia="Arial" w:hAnsi="Arial"/>
          <w:sz w:val="19"/>
          <w:szCs w:val="19"/>
          <w:color w:val="auto"/>
        </w:rPr>
        <w:t>Separation Date and the Consulting Period, you will 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 of any kind that contain or embody any proprietary or confidential information of the Company (and all reproductions or embodiments thereof in whole or in part).</w:t>
      </w:r>
    </w:p>
    <w:p>
      <w:pPr>
        <w:spacing w:after="0" w:line="151" w:lineRule="exact"/>
        <w:rPr>
          <w:rFonts w:ascii="Arial" w:cs="Arial" w:eastAsia="Arial" w:hAnsi="Arial"/>
          <w:sz w:val="19"/>
          <w:szCs w:val="19"/>
          <w:b w:val="1"/>
          <w:bCs w:val="1"/>
          <w:color w:val="auto"/>
        </w:rPr>
      </w:pPr>
    </w:p>
    <w:p>
      <w:pPr>
        <w:ind w:right="20" w:firstLine="656"/>
        <w:spacing w:after="0" w:line="280" w:lineRule="auto"/>
        <w:tabs>
          <w:tab w:leader="none" w:pos="1296"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color w:val="auto"/>
        </w:rPr>
        <w:t>CONFIDENTIAL INFORMATION OBLIGATIONS</w:t>
      </w:r>
      <w:r>
        <w:rPr>
          <w:rFonts w:ascii="Arial" w:cs="Arial" w:eastAsia="Arial" w:hAnsi="Arial"/>
          <w:sz w:val="21"/>
          <w:szCs w:val="21"/>
          <w:color w:val="auto"/>
        </w:rPr>
        <w:t>. You acknowledge and reaffirm your</w:t>
      </w:r>
      <w:r>
        <w:rPr>
          <w:rFonts w:ascii="Arial" w:cs="Arial" w:eastAsia="Arial" w:hAnsi="Arial"/>
          <w:sz w:val="21"/>
          <w:szCs w:val="21"/>
          <w:b w:val="1"/>
          <w:bCs w:val="1"/>
          <w:color w:val="auto"/>
        </w:rPr>
        <w:t xml:space="preserve"> </w:t>
      </w:r>
      <w:r>
        <w:rPr>
          <w:rFonts w:ascii="Arial" w:cs="Arial" w:eastAsia="Arial" w:hAnsi="Arial"/>
          <w:sz w:val="21"/>
          <w:szCs w:val="21"/>
          <w:color w:val="auto"/>
        </w:rPr>
        <w:t>continuing obligations under your Employee Proprietary Information and Invention Assignment Agreement.</w:t>
      </w:r>
    </w:p>
    <w:p>
      <w:pPr>
        <w:spacing w:after="0" w:line="138" w:lineRule="exact"/>
        <w:rPr>
          <w:rFonts w:ascii="Arial" w:cs="Arial" w:eastAsia="Arial" w:hAnsi="Arial"/>
          <w:sz w:val="21"/>
          <w:szCs w:val="21"/>
          <w:b w:val="1"/>
          <w:bCs w:val="1"/>
          <w:color w:val="auto"/>
        </w:rPr>
      </w:pPr>
    </w:p>
    <w:p>
      <w:pPr>
        <w:jc w:val="both"/>
        <w:ind w:firstLine="656"/>
        <w:spacing w:after="0" w:line="234" w:lineRule="auto"/>
        <w:tabs>
          <w:tab w:leader="none" w:pos="1296"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NON-DISPARAGEMENT. </w:t>
      </w:r>
      <w:r>
        <w:rPr>
          <w:rFonts w:ascii="Arial" w:cs="Arial" w:eastAsia="Arial" w:hAnsi="Arial"/>
          <w:sz w:val="22"/>
          <w:szCs w:val="22"/>
          <w:color w:val="auto"/>
        </w:rPr>
        <w:t>Except to the extent permitted by Section 7(f), you agree not to</w:t>
      </w:r>
      <w:r>
        <w:rPr>
          <w:rFonts w:ascii="Arial" w:cs="Arial" w:eastAsia="Arial" w:hAnsi="Arial"/>
          <w:sz w:val="22"/>
          <w:szCs w:val="22"/>
          <w:b w:val="1"/>
          <w:bCs w:val="1"/>
          <w:color w:val="auto"/>
        </w:rPr>
        <w:t xml:space="preserve"> </w:t>
      </w:r>
      <w:r>
        <w:rPr>
          <w:rFonts w:ascii="Arial" w:cs="Arial" w:eastAsia="Arial" w:hAnsi="Arial"/>
          <w:sz w:val="22"/>
          <w:szCs w:val="22"/>
          <w:color w:val="auto"/>
        </w:rPr>
        <w:t>disparage the Company or its officers, directors, employees, shareholders,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w:t>
      </w:r>
    </w:p>
    <w:p>
      <w:pPr>
        <w:spacing w:after="0" w:line="186" w:lineRule="exact"/>
        <w:rPr>
          <w:rFonts w:ascii="Arial" w:cs="Arial" w:eastAsia="Arial" w:hAnsi="Arial"/>
          <w:sz w:val="22"/>
          <w:szCs w:val="22"/>
          <w:b w:val="1"/>
          <w:bCs w:val="1"/>
          <w:color w:val="auto"/>
        </w:rPr>
      </w:pPr>
    </w:p>
    <w:p>
      <w:pPr>
        <w:jc w:val="both"/>
        <w:ind w:firstLine="656"/>
        <w:spacing w:after="0" w:line="237" w:lineRule="auto"/>
        <w:tabs>
          <w:tab w:leader="none" w:pos="1296"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VOLUNTARY ADVERSE ACTION. </w:t>
      </w:r>
      <w:r>
        <w:rPr>
          <w:rFonts w:ascii="Arial" w:cs="Arial" w:eastAsia="Arial" w:hAnsi="Arial"/>
          <w:sz w:val="22"/>
          <w:szCs w:val="22"/>
          <w:color w:val="auto"/>
        </w:rPr>
        <w:t>You agree that you will not voluntarily (except in</w:t>
      </w:r>
      <w:r>
        <w:rPr>
          <w:rFonts w:ascii="Arial" w:cs="Arial" w:eastAsia="Arial" w:hAnsi="Arial"/>
          <w:sz w:val="22"/>
          <w:szCs w:val="22"/>
          <w:b w:val="1"/>
          <w:bCs w:val="1"/>
          <w:color w:val="auto"/>
        </w:rPr>
        <w:t xml:space="preserve"> </w:t>
      </w:r>
      <w:r>
        <w:rPr>
          <w:rFonts w:ascii="Arial" w:cs="Arial" w:eastAsia="Arial" w:hAnsi="Arial"/>
          <w:sz w:val="22"/>
          <w:szCs w:val="22"/>
          <w:color w:val="auto"/>
        </w:rPr>
        <w:t>response to legal compulsion or as permitted under the section of this Agreement entitled “</w:t>
      </w:r>
      <w:r>
        <w:rPr>
          <w:rFonts w:ascii="Arial" w:cs="Arial" w:eastAsia="Arial" w:hAnsi="Arial"/>
          <w:sz w:val="22"/>
          <w:szCs w:val="22"/>
          <w:b w:val="1"/>
          <w:bCs w:val="1"/>
          <w:color w:val="auto"/>
        </w:rPr>
        <w:t>Protected Rights</w:t>
      </w:r>
      <w:r>
        <w:rPr>
          <w:rFonts w:ascii="Arial" w:cs="Arial" w:eastAsia="Arial" w:hAnsi="Arial"/>
          <w:sz w:val="22"/>
          <w:szCs w:val="22"/>
          <w:color w:val="auto"/>
        </w:rPr>
        <w:t>”)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81" w:lineRule="exact"/>
        <w:rPr>
          <w:rFonts w:ascii="Arial" w:cs="Arial" w:eastAsia="Arial" w:hAnsi="Arial"/>
          <w:sz w:val="22"/>
          <w:szCs w:val="22"/>
          <w:b w:val="1"/>
          <w:bCs w:val="1"/>
          <w:color w:val="auto"/>
        </w:rPr>
      </w:pPr>
    </w:p>
    <w:p>
      <w:pPr>
        <w:jc w:val="both"/>
        <w:ind w:firstLine="656"/>
        <w:spacing w:after="0" w:line="236" w:lineRule="auto"/>
        <w:tabs>
          <w:tab w:leader="none" w:pos="1296" w:val="left"/>
        </w:tabs>
        <w:numPr>
          <w:ilvl w:val="0"/>
          <w:numId w:val="12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COOPERATION. </w:t>
      </w:r>
      <w:r>
        <w:rPr>
          <w:rFonts w:ascii="Arial" w:cs="Arial" w:eastAsia="Arial" w:hAnsi="Arial"/>
          <w:sz w:val="22"/>
          <w:szCs w:val="22"/>
          <w:color w:val="auto"/>
        </w:rPr>
        <w:t>You agree to cooperate fully with the Company in connection with its actual or</w:t>
      </w:r>
      <w:r>
        <w:rPr>
          <w:rFonts w:ascii="Arial" w:cs="Arial" w:eastAsia="Arial" w:hAnsi="Arial"/>
          <w:sz w:val="22"/>
          <w:szCs w:val="22"/>
          <w:b w:val="1"/>
          <w:bCs w:val="1"/>
          <w:color w:val="auto"/>
        </w:rPr>
        <w:t xml:space="preserve"> </w:t>
      </w:r>
      <w:r>
        <w:rPr>
          <w:rFonts w:ascii="Arial" w:cs="Arial" w:eastAsia="Arial" w:hAnsi="Arial"/>
          <w:sz w:val="22"/>
          <w:szCs w:val="22"/>
          <w:color w:val="auto"/>
        </w:rPr>
        <w:t>contemplated defense, prosecution, or investigation of any claims or demands by or against third parties, or other matters arising from events, acts, or failures to act that occurred during the period of your employment by the Company. Such cooperation includes, without limitation, making yourself available to the Company upon reasonable notice, without subpoena, to provide complete, truthful and accurate information in witness interviews, depositions, and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629920</wp:posOffset>
            </wp:positionV>
            <wp:extent cx="629221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7" w:name="page158"/>
    <w:bookmarkEnd w:id="157"/>
    <w:p>
      <w:pPr>
        <w:spacing w:after="0"/>
        <w:rPr>
          <w:sz w:val="20"/>
          <w:szCs w:val="20"/>
          <w:color w:val="auto"/>
        </w:rPr>
      </w:pPr>
      <w:r>
        <w:rPr>
          <w:rFonts w:ascii="Arial" w:cs="Arial" w:eastAsia="Arial" w:hAnsi="Arial"/>
          <w:sz w:val="22"/>
          <w:szCs w:val="22"/>
          <w:color w:val="auto"/>
        </w:rPr>
        <w:t>Page 7</w:t>
      </w:r>
    </w:p>
    <w:p>
      <w:pPr>
        <w:spacing w:after="0" w:line="206" w:lineRule="exact"/>
        <w:rPr>
          <w:sz w:val="20"/>
          <w:szCs w:val="20"/>
          <w:color w:val="auto"/>
        </w:rPr>
      </w:pPr>
    </w:p>
    <w:p>
      <w:pPr>
        <w:jc w:val="both"/>
        <w:spacing w:after="0"/>
        <w:rPr>
          <w:sz w:val="20"/>
          <w:szCs w:val="20"/>
          <w:color w:val="auto"/>
        </w:rPr>
      </w:pPr>
      <w:r>
        <w:rPr>
          <w:rFonts w:ascii="Arial" w:cs="Arial" w:eastAsia="Arial" w:hAnsi="Arial"/>
          <w:sz w:val="22"/>
          <w:szCs w:val="22"/>
          <w:color w:val="auto"/>
        </w:rPr>
        <w:t>testimony. The Company will reimburse you for reasonable out-of-pocket expenses you incur in connection with any such cooperation (excluding foregone wages) and will make reasonable efforts to accommodate your scheduling needs.</w:t>
      </w:r>
    </w:p>
    <w:p>
      <w:pPr>
        <w:spacing w:after="0" w:line="180" w:lineRule="exact"/>
        <w:rPr>
          <w:sz w:val="20"/>
          <w:szCs w:val="20"/>
          <w:color w:val="auto"/>
        </w:rPr>
      </w:pPr>
    </w:p>
    <w:p>
      <w:pPr>
        <w:jc w:val="both"/>
        <w:ind w:firstLine="656"/>
        <w:spacing w:after="0" w:line="243" w:lineRule="auto"/>
        <w:tabs>
          <w:tab w:leader="none" w:pos="1296" w:val="left"/>
        </w:tabs>
        <w:numPr>
          <w:ilvl w:val="0"/>
          <w:numId w:val="12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NO ADMISSIONS. </w:t>
      </w:r>
      <w:r>
        <w:rPr>
          <w:rFonts w:ascii="Arial" w:cs="Arial" w:eastAsia="Arial" w:hAnsi="Arial"/>
          <w:sz w:val="22"/>
          <w:szCs w:val="22"/>
          <w:color w:val="auto"/>
        </w:rPr>
        <w:t>You understand and agree that the promises and payments in consideration of</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shall not be construed to be an admission of any liability or obligation by the Company to you or to any other person, and that the Company makes no such admission.</w:t>
      </w:r>
    </w:p>
    <w:p>
      <w:pPr>
        <w:spacing w:after="0" w:line="176" w:lineRule="exact"/>
        <w:rPr>
          <w:rFonts w:ascii="Arial" w:cs="Arial" w:eastAsia="Arial" w:hAnsi="Arial"/>
          <w:sz w:val="22"/>
          <w:szCs w:val="22"/>
          <w:b w:val="1"/>
          <w:bCs w:val="1"/>
          <w:color w:val="auto"/>
        </w:rPr>
      </w:pPr>
    </w:p>
    <w:p>
      <w:pPr>
        <w:jc w:val="both"/>
        <w:ind w:firstLine="656"/>
        <w:spacing w:after="0" w:line="254" w:lineRule="auto"/>
        <w:tabs>
          <w:tab w:leader="none" w:pos="1296" w:val="left"/>
        </w:tabs>
        <w:numPr>
          <w:ilvl w:val="0"/>
          <w:numId w:val="123"/>
        </w:numPr>
        <w:rPr>
          <w:rFonts w:ascii="Arial" w:cs="Arial" w:eastAsia="Arial" w:hAnsi="Arial"/>
          <w:sz w:val="21"/>
          <w:szCs w:val="21"/>
          <w:b w:val="1"/>
          <w:bCs w:val="1"/>
          <w:color w:val="auto"/>
        </w:rPr>
      </w:pPr>
      <w:r>
        <w:rPr>
          <w:rFonts w:ascii="Arial" w:cs="Arial" w:eastAsia="Arial" w:hAnsi="Arial"/>
          <w:sz w:val="21"/>
          <w:szCs w:val="21"/>
          <w:b w:val="1"/>
          <w:bCs w:val="1"/>
          <w:color w:val="auto"/>
        </w:rPr>
        <w:t xml:space="preserve">REPRESENTATIONS. </w:t>
      </w:r>
      <w:r>
        <w:rPr>
          <w:rFonts w:ascii="Arial" w:cs="Arial" w:eastAsia="Arial" w:hAnsi="Arial"/>
          <w:sz w:val="21"/>
          <w:szCs w:val="21"/>
          <w:color w:val="auto"/>
        </w:rPr>
        <w:t>You hereby represent that you have: been paid all compensation owed</w:t>
      </w:r>
      <w:r>
        <w:rPr>
          <w:rFonts w:ascii="Arial" w:cs="Arial" w:eastAsia="Arial" w:hAnsi="Arial"/>
          <w:sz w:val="21"/>
          <w:szCs w:val="21"/>
          <w:b w:val="1"/>
          <w:bCs w:val="1"/>
          <w:color w:val="auto"/>
        </w:rPr>
        <w:t xml:space="preserve"> </w:t>
      </w:r>
      <w:r>
        <w:rPr>
          <w:rFonts w:ascii="Arial" w:cs="Arial" w:eastAsia="Arial" w:hAnsi="Arial"/>
          <w:sz w:val="21"/>
          <w:szCs w:val="21"/>
          <w:color w:val="auto"/>
        </w:rPr>
        <w:t>and for all hours worked; received all leave and leave benefits and protections for which you are eligible pursuant to the Family and Medical Leave Act, the California Family Rights Act, or otherwise; and not suffered any on-the-job injury for which you have not already filed a workers’ compensation claim.</w:t>
      </w:r>
    </w:p>
    <w:p>
      <w:pPr>
        <w:spacing w:after="0" w:line="165" w:lineRule="exact"/>
        <w:rPr>
          <w:rFonts w:ascii="Arial" w:cs="Arial" w:eastAsia="Arial" w:hAnsi="Arial"/>
          <w:sz w:val="21"/>
          <w:szCs w:val="21"/>
          <w:b w:val="1"/>
          <w:bCs w:val="1"/>
          <w:color w:val="auto"/>
        </w:rPr>
      </w:pPr>
    </w:p>
    <w:p>
      <w:pPr>
        <w:jc w:val="both"/>
        <w:ind w:firstLine="656"/>
        <w:spacing w:after="0" w:line="269" w:lineRule="auto"/>
        <w:tabs>
          <w:tab w:leader="none" w:pos="1296" w:val="left"/>
        </w:tabs>
        <w:numPr>
          <w:ilvl w:val="0"/>
          <w:numId w:val="12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DISPUTE RESOLUTION. </w:t>
      </w:r>
      <w:r>
        <w:rPr>
          <w:rFonts w:ascii="Arial" w:cs="Arial" w:eastAsia="Arial" w:hAnsi="Arial"/>
          <w:sz w:val="19"/>
          <w:szCs w:val="19"/>
          <w:color w:val="auto"/>
        </w:rPr>
        <w:t>You and the Company agree that any and all disputes, claims, or</w:t>
      </w:r>
      <w:r>
        <w:rPr>
          <w:rFonts w:ascii="Arial" w:cs="Arial" w:eastAsia="Arial" w:hAnsi="Arial"/>
          <w:sz w:val="19"/>
          <w:szCs w:val="19"/>
          <w:b w:val="1"/>
          <w:bCs w:val="1"/>
          <w:color w:val="auto"/>
        </w:rPr>
        <w:t xml:space="preserve"> </w:t>
      </w:r>
      <w:r>
        <w:rPr>
          <w:rFonts w:ascii="Arial" w:cs="Arial" w:eastAsia="Arial" w:hAnsi="Arial"/>
          <w:sz w:val="19"/>
          <w:szCs w:val="19"/>
          <w:color w:val="auto"/>
        </w:rPr>
        <w:t>controversies of any nature whatsoever arising from, or relating to, this Agreement or its interpretation, enforcement, breach, performance or execution, your employment or the termination of such employment (including, but not limited to, any statutory claims), shall be resolved, pursuant to the Federal Arbitration Act, 9 U.S.C. §1-16, and to the fullest extent permitted by law, by final, binding and confidential arbitration in San Francisco, California (or another mutually acceptable location) conducted before a single neutral arbitrator by JAMS, Inc. (“</w:t>
      </w:r>
      <w:r>
        <w:rPr>
          <w:rFonts w:ascii="Arial" w:cs="Arial" w:eastAsia="Arial" w:hAnsi="Arial"/>
          <w:sz w:val="19"/>
          <w:szCs w:val="19"/>
          <w:b w:val="1"/>
          <w:bCs w:val="1"/>
          <w:color w:val="auto"/>
        </w:rPr>
        <w:t>JAMS</w:t>
      </w:r>
      <w:r>
        <w:rPr>
          <w:rFonts w:ascii="Arial" w:cs="Arial" w:eastAsia="Arial" w:hAnsi="Arial"/>
          <w:sz w:val="19"/>
          <w:szCs w:val="19"/>
          <w:color w:val="auto"/>
        </w:rPr>
        <w:t xml:space="preserve">”) or its successor, under the then applicable JAMS Arbitration Rules and Procedures for Employment Disputes (available at http://www.jamsadr.com/rules-employment-arbitration/). </w:t>
      </w:r>
      <w:r>
        <w:rPr>
          <w:rFonts w:ascii="Arial" w:cs="Arial" w:eastAsia="Arial" w:hAnsi="Arial"/>
          <w:sz w:val="19"/>
          <w:szCs w:val="19"/>
          <w:b w:val="1"/>
          <w:bCs w:val="1"/>
          <w:color w:val="auto"/>
        </w:rPr>
        <w:t>By agreeing to this</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arbitration procedure, both you and the Company waive the right to have any claim resolved through a trial by jury or judge. </w:t>
      </w:r>
      <w:r>
        <w:rPr>
          <w:rFonts w:ascii="Arial" w:cs="Arial" w:eastAsia="Arial" w:hAnsi="Arial"/>
          <w:sz w:val="19"/>
          <w:szCs w:val="19"/>
          <w:color w:val="auto"/>
        </w:rPr>
        <w:t>You will have the right to be represented by legal counsel at any arbitration proceeding, at</w:t>
      </w:r>
      <w:r>
        <w:rPr>
          <w:rFonts w:ascii="Arial" w:cs="Arial" w:eastAsia="Arial" w:hAnsi="Arial"/>
          <w:sz w:val="19"/>
          <w:szCs w:val="19"/>
          <w:b w:val="1"/>
          <w:bCs w:val="1"/>
          <w:color w:val="auto"/>
        </w:rPr>
        <w:t xml:space="preserve"> </w:t>
      </w:r>
      <w:r>
        <w:rPr>
          <w:rFonts w:ascii="Arial" w:cs="Arial" w:eastAsia="Arial" w:hAnsi="Arial"/>
          <w:sz w:val="19"/>
          <w:szCs w:val="19"/>
          <w:color w:val="auto"/>
        </w:rPr>
        <w:t>your own expense. This paragraph shall not apply to any action or claim that cannot be subject to mandatory arbitration as a matter of law, to the extent such claims are not permitted by applicable law to be submitted to mandatory arbitration and the applicable law(s) are not preempted by the Federal Arbitration Act or otherwise invalid (collectively, the “</w:t>
      </w:r>
      <w:r>
        <w:rPr>
          <w:rFonts w:ascii="Arial" w:cs="Arial" w:eastAsia="Arial" w:hAnsi="Arial"/>
          <w:sz w:val="19"/>
          <w:szCs w:val="19"/>
          <w:b w:val="1"/>
          <w:bCs w:val="1"/>
          <w:color w:val="auto"/>
        </w:rPr>
        <w:t>Excluded Claims</w:t>
      </w:r>
      <w:r>
        <w:rPr>
          <w:rFonts w:ascii="Arial" w:cs="Arial" w:eastAsia="Arial" w:hAnsi="Arial"/>
          <w:sz w:val="19"/>
          <w:szCs w:val="19"/>
          <w:color w:val="auto"/>
        </w:rPr>
        <w:t>”). In the event you intend to bring multiple claims, including one of the Excluded Claims listed above, the Excluded Claims may be publicly filed with a court, while any other claims will remain subject to mandatory arbitration. The arbitrator shall have sole authority for determining if a claim is subject to arbitration, and any other procedural questions related to the dispute and bearing on the final disposition. In addition, the arbitrator shall: (a) have the authority to compel adequate discovery for the resolution of the dispute and to award such relief as would otherwise be available under applicable law in a court proceeding; and (b) issue a written statement signed by the arbitrator regarding the disposition of each claim and the relief, if any, awarded as to each claim, the reasons for the award, and the arbitrator’s essential findings and conclusions on which the award is based. The Company shall pay all JAMS arbitration fees. Nothing in this Agreement shall prevent you or the Company from obtaining injunctive relief in court to prevent irreparable harm pending the conclusion of any arbitration. Any awards or orders in such arbitrations may be entered and enforced as judgments in the federal and state courts of any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777240</wp:posOffset>
            </wp:positionV>
            <wp:extent cx="629221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Page 8</w:t>
      </w:r>
    </w:p>
    <w:p>
      <w:pPr>
        <w:spacing w:after="0" w:line="200" w:lineRule="exact"/>
        <w:rPr>
          <w:sz w:val="20"/>
          <w:szCs w:val="20"/>
          <w:color w:val="auto"/>
        </w:rPr>
      </w:pPr>
    </w:p>
    <w:p>
      <w:pPr>
        <w:jc w:val="both"/>
        <w:ind w:firstLine="656"/>
        <w:spacing w:after="0" w:line="271" w:lineRule="auto"/>
        <w:tabs>
          <w:tab w:leader="none" w:pos="1296" w:val="left"/>
        </w:tabs>
        <w:numPr>
          <w:ilvl w:val="0"/>
          <w:numId w:val="12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MISCELLANEOUS. </w:t>
      </w:r>
      <w:r>
        <w:rPr>
          <w:rFonts w:ascii="Arial" w:cs="Arial" w:eastAsia="Arial" w:hAnsi="Arial"/>
          <w:sz w:val="19"/>
          <w:szCs w:val="19"/>
          <w:color w:val="auto"/>
        </w:rPr>
        <w:t>This Agreement constitutes the complete, final and exclusive embodiment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This Agreement will be deemed to have been entered into and will be construed and enforced in accordance with the laws of the State of California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executed in counterparts and electronic or facsimile signatures will suffice as original signatures.</w:t>
      </w:r>
    </w:p>
    <w:p>
      <w:pPr>
        <w:spacing w:after="0" w:line="200" w:lineRule="exact"/>
        <w:rPr>
          <w:sz w:val="20"/>
          <w:szCs w:val="20"/>
          <w:color w:val="auto"/>
        </w:rPr>
      </w:pP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If this Agreement is acceptable to you, please sign below and return the original to me. You have 21 calendar days to decide whether to accept this Agreement, and the Company’s offer contained herein will automatically expire if you do not sign and return it within that timeframe.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We wish you the best in your future endeavors.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By: /s/ Sean Bohen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6985</wp:posOffset>
            </wp:positionV>
            <wp:extent cx="2854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2">
                      <a:extLst>
                        <a:ext uri="{28A0092B-C50C-407E-A947-70E740481C1C}"/>
                      </a:extLst>
                    </a:blip>
                    <a:srcRect/>
                    <a:stretch>
                      <a:fillRect/>
                    </a:stretch>
                  </pic:blipFill>
                  <pic:spPr bwMode="auto">
                    <a:xfrm>
                      <a:off x="0" y="0"/>
                      <a:ext cx="2854325" cy="8890"/>
                    </a:xfrm>
                    <a:prstGeom prst="rect">
                      <a:avLst/>
                    </a:prstGeom>
                    <a:noFill/>
                  </pic:spPr>
                </pic:pic>
              </a:graphicData>
            </a:graphic>
          </wp:anchor>
        </w:drawing>
      </w:r>
    </w:p>
    <w:p>
      <w:pPr>
        <w:ind w:left="420"/>
        <w:spacing w:after="0"/>
        <w:rPr>
          <w:sz w:val="20"/>
          <w:szCs w:val="20"/>
          <w:color w:val="auto"/>
        </w:rPr>
      </w:pPr>
      <w:r>
        <w:rPr>
          <w:rFonts w:ascii="Arial" w:cs="Arial" w:eastAsia="Arial" w:hAnsi="Arial"/>
          <w:sz w:val="22"/>
          <w:szCs w:val="22"/>
          <w:color w:val="auto"/>
        </w:rPr>
        <w:t>Sean P. Bohen, M.D., Ph.D.</w:t>
      </w:r>
    </w:p>
    <w:p>
      <w:pPr>
        <w:ind w:left="420"/>
        <w:spacing w:after="0"/>
        <w:rPr>
          <w:sz w:val="20"/>
          <w:szCs w:val="20"/>
          <w:color w:val="auto"/>
        </w:rPr>
      </w:pPr>
      <w:r>
        <w:rPr>
          <w:rFonts w:ascii="Arial" w:cs="Arial" w:eastAsia="Arial" w:hAnsi="Arial"/>
          <w:sz w:val="22"/>
          <w:szCs w:val="22"/>
          <w:color w:val="auto"/>
        </w:rPr>
        <w:t>President and Chief Executive Officer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 HAVE READ, UNDERSTAND AND AGREE FULLY TO THE FOREGOING AGREEMENT: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22"/>
          <w:szCs w:val="22"/>
          <w:color w:val="auto"/>
        </w:rPr>
        <w:t>/s/ Kinney 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1150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3">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Kinney Horn</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March 8,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6985</wp:posOffset>
            </wp:positionV>
            <wp:extent cx="3111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4">
                      <a:extLst>
                        <a:ext uri="{28A0092B-C50C-407E-A947-70E740481C1C}"/>
                      </a:extLst>
                    </a:blip>
                    <a:srcRect/>
                    <a:stretch>
                      <a:fillRect/>
                    </a:stretch>
                  </pic:blipFill>
                  <pic:spPr bwMode="auto">
                    <a:xfrm>
                      <a:off x="0" y="0"/>
                      <a:ext cx="3111500"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476250</wp:posOffset>
            </wp:positionV>
            <wp:extent cx="629221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658" w:right="999" w:bottom="1440" w:gutter="0" w:footer="0" w:header="0"/>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Sean Bohen, certify that:</w:t>
      </w:r>
    </w:p>
    <w:p>
      <w:pPr>
        <w:spacing w:after="0" w:line="225" w:lineRule="exact"/>
        <w:rPr>
          <w:sz w:val="20"/>
          <w:szCs w:val="20"/>
          <w:color w:val="auto"/>
        </w:rPr>
      </w:pPr>
    </w:p>
    <w:p>
      <w:pPr>
        <w:ind w:left="340" w:hanging="332"/>
        <w:spacing w:after="0"/>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right="300" w:hanging="328"/>
        <w:spacing w:after="0" w:line="263"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2023</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Sean Bohen</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16"/>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776"/>
        </w:trPr>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60" w:name="page161"/>
    <w:bookmarkEnd w:id="16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Shane Kovacs, certify that:</w:t>
      </w:r>
    </w:p>
    <w:p>
      <w:pPr>
        <w:spacing w:after="0" w:line="225" w:lineRule="exact"/>
        <w:rPr>
          <w:sz w:val="20"/>
          <w:szCs w:val="20"/>
          <w:color w:val="auto"/>
        </w:rPr>
      </w:pPr>
    </w:p>
    <w:p>
      <w:pPr>
        <w:ind w:left="340" w:hanging="332"/>
        <w:spacing w:after="0"/>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Olema Pharmaceuticals, Inc.;</w:t>
      </w:r>
    </w:p>
    <w:p>
      <w:pPr>
        <w:spacing w:after="0" w:line="225" w:lineRule="exact"/>
        <w:rPr>
          <w:rFonts w:ascii="Arial" w:cs="Arial" w:eastAsia="Arial" w:hAnsi="Arial"/>
          <w:sz w:val="18"/>
          <w:szCs w:val="18"/>
          <w:color w:val="auto"/>
        </w:rPr>
      </w:pPr>
    </w:p>
    <w:p>
      <w:pPr>
        <w:ind w:left="340" w:hanging="332"/>
        <w:spacing w:after="0" w:line="263"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286" w:lineRule="auto"/>
        <w:tabs>
          <w:tab w:leader="none" w:pos="6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200" w:hanging="328"/>
        <w:spacing w:after="0" w:line="286" w:lineRule="auto"/>
        <w:tabs>
          <w:tab w:leader="none" w:pos="660" w:val="left"/>
        </w:tabs>
        <w:numPr>
          <w:ilvl w:val="1"/>
          <w:numId w:val="12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jc w:val="both"/>
        <w:ind w:left="660" w:right="320" w:hanging="328"/>
        <w:spacing w:after="0" w:line="263" w:lineRule="auto"/>
        <w:tabs>
          <w:tab w:leader="none" w:pos="626" w:val="left"/>
        </w:tabs>
        <w:numPr>
          <w:ilvl w:val="1"/>
          <w:numId w:val="12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660" w:right="340" w:hanging="328"/>
        <w:spacing w:after="0" w:line="311" w:lineRule="auto"/>
        <w:tabs>
          <w:tab w:leader="none" w:pos="660" w:val="left"/>
        </w:tabs>
        <w:numPr>
          <w:ilvl w:val="1"/>
          <w:numId w:val="12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20" w:hanging="332"/>
        <w:spacing w:after="0" w:line="263" w:lineRule="auto"/>
        <w:tabs>
          <w:tab w:leader="none" w:pos="34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40" w:hanging="328"/>
        <w:spacing w:after="0" w:line="263" w:lineRule="auto"/>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80" w:hanging="328"/>
        <w:spacing w:after="0" w:line="277" w:lineRule="auto"/>
        <w:tabs>
          <w:tab w:leader="none" w:pos="66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2023</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Shane Kovacs</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16"/>
        </w:trPr>
        <w:tc>
          <w:tcPr>
            <w:tcW w:w="31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Operating and Financial Officer</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r>
        <w:trPr>
          <w:trHeight w:val="776"/>
        </w:trPr>
        <w:tc>
          <w:tcPr>
            <w:tcW w:w="31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61" w:name="page162"/>
    <w:bookmarkEnd w:id="161"/>
    <w:p>
      <w:pPr>
        <w:ind w:left="900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1000" w:right="640"/>
        <w:spacing w:after="0" w:line="266"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spacing w:after="0" w:line="187" w:lineRule="exact"/>
        <w:rPr>
          <w:sz w:val="20"/>
          <w:szCs w:val="20"/>
          <w:color w:val="auto"/>
        </w:rPr>
      </w:pPr>
    </w:p>
    <w:p>
      <w:pPr>
        <w:ind w:left="660" w:right="100" w:hanging="328"/>
        <w:spacing w:after="0" w:line="263"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period ended March 31, 2023, to which this Certification is attached as Exhibit 32.1 (the “Periodic Report”), fully complies with the requirements of Section 13(a) or Section 15(d) of the Exchange Act; and</w:t>
      </w:r>
    </w:p>
    <w:p>
      <w:pPr>
        <w:spacing w:after="0" w:line="18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Date: May 9, 2023</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Sean Bohen</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Bohen</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648"/>
        </w:trPr>
        <w:tc>
          <w:tcPr>
            <w:tcW w:w="3160" w:type="dxa"/>
            <w:vAlign w:val="bottom"/>
          </w:tcPr>
          <w:p>
            <w:pPr>
              <w:spacing w:after="0"/>
              <w:rPr>
                <w:sz w:val="20"/>
                <w:szCs w:val="20"/>
                <w:color w:val="auto"/>
              </w:rPr>
            </w:pPr>
            <w:r>
              <w:rPr>
                <w:rFonts w:ascii="Arial" w:cs="Arial" w:eastAsia="Arial" w:hAnsi="Arial"/>
                <w:sz w:val="18"/>
                <w:szCs w:val="18"/>
                <w:color w:val="auto"/>
              </w:rPr>
              <w:t>Date: May 9, 2023</w:t>
            </w:r>
          </w:p>
        </w:tc>
        <w:tc>
          <w:tcPr>
            <w:tcW w:w="6760" w:type="dxa"/>
            <w:vAlign w:val="bottom"/>
            <w:gridSpan w:val="2"/>
          </w:tcPr>
          <w:p>
            <w:pPr>
              <w:ind w:left="1800"/>
              <w:spacing w:after="0"/>
              <w:rPr>
                <w:sz w:val="20"/>
                <w:szCs w:val="20"/>
                <w:color w:val="auto"/>
              </w:rPr>
            </w:pPr>
            <w:r>
              <w:rPr>
                <w:rFonts w:ascii="Arial" w:cs="Arial" w:eastAsia="Arial" w:hAnsi="Arial"/>
                <w:sz w:val="18"/>
                <w:szCs w:val="18"/>
                <w:color w:val="auto"/>
              </w:rPr>
              <w:t>By:/s/ Shane Kovacs</w:t>
            </w:r>
          </w:p>
        </w:tc>
      </w:tr>
      <w:tr>
        <w:trPr>
          <w:trHeight w:val="195"/>
        </w:trPr>
        <w:tc>
          <w:tcPr>
            <w:tcW w:w="31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4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Shane Kovacs</w:t>
            </w:r>
          </w:p>
        </w:tc>
      </w:tr>
      <w:tr>
        <w:trPr>
          <w:trHeight w:val="230"/>
        </w:trPr>
        <w:tc>
          <w:tcPr>
            <w:tcW w:w="31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629221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908"/>
    </w:lvl>
  </w:abstractNum>
  <w:abstractNum w:abstractNumId="3">
    <w:nsid w:val="25A70BF7"/>
    <w:multiLevelType w:val="hybridMultilevel"/>
    <w:lvl w:ilvl="0">
      <w:lvlJc w:val="left"/>
      <w:lvlText w:val="%1."/>
      <w:numFmt w:val="decimal"/>
      <w:start w:val="2"/>
    </w:lvl>
  </w:abstractNum>
  <w:abstractNum w:abstractNumId="4">
    <w:nsid w:val="1DBABF00"/>
    <w:multiLevelType w:val="hybridMultilevel"/>
    <w:lvl w:ilvl="0">
      <w:lvlJc w:val="left"/>
      <w:lvlText w:val="(%1)"/>
      <w:numFmt w:val="lowerRoman"/>
      <w:start w:val="3"/>
    </w:lvl>
  </w:abstractNum>
  <w:abstractNum w:abstractNumId="5">
    <w:nsid w:val="4AD084E9"/>
    <w:multiLevelType w:val="hybridMultilevel"/>
    <w:lvl w:ilvl="0">
      <w:lvlJc w:val="left"/>
      <w:lvlText w:val="%1."/>
      <w:numFmt w:val="decimal"/>
      <w:start w:val="3"/>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1."/>
      <w:numFmt w:val="decimal"/>
      <w:start w:val="7"/>
    </w:lvl>
  </w:abstractNum>
  <w:abstractNum w:abstractNumId="8">
    <w:nsid w:val="5DB70AE5"/>
    <w:multiLevelType w:val="hybridMultilevel"/>
    <w:lvl w:ilvl="0">
      <w:lvlJc w:val="left"/>
      <w:lvlText w:val="(%1)"/>
      <w:numFmt w:val="decimal"/>
      <w:start w:val="1"/>
    </w:lvl>
  </w:abstractNum>
  <w:abstractNum w:abstractNumId="9">
    <w:nsid w:val="100F8FCA"/>
    <w:multiLevelType w:val="hybridMultilevel"/>
    <w:lvl w:ilvl="0">
      <w:lvlJc w:val="left"/>
      <w:lvlText w:val="%1."/>
      <w:numFmt w:val="decimal"/>
      <w:start w:val="9"/>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
      <w:numFmt w:val="bullet"/>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
      <w:numFmt w:val="bullet"/>
      <w:start w:val="1"/>
    </w:lvl>
  </w:abstractNum>
  <w:abstractNum w:abstractNumId="28">
    <w:nsid w:val="A0382C5"/>
    <w:multiLevelType w:val="hybridMultilevel"/>
    <w:lvl w:ilvl="0">
      <w:lvlJc w:val="left"/>
      <w:lvlText w:val="●"/>
      <w:numFmt w:val="bullet"/>
      <w:start w:val="1"/>
    </w:lvl>
  </w:abstractNum>
  <w:abstractNum w:abstractNumId="29">
    <w:nsid w:val="8F2B15E"/>
    <w:multiLevelType w:val="hybridMultilevel"/>
    <w:lvl w:ilvl="0">
      <w:lvlJc w:val="left"/>
      <w:lvlText w:val="●"/>
      <w:numFmt w:val="bullet"/>
      <w:start w:val="1"/>
    </w:lvl>
  </w:abstractNum>
  <w:abstractNum w:abstractNumId="30">
    <w:nsid w:val="1A32234B"/>
    <w:multiLevelType w:val="hybridMultilevel"/>
    <w:lvl w:ilvl="0">
      <w:lvlJc w:val="left"/>
      <w:lvlText w:val="●"/>
      <w:numFmt w:val="bullet"/>
      <w:start w:val="1"/>
    </w:lvl>
  </w:abstractNum>
  <w:abstractNum w:abstractNumId="31">
    <w:nsid w:val="3B0FD379"/>
    <w:multiLevelType w:val="hybridMultilevel"/>
    <w:lvl w:ilvl="0">
      <w:lvlJc w:val="left"/>
      <w:lvlText w:val="●"/>
      <w:numFmt w:val="bullet"/>
      <w:start w:val="1"/>
    </w:lvl>
  </w:abstractNum>
  <w:abstractNum w:abstractNumId="32">
    <w:nsid w:val="68EB2F63"/>
    <w:multiLevelType w:val="hybridMultilevel"/>
    <w:lvl w:ilvl="0">
      <w:lvlJc w:val="left"/>
      <w:lvlText w:val="●"/>
      <w:numFmt w:val="bullet"/>
      <w:start w:val="1"/>
    </w:lvl>
  </w:abstractNum>
  <w:abstractNum w:abstractNumId="33">
    <w:nsid w:val="4962813B"/>
    <w:multiLevelType w:val="hybridMultilevel"/>
    <w:lvl w:ilvl="0">
      <w:lvlJc w:val="left"/>
      <w:lvlText w:val="●"/>
      <w:numFmt w:val="bullet"/>
      <w:start w:val="1"/>
    </w:lvl>
  </w:abstractNum>
  <w:abstractNum w:abstractNumId="34">
    <w:nsid w:val="60B6DF70"/>
    <w:multiLevelType w:val="hybridMultilevel"/>
    <w:lvl w:ilvl="0">
      <w:lvlJc w:val="left"/>
      <w:lvlText w:val="●"/>
      <w:numFmt w:val="bullet"/>
      <w:start w:val="1"/>
    </w:lvl>
  </w:abstractNum>
  <w:abstractNum w:abstractNumId="35">
    <w:nsid w:val="6A5EE64"/>
    <w:multiLevelType w:val="hybridMultilevel"/>
    <w:lvl w:ilvl="0">
      <w:lvlJc w:val="left"/>
      <w:lvlText w:val="●"/>
      <w:numFmt w:val="bullet"/>
      <w:start w:val="1"/>
    </w:lvl>
  </w:abstractNum>
  <w:abstractNum w:abstractNumId="36">
    <w:nsid w:val="14330624"/>
    <w:multiLevelType w:val="hybridMultilevel"/>
    <w:lvl w:ilvl="0">
      <w:lvlJc w:val="left"/>
      <w:lvlText w:val="●"/>
      <w:numFmt w:val="bullet"/>
      <w:start w:val="1"/>
    </w:lvl>
  </w:abstractNum>
  <w:abstractNum w:abstractNumId="37">
    <w:nsid w:val="7FFFCA11"/>
    <w:multiLevelType w:val="hybridMultilevel"/>
    <w:lvl w:ilvl="0">
      <w:lvlJc w:val="left"/>
      <w:lvlText w:val="●"/>
      <w:numFmt w:val="bullet"/>
      <w:start w:val="1"/>
    </w:lvl>
  </w:abstractNum>
  <w:abstractNum w:abstractNumId="38">
    <w:nsid w:val="1A27709E"/>
    <w:multiLevelType w:val="hybridMultilevel"/>
    <w:lvl w:ilvl="0">
      <w:lvlJc w:val="left"/>
      <w:lvlText w:val="●"/>
      <w:numFmt w:val="bullet"/>
      <w:start w:val="1"/>
    </w:lvl>
  </w:abstractNum>
  <w:abstractNum w:abstractNumId="39">
    <w:nsid w:val="71EA1109"/>
    <w:multiLevelType w:val="hybridMultilevel"/>
    <w:lvl w:ilvl="0">
      <w:lvlJc w:val="left"/>
      <w:lvlText w:val="●"/>
      <w:numFmt w:val="bullet"/>
      <w:start w:val="1"/>
    </w:lvl>
  </w:abstractNum>
  <w:abstractNum w:abstractNumId="40">
    <w:nsid w:val="100F59DC"/>
    <w:multiLevelType w:val="hybridMultilevel"/>
    <w:lvl w:ilvl="0">
      <w:lvlJc w:val="left"/>
      <w:lvlText w:val="●"/>
      <w:numFmt w:val="bullet"/>
      <w:start w:val="1"/>
    </w:lvl>
  </w:abstractNum>
  <w:abstractNum w:abstractNumId="41">
    <w:nsid w:val="7FB7E0AA"/>
    <w:multiLevelType w:val="hybridMultilevel"/>
    <w:lvl w:ilvl="0">
      <w:lvlJc w:val="left"/>
      <w:lvlText w:val="●"/>
      <w:numFmt w:val="bullet"/>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
      <w:numFmt w:val="bullet"/>
      <w:start w:val="1"/>
    </w:lvl>
  </w:abstractNum>
  <w:abstractNum w:abstractNumId="44">
    <w:nsid w:val="94211F2"/>
    <w:multiLevelType w:val="hybridMultilevel"/>
    <w:lvl w:ilvl="0">
      <w:lvlJc w:val="left"/>
      <w:lvlText w:val="●"/>
      <w:numFmt w:val="bullet"/>
      <w:start w:val="1"/>
    </w:lvl>
  </w:abstractNum>
  <w:abstractNum w:abstractNumId="45">
    <w:nsid w:val="885E1B"/>
    <w:multiLevelType w:val="hybridMultilevel"/>
    <w:lvl w:ilvl="0">
      <w:lvlJc w:val="left"/>
      <w:lvlText w:val="●"/>
      <w:numFmt w:val="bullet"/>
      <w:start w:val="1"/>
    </w:lvl>
  </w:abstractNum>
  <w:abstractNum w:abstractNumId="46">
    <w:nsid w:val="76272110"/>
    <w:multiLevelType w:val="hybridMultilevel"/>
    <w:lvl w:ilvl="0">
      <w:lvlJc w:val="left"/>
      <w:lvlText w:val="●"/>
      <w:numFmt w:val="bullet"/>
      <w:start w:val="1"/>
    </w:lvl>
  </w:abstractNum>
  <w:abstractNum w:abstractNumId="47">
    <w:nsid w:val="4C04A8AF"/>
    <w:multiLevelType w:val="hybridMultilevel"/>
    <w:lvl w:ilvl="0">
      <w:lvlJc w:val="left"/>
      <w:lvlText w:val="●"/>
      <w:numFmt w:val="bullet"/>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
      <w:numFmt w:val="bullet"/>
      <w:start w:val="1"/>
    </w:lvl>
  </w:abstractNum>
  <w:abstractNum w:abstractNumId="50">
    <w:nsid w:val="3222E7CD"/>
    <w:multiLevelType w:val="hybridMultilevel"/>
    <w:lvl w:ilvl="0">
      <w:lvlJc w:val="left"/>
      <w:lvlText w:val="●"/>
      <w:numFmt w:val="bullet"/>
      <w:start w:val="1"/>
    </w:lvl>
  </w:abstractNum>
  <w:abstractNum w:abstractNumId="51">
    <w:nsid w:val="74DE0EE3"/>
    <w:multiLevelType w:val="hybridMultilevel"/>
    <w:lvl w:ilvl="0">
      <w:lvlJc w:val="left"/>
      <w:lvlText w:val="*"/>
      <w:numFmt w:val="bullet"/>
      <w:start w:val="1"/>
    </w:lvl>
    <w:lvl w:ilvl="1">
      <w:lvlJc w:val="left"/>
      <w:lvlText w:val="%2"/>
      <w:numFmt w:val="decimal"/>
      <w:start w:val="104"/>
    </w:lvl>
  </w:abstractNum>
  <w:abstractNum w:abstractNumId="52">
    <w:nsid w:val="68EBC550"/>
    <w:multiLevelType w:val="hybridMultilevel"/>
    <w:lvl w:ilvl="0">
      <w:lvlJc w:val="left"/>
      <w:lvlText w:val="#"/>
      <w:numFmt w:val="bullet"/>
      <w:start w:val="1"/>
    </w:lvl>
  </w:abstractNum>
  <w:abstractNum w:abstractNumId="53">
    <w:nsid w:val="2DF6D648"/>
    <w:multiLevelType w:val="hybridMultilevel"/>
    <w:lvl w:ilvl="0">
      <w:lvlJc w:val="left"/>
      <w:lvlText w:val="†"/>
      <w:numFmt w:val="bullet"/>
      <w:start w:val="1"/>
    </w:lvl>
  </w:abstractNum>
  <w:abstractNum w:abstractNumId="54">
    <w:nsid w:val="46B7D447"/>
    <w:multiLevelType w:val="hybridMultilevel"/>
    <w:lvl w:ilvl="0">
      <w:lvlJc w:val="left"/>
      <w:lvlText w:val="¥"/>
      <w:numFmt w:val="bullet"/>
      <w:start w:val="1"/>
    </w:lvl>
  </w:abstractNum>
  <w:abstractNum w:abstractNumId="55">
    <w:nsid w:val="4A2AC315"/>
    <w:multiLevelType w:val="hybridMultilevel"/>
    <w:lvl w:ilvl="0">
      <w:lvlJc w:val="left"/>
      <w:lvlText w:val="(%1)"/>
      <w:numFmt w:val="lowerLetter"/>
      <w:start w:val="2"/>
    </w:lvl>
  </w:abstractNum>
  <w:abstractNum w:abstractNumId="56">
    <w:nsid w:val="39EE015C"/>
    <w:multiLevelType w:val="hybridMultilevel"/>
    <w:lvl w:ilvl="0">
      <w:lvlJc w:val="left"/>
      <w:lvlText w:val="(%1)"/>
      <w:numFmt w:val="lowerLetter"/>
      <w:start w:val="3"/>
    </w:lvl>
  </w:abstractNum>
  <w:abstractNum w:abstractNumId="57">
    <w:nsid w:val="57FC4FBB"/>
    <w:multiLevelType w:val="hybridMultilevel"/>
    <w:lvl w:ilvl="0">
      <w:lvlJc w:val="left"/>
      <w:lvlText w:val="(%1)"/>
      <w:numFmt w:val="lowerLetter"/>
      <w:start w:val="1"/>
    </w:lvl>
  </w:abstractNum>
  <w:abstractNum w:abstractNumId="58">
    <w:nsid w:val="CC1016F"/>
    <w:multiLevelType w:val="hybridMultilevel"/>
    <w:lvl w:ilvl="0">
      <w:lvlJc w:val="left"/>
      <w:lvlText w:val="(%1)"/>
      <w:numFmt w:val="lowerLetter"/>
      <w:start w:val="4"/>
    </w:lvl>
  </w:abstractNum>
  <w:abstractNum w:abstractNumId="59">
    <w:nsid w:val="43F18422"/>
    <w:multiLevelType w:val="hybridMultilevel"/>
    <w:lvl w:ilvl="0">
      <w:lvlJc w:val="left"/>
      <w:lvlText w:val="(%1)"/>
      <w:numFmt w:val="lowerLetter"/>
      <w:start w:val="1"/>
    </w:lvl>
    <w:lvl w:ilvl="1">
      <w:lvlJc w:val="left"/>
      <w:lvlText w:val="(%2)"/>
      <w:numFmt w:val="lowerRoman"/>
      <w:start w:val="1"/>
    </w:lvl>
  </w:abstractNum>
  <w:abstractNum w:abstractNumId="60">
    <w:nsid w:val="60EF0119"/>
    <w:multiLevelType w:val="hybridMultilevel"/>
    <w:lvl w:ilvl="0">
      <w:lvlJc w:val="left"/>
      <w:lvlText w:val="%1"/>
      <w:numFmt w:val="lowerLetter"/>
      <w:start w:val="1"/>
    </w:lvl>
    <w:lvl w:ilvl="1">
      <w:lvlJc w:val="left"/>
      <w:lvlText w:val="(%2)"/>
      <w:numFmt w:val="lowerRoman"/>
      <w:start w:val="3"/>
    </w:lvl>
  </w:abstractNum>
  <w:abstractNum w:abstractNumId="61">
    <w:nsid w:val="26F324BA"/>
    <w:multiLevelType w:val="hybridMultilevel"/>
    <w:lvl w:ilvl="0">
      <w:lvlJc w:val="left"/>
      <w:lvlText w:val="(%1)"/>
      <w:numFmt w:val="lowerLetter"/>
      <w:start w:val="2"/>
    </w:lvl>
    <w:lvl w:ilvl="1">
      <w:lvlJc w:val="left"/>
      <w:lvlText w:val="%2"/>
      <w:numFmt w:val="lowerRoman"/>
      <w:start w:val="1"/>
    </w:lvl>
  </w:abstractNum>
  <w:abstractNum w:abstractNumId="62">
    <w:nsid w:val="7F01579B"/>
    <w:multiLevelType w:val="hybridMultilevel"/>
    <w:lvl w:ilvl="0">
      <w:lvlJc w:val="left"/>
      <w:lvlText w:val="(%1)"/>
      <w:numFmt w:val="lowerLetter"/>
      <w:start w:val="1"/>
    </w:lvl>
  </w:abstractNum>
  <w:abstractNum w:abstractNumId="63">
    <w:nsid w:val="49DA307D"/>
    <w:multiLevelType w:val="hybridMultilevel"/>
    <w:lvl w:ilvl="0">
      <w:lvlJc w:val="left"/>
      <w:lvlText w:val="(%1)"/>
      <w:numFmt w:val="lowerLetter"/>
      <w:start w:val="1"/>
    </w:lvl>
  </w:abstractNum>
  <w:abstractNum w:abstractNumId="64">
    <w:nsid w:val="7055A5F5"/>
    <w:multiLevelType w:val="hybridMultilevel"/>
    <w:lvl w:ilvl="0">
      <w:lvlJc w:val="left"/>
      <w:lvlText w:val="(%1)"/>
      <w:numFmt w:val="lowerLetter"/>
      <w:start w:val="1"/>
    </w:lvl>
  </w:abstractNum>
  <w:abstractNum w:abstractNumId="65">
    <w:nsid w:val="5FB8370B"/>
    <w:multiLevelType w:val="hybridMultilevel"/>
    <w:lvl w:ilvl="0">
      <w:lvlJc w:val="left"/>
      <w:lvlText w:val="(%1)"/>
      <w:numFmt w:val="lowerLetter"/>
      <w:start w:val="1"/>
    </w:lvl>
  </w:abstractNum>
  <w:abstractNum w:abstractNumId="66">
    <w:nsid w:val="50801EE1"/>
    <w:multiLevelType w:val="hybridMultilevel"/>
    <w:lvl w:ilvl="0">
      <w:lvlJc w:val="left"/>
      <w:lvlText w:val="(%1)"/>
      <w:numFmt w:val="lowerLetter"/>
      <w:start w:val="2"/>
    </w:lvl>
  </w:abstractNum>
  <w:abstractNum w:abstractNumId="67">
    <w:nsid w:val="488AC1A"/>
    <w:multiLevelType w:val="hybridMultilevel"/>
    <w:lvl w:ilvl="0">
      <w:lvlJc w:val="left"/>
      <w:lvlText w:val="(%1)"/>
      <w:numFmt w:val="lowerLetter"/>
      <w:start w:val="1"/>
    </w:lvl>
  </w:abstractNum>
  <w:abstractNum w:abstractNumId="68">
    <w:nsid w:val="5FB8011C"/>
    <w:multiLevelType w:val="hybridMultilevel"/>
    <w:lvl w:ilvl="0">
      <w:lvlJc w:val="left"/>
      <w:lvlText w:val="%1"/>
      <w:numFmt w:val="lowerLetter"/>
      <w:start w:val="1"/>
    </w:lvl>
    <w:lvl w:ilvl="1">
      <w:lvlJc w:val="left"/>
      <w:lvlText w:val="(%2)"/>
      <w:numFmt w:val="lowerLetter"/>
      <w:start w:val="3"/>
    </w:lvl>
  </w:abstractNum>
  <w:abstractNum w:abstractNumId="69">
    <w:nsid w:val="6AA78F7F"/>
    <w:multiLevelType w:val="hybridMultilevel"/>
    <w:lvl w:ilvl="0">
      <w:lvlJc w:val="left"/>
      <w:lvlText w:val="(%1)"/>
      <w:numFmt w:val="lowerLetter"/>
      <w:start w:val="35"/>
    </w:lvl>
    <w:lvl w:ilvl="1">
      <w:lvlJc w:val="left"/>
      <w:lvlText w:val="(%2)"/>
      <w:numFmt w:val="lowerLetter"/>
      <w:start w:val="7"/>
    </w:lvl>
  </w:abstractNum>
  <w:abstractNum w:abstractNumId="70">
    <w:nsid w:val="7672BD23"/>
    <w:multiLevelType w:val="hybridMultilevel"/>
    <w:lvl w:ilvl="0">
      <w:lvlJc w:val="left"/>
      <w:lvlText w:val="[***]"/>
      <w:numFmt w:val="bullet"/>
      <w:start w:val="1"/>
    </w:lvl>
    <w:lvl w:ilvl="1">
      <w:lvlJc w:val="left"/>
      <w:lvlText w:val="(%2)"/>
      <w:numFmt w:val="lowerLetter"/>
      <w:start w:val="9"/>
    </w:lvl>
    <w:lvl w:ilvl="2">
      <w:lvlJc w:val="left"/>
      <w:lvlText w:val="%3"/>
      <w:numFmt w:val="lowerRoman"/>
      <w:start w:val="1"/>
    </w:lvl>
  </w:abstractNum>
  <w:abstractNum w:abstractNumId="71">
    <w:nsid w:val="6FC75AF8"/>
    <w:multiLevelType w:val="hybridMultilevel"/>
    <w:lvl w:ilvl="0">
      <w:lvlJc w:val="left"/>
      <w:lvlText w:val="[***]"/>
      <w:numFmt w:val="bullet"/>
      <w:start w:val="1"/>
    </w:lvl>
    <w:lvl w:ilvl="1">
      <w:lvlJc w:val="left"/>
      <w:lvlText w:val="(%2)"/>
      <w:numFmt w:val="lowerLetter"/>
      <w:start w:val="10"/>
    </w:lvl>
    <w:lvl w:ilvl="2">
      <w:lvlJc w:val="left"/>
      <w:lvlText w:val="(%3)"/>
      <w:numFmt w:val="lowerRoman"/>
      <w:start w:val="1"/>
    </w:lvl>
  </w:abstractNum>
  <w:abstractNum w:abstractNumId="72">
    <w:nsid w:val="6A5F7029"/>
    <w:multiLevelType w:val="hybridMultilevel"/>
    <w:lvl w:ilvl="0">
      <w:lvlJc w:val="left"/>
      <w:lvlText w:val="%1"/>
      <w:numFmt w:val="lowerLetter"/>
      <w:start w:val="1"/>
    </w:lvl>
    <w:lvl w:ilvl="1">
      <w:lvlJc w:val="left"/>
      <w:lvlText w:val="(%2)"/>
      <w:numFmt w:val="lowerRoman"/>
      <w:start w:val="3"/>
    </w:lvl>
  </w:abstractNum>
  <w:abstractNum w:abstractNumId="73">
    <w:nsid w:val="7D5E18F8"/>
    <w:multiLevelType w:val="hybridMultilevel"/>
    <w:lvl w:ilvl="0">
      <w:lvlJc w:val="left"/>
      <w:lvlText w:val="(%1)"/>
      <w:numFmt w:val="lowerLetter"/>
      <w:start w:val="12"/>
    </w:lvl>
    <w:lvl w:ilvl="1">
      <w:lvlJc w:val="left"/>
      <w:lvlText w:val="%2"/>
      <w:numFmt w:val="lowerRoman"/>
      <w:start w:val="1"/>
    </w:lvl>
  </w:abstractNum>
  <w:abstractNum w:abstractNumId="74">
    <w:nsid w:val="5F3534A4"/>
    <w:multiLevelType w:val="hybridMultilevel"/>
    <w:lvl w:ilvl="0">
      <w:lvlJc w:val="left"/>
      <w:lvlText w:val="(%1)"/>
      <w:numFmt w:val="lowerLetter"/>
      <w:start w:val="13"/>
    </w:lvl>
  </w:abstractNum>
  <w:abstractNum w:abstractNumId="75">
    <w:nsid w:val="73A1821B"/>
    <w:multiLevelType w:val="hybridMultilevel"/>
    <w:lvl w:ilvl="0">
      <w:lvlJc w:val="left"/>
      <w:lvlText w:val="(%1)"/>
      <w:numFmt w:val="lowerLetter"/>
      <w:start w:val="1"/>
    </w:lvl>
  </w:abstractNum>
  <w:abstractNum w:abstractNumId="76">
    <w:nsid w:val="7DE67713"/>
    <w:multiLevelType w:val="hybridMultilevel"/>
    <w:lvl w:ilvl="0">
      <w:lvlJc w:val="left"/>
      <w:lvlText w:val="(%1)"/>
      <w:numFmt w:val="lowerLetter"/>
      <w:start w:val="1"/>
    </w:lvl>
    <w:lvl w:ilvl="1">
      <w:lvlJc w:val="left"/>
      <w:lvlText w:val="(%2)"/>
      <w:numFmt w:val="lowerLetter"/>
      <w:start w:val="9"/>
    </w:lvl>
  </w:abstractNum>
  <w:abstractNum w:abstractNumId="77">
    <w:nsid w:val="555C55B5"/>
    <w:multiLevelType w:val="hybridMultilevel"/>
    <w:lvl w:ilvl="0">
      <w:lvlJc w:val="left"/>
      <w:lvlText w:val="[***]"/>
      <w:numFmt w:val="bullet"/>
      <w:start w:val="1"/>
    </w:lvl>
    <w:lvl w:ilvl="1">
      <w:lvlJc w:val="left"/>
      <w:lvlText w:val="(%2)"/>
      <w:numFmt w:val="lowerRoman"/>
      <w:start w:val="2"/>
    </w:lvl>
  </w:abstractNum>
  <w:abstractNum w:abstractNumId="78">
    <w:nsid w:val="3FA62ACA"/>
    <w:multiLevelType w:val="hybridMultilevel"/>
    <w:lvl w:ilvl="0">
      <w:lvlJc w:val="left"/>
      <w:lvlText w:val="[***]"/>
      <w:numFmt w:val="bullet"/>
      <w:start w:val="1"/>
    </w:lvl>
    <w:lvl w:ilvl="1">
      <w:lvlJc w:val="left"/>
      <w:lvlText w:val="(%2)"/>
      <w:numFmt w:val="lowerRoman"/>
      <w:start w:val="3"/>
    </w:lvl>
  </w:abstractNum>
  <w:abstractNum w:abstractNumId="79">
    <w:nsid w:val="14FCE74E"/>
    <w:multiLevelType w:val="hybridMultilevel"/>
    <w:lvl w:ilvl="0">
      <w:lvlJc w:val="left"/>
      <w:lvlText w:val="(%1)"/>
      <w:numFmt w:val="lowerLetter"/>
      <w:start w:val="4"/>
    </w:lvl>
  </w:abstractNum>
  <w:abstractNum w:abstractNumId="80">
    <w:nsid w:val="6A3DD3E8"/>
    <w:multiLevelType w:val="hybridMultilevel"/>
    <w:lvl w:ilvl="0">
      <w:lvlJc w:val="left"/>
      <w:lvlText w:val="(%1)"/>
      <w:numFmt w:val="lowerLetter"/>
      <w:start w:val="1"/>
    </w:lvl>
    <w:lvl w:ilvl="1">
      <w:lvlJc w:val="left"/>
      <w:lvlText w:val="(%2)"/>
      <w:numFmt w:val="lowerRoman"/>
      <w:start w:val="1"/>
    </w:lvl>
  </w:abstractNum>
  <w:abstractNum w:abstractNumId="81">
    <w:nsid w:val="71C91298"/>
    <w:multiLevelType w:val="hybridMultilevel"/>
    <w:lvl w:ilvl="0">
      <w:lvlJc w:val="left"/>
      <w:lvlText w:val="[***]"/>
      <w:numFmt w:val="bullet"/>
      <w:start w:val="1"/>
    </w:lvl>
  </w:abstractNum>
  <w:abstractNum w:abstractNumId="82">
    <w:nsid w:val="9DAF632"/>
    <w:multiLevelType w:val="hybridMultilevel"/>
    <w:lvl w:ilvl="0">
      <w:lvlJc w:val="left"/>
      <w:lvlText w:val="(%1)"/>
      <w:numFmt w:val="lowerLetter"/>
      <w:start w:val="1"/>
    </w:lvl>
  </w:abstractNum>
  <w:abstractNum w:abstractNumId="83">
    <w:nsid w:val="53299938"/>
    <w:multiLevelType w:val="hybridMultilevel"/>
    <w:lvl w:ilvl="0">
      <w:lvlJc w:val="left"/>
      <w:lvlText w:val="(%1)"/>
      <w:numFmt w:val="lowerLetter"/>
      <w:start w:val="1"/>
    </w:lvl>
  </w:abstractNum>
  <w:abstractNum w:abstractNumId="84">
    <w:nsid w:val="1FBFE8E0"/>
    <w:multiLevelType w:val="hybridMultilevel"/>
    <w:lvl w:ilvl="0">
      <w:lvlJc w:val="left"/>
      <w:lvlText w:val="(%1)"/>
      <w:numFmt w:val="lowerLetter"/>
      <w:start w:val="3"/>
    </w:lvl>
  </w:abstractNum>
  <w:abstractNum w:abstractNumId="85">
    <w:nsid w:val="5092CA79"/>
    <w:multiLevelType w:val="hybridMultilevel"/>
    <w:lvl w:ilvl="0">
      <w:lvlJc w:val="left"/>
      <w:lvlText w:val="[***]"/>
      <w:numFmt w:val="bullet"/>
      <w:start w:val="1"/>
    </w:lvl>
    <w:lvl w:ilvl="1">
      <w:lvlJc w:val="left"/>
      <w:lvlText w:val="(%2)"/>
      <w:numFmt w:val="lowerLetter"/>
      <w:start w:val="1"/>
    </w:lvl>
  </w:abstractNum>
  <w:abstractNum w:abstractNumId="86">
    <w:nsid w:val="1D545C4D"/>
    <w:multiLevelType w:val="hybridMultilevel"/>
    <w:lvl w:ilvl="0">
      <w:lvlJc w:val="left"/>
      <w:lvlText w:val="%1"/>
      <w:numFmt w:val="upperLetter"/>
      <w:start w:val="1"/>
    </w:lvl>
    <w:lvl w:ilvl="1">
      <w:lvlJc w:val="left"/>
      <w:lvlText w:val="(%2)"/>
      <w:numFmt w:val="lowerLetter"/>
      <w:start w:val="2"/>
    </w:lvl>
  </w:abstractNum>
  <w:abstractNum w:abstractNumId="87">
    <w:nsid w:val="59ADEA3D"/>
    <w:multiLevelType w:val="hybridMultilevel"/>
    <w:lvl w:ilvl="0">
      <w:lvlJc w:val="left"/>
      <w:lvlText w:val="(%1)"/>
      <w:numFmt w:val="upperLetter"/>
      <w:start w:val="3"/>
    </w:lvl>
    <w:lvl w:ilvl="1">
      <w:lvlJc w:val="left"/>
      <w:lvlText w:val="(%2)"/>
      <w:numFmt w:val="lowerLetter"/>
      <w:start w:val="4"/>
    </w:lvl>
  </w:abstractNum>
  <w:abstractNum w:abstractNumId="88">
    <w:nsid w:val="288F1A34"/>
    <w:multiLevelType w:val="hybridMultilevel"/>
    <w:lvl w:ilvl="0">
      <w:lvlJc w:val="left"/>
      <w:lvlText w:val="(%1)"/>
      <w:numFmt w:val="lowerLetter"/>
      <w:start w:val="5"/>
    </w:lvl>
  </w:abstractNum>
  <w:abstractNum w:abstractNumId="89">
    <w:nsid w:val="2A155DBC"/>
    <w:multiLevelType w:val="hybridMultilevel"/>
    <w:lvl w:ilvl="0">
      <w:lvlJc w:val="left"/>
      <w:lvlText w:val="(%1)"/>
      <w:numFmt w:val="lowerLetter"/>
      <w:start w:val="1"/>
    </w:lvl>
  </w:abstractNum>
  <w:abstractNum w:abstractNumId="90">
    <w:nsid w:val="1D9F6E5F"/>
    <w:multiLevelType w:val="hybridMultilevel"/>
    <w:lvl w:ilvl="0">
      <w:lvlJc w:val="left"/>
      <w:lvlText w:val="(%1)"/>
      <w:numFmt w:val="lowerLetter"/>
      <w:start w:val="1"/>
    </w:lvl>
  </w:abstractNum>
  <w:abstractNum w:abstractNumId="91">
    <w:nsid w:val="97E1B4E"/>
    <w:multiLevelType w:val="hybridMultilevel"/>
    <w:lvl w:ilvl="0">
      <w:lvlJc w:val="left"/>
      <w:lvlText w:val="(%1)"/>
      <w:numFmt w:val="lowerLetter"/>
      <w:start w:val="6"/>
    </w:lvl>
  </w:abstractNum>
  <w:abstractNum w:abstractNumId="92">
    <w:nsid w:val="51088277"/>
    <w:multiLevelType w:val="hybridMultilevel"/>
    <w:lvl w:ilvl="0">
      <w:lvlJc w:val="left"/>
      <w:lvlText w:val="(%1)"/>
      <w:numFmt w:val="lowerLetter"/>
      <w:start w:val="1"/>
    </w:lvl>
  </w:abstractNum>
  <w:abstractNum w:abstractNumId="93">
    <w:nsid w:val="1CA0C5FA"/>
    <w:multiLevelType w:val="hybridMultilevel"/>
    <w:lvl w:ilvl="0">
      <w:lvlJc w:val="left"/>
      <w:lvlText w:val="(%1)"/>
      <w:numFmt w:val="lowerLetter"/>
      <w:start w:val="3"/>
    </w:lvl>
  </w:abstractNum>
  <w:abstractNum w:abstractNumId="94">
    <w:nsid w:val="53584BCB"/>
    <w:multiLevelType w:val="hybridMultilevel"/>
    <w:lvl w:ilvl="0">
      <w:lvlJc w:val="left"/>
      <w:lvlText w:val="(%1)"/>
      <w:numFmt w:val="lowerLetter"/>
      <w:start w:val="1"/>
    </w:lvl>
  </w:abstractNum>
  <w:abstractNum w:abstractNumId="95">
    <w:nsid w:val="415E286C"/>
    <w:multiLevelType w:val="hybridMultilevel"/>
    <w:lvl w:ilvl="0">
      <w:lvlJc w:val="left"/>
      <w:lvlText w:val="(%1)"/>
      <w:numFmt w:val="lowerLetter"/>
      <w:start w:val="3"/>
    </w:lvl>
  </w:abstractNum>
  <w:abstractNum w:abstractNumId="96">
    <w:nsid w:val="7C58FD05"/>
    <w:multiLevelType w:val="hybridMultilevel"/>
    <w:lvl w:ilvl="0">
      <w:lvlJc w:val="left"/>
      <w:lvlText w:val="(%1)"/>
      <w:numFmt w:val="lowerLetter"/>
      <w:start w:val="1"/>
    </w:lvl>
  </w:abstractNum>
  <w:abstractNum w:abstractNumId="97">
    <w:nsid w:val="23D86AAC"/>
    <w:multiLevelType w:val="hybridMultilevel"/>
    <w:lvl w:ilvl="0">
      <w:lvlJc w:val="left"/>
      <w:lvlText w:val="(%1)"/>
      <w:numFmt w:val="lowerLetter"/>
      <w:start w:val="2"/>
    </w:lvl>
  </w:abstractNum>
  <w:abstractNum w:abstractNumId="98">
    <w:nsid w:val="45E6D486"/>
    <w:multiLevelType w:val="hybridMultilevel"/>
    <w:lvl w:ilvl="0">
      <w:lvlJc w:val="left"/>
      <w:lvlText w:val="[***]"/>
      <w:numFmt w:val="bullet"/>
      <w:start w:val="1"/>
    </w:lvl>
  </w:abstractNum>
  <w:abstractNum w:abstractNumId="99">
    <w:nsid w:val="5C10FE21"/>
    <w:multiLevelType w:val="hybridMultilevel"/>
    <w:lvl w:ilvl="0">
      <w:lvlJc w:val="left"/>
      <w:lvlText w:val="(%1)"/>
      <w:numFmt w:val="lowerLetter"/>
      <w:start w:val="1"/>
    </w:lvl>
  </w:abstractNum>
  <w:abstractNum w:abstractNumId="100">
    <w:nsid w:val="E7FFA2B"/>
    <w:multiLevelType w:val="hybridMultilevel"/>
    <w:lvl w:ilvl="0">
      <w:lvlJc w:val="left"/>
      <w:lvlText w:val="[***]"/>
      <w:numFmt w:val="bullet"/>
      <w:start w:val="1"/>
    </w:lvl>
  </w:abstractNum>
  <w:abstractNum w:abstractNumId="101">
    <w:nsid w:val="3C5991AA"/>
    <w:multiLevelType w:val="hybridMultilevel"/>
    <w:lvl w:ilvl="0">
      <w:lvlJc w:val="left"/>
      <w:lvlText w:val="(%1)"/>
      <w:numFmt w:val="lowerLetter"/>
      <w:start w:val="1"/>
    </w:lvl>
  </w:abstractNum>
  <w:abstractNum w:abstractNumId="102">
    <w:nsid w:val="4BD8591A"/>
    <w:multiLevelType w:val="hybridMultilevel"/>
    <w:lvl w:ilvl="0">
      <w:lvlJc w:val="left"/>
      <w:lvlText w:val="(%1)"/>
      <w:numFmt w:val="lowerLetter"/>
      <w:start w:val="1"/>
    </w:lvl>
  </w:abstractNum>
  <w:abstractNum w:abstractNumId="103">
    <w:nsid w:val="78DF6A55"/>
    <w:multiLevelType w:val="hybridMultilevel"/>
    <w:lvl w:ilvl="0">
      <w:lvlJc w:val="left"/>
      <w:lvlText w:val="(%1)"/>
      <w:numFmt w:val="lowerLetter"/>
      <w:start w:val="2"/>
    </w:lvl>
  </w:abstractNum>
  <w:abstractNum w:abstractNumId="104">
    <w:nsid w:val="39B7AAA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5">
    <w:nsid w:val="2B0D8DBE"/>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2"/>
    </w:lvl>
  </w:abstractNum>
  <w:abstractNum w:abstractNumId="106">
    <w:nsid w:val="6C80EC70"/>
    <w:multiLevelType w:val="hybridMultilevel"/>
    <w:lvl w:ilvl="0">
      <w:lvlJc w:val="left"/>
      <w:lvlText w:val="%1."/>
      <w:numFmt w:val="decimal"/>
      <w:start w:val="5"/>
    </w:lvl>
    <w:lvl w:ilvl="1">
      <w:lvlJc w:val="left"/>
      <w:lvlText w:val="(%2)"/>
      <w:numFmt w:val="lowerLetter"/>
      <w:start w:val="1"/>
    </w:lvl>
  </w:abstractNum>
  <w:abstractNum w:abstractNumId="107">
    <w:nsid w:val="379E21B5"/>
    <w:multiLevelType w:val="hybridMultilevel"/>
    <w:lvl w:ilvl="0">
      <w:lvlJc w:val="left"/>
      <w:lvlText w:val="%1"/>
      <w:numFmt w:val="lowerLetter"/>
      <w:start w:val="1"/>
    </w:lvl>
    <w:lvl w:ilvl="1">
      <w:lvlJc w:val="left"/>
      <w:lvlText w:val="(%2)"/>
      <w:numFmt w:val="lowerLetter"/>
      <w:start w:val="2"/>
    </w:lvl>
  </w:abstractNum>
  <w:abstractNum w:abstractNumId="108">
    <w:nsid w:val="69E373"/>
    <w:multiLevelType w:val="hybridMultilevel"/>
    <w:lvl w:ilvl="0">
      <w:lvlJc w:val="left"/>
      <w:lvlText w:val="(%1)"/>
      <w:numFmt w:val="lowerLetter"/>
      <w:start w:val="22"/>
    </w:lvl>
    <w:lvl w:ilvl="1">
      <w:lvlJc w:val="left"/>
      <w:lvlText w:val="(%2)"/>
      <w:numFmt w:val="lowerLetter"/>
      <w:start w:val="4"/>
    </w:lvl>
  </w:abstractNum>
  <w:abstractNum w:abstractNumId="109">
    <w:nsid w:val="2C27173B"/>
    <w:multiLevelType w:val="hybridMultilevel"/>
    <w:lvl w:ilvl="0">
      <w:lvlJc w:val="left"/>
      <w:lvlText w:val="%1"/>
      <w:numFmt w:val="decimal"/>
      <w:start w:val="1"/>
    </w:lvl>
    <w:lvl w:ilvl="1">
      <w:lvlJc w:val="left"/>
      <w:lvlText w:val="(%2)"/>
      <w:numFmt w:val="lowerLetter"/>
      <w:start w:val="5"/>
    </w:lvl>
  </w:abstractNum>
  <w:abstractNum w:abstractNumId="110">
    <w:nsid w:val="4C9B0904"/>
    <w:multiLevelType w:val="hybridMultilevel"/>
    <w:lvl w:ilvl="0">
      <w:lvlJc w:val="left"/>
      <w:lvlText w:val="%1."/>
      <w:numFmt w:val="decimal"/>
      <w:start w:val="9"/>
    </w:lvl>
    <w:lvl w:ilvl="1">
      <w:lvlJc w:val="left"/>
      <w:lvlText w:val="%2"/>
      <w:numFmt w:val="lowerLetter"/>
      <w:start w:val="1"/>
    </w:lvl>
  </w:abstractNum>
  <w:abstractNum w:abstractNumId="111">
    <w:nsid w:val="6AA7B75C"/>
    <w:multiLevelType w:val="hybridMultilevel"/>
    <w:lvl w:ilvl="0">
      <w:lvlJc w:val="left"/>
      <w:lvlText w:val="%1."/>
      <w:numFmt w:val="decimal"/>
      <w:start w:val="10"/>
    </w:lvl>
  </w:abstractNum>
  <w:abstractNum w:abstractNumId="112">
    <w:nsid w:val="1DF029D3"/>
    <w:multiLevelType w:val="hybridMultilevel"/>
    <w:lvl w:ilvl="0">
      <w:lvlJc w:val="left"/>
      <w:lvlText w:val="%1."/>
      <w:numFmt w:val="decimal"/>
      <w:start w:val="16"/>
    </w:lvl>
  </w:abstractNum>
  <w:abstractNum w:abstractNumId="113">
    <w:nsid w:val="5675FF3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4">
    <w:nsid w:val="3DD15094"/>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115">
    <w:nsid w:val="3DB012B3"/>
    <w:multiLevelType w:val="hybridMultilevel"/>
    <w:lvl w:ilvl="0">
      <w:lvlJc w:val="left"/>
      <w:lvlText w:val="%1"/>
      <w:numFmt w:val="decimal"/>
      <w:start w:val="1"/>
    </w:lvl>
    <w:lvl w:ilvl="1">
      <w:lvlJc w:val="left"/>
      <w:lvlText w:val="(%2)"/>
      <w:numFmt w:val="lowerLetter"/>
      <w:start w:val="3"/>
    </w:lvl>
  </w:abstractNum>
  <w:abstractNum w:abstractNumId="116">
    <w:nsid w:val="2708C9AF"/>
    <w:multiLevelType w:val="hybridMultilevel"/>
    <w:lvl w:ilvl="0">
      <w:lvlJc w:val="left"/>
      <w:lvlText w:val="%1."/>
      <w:numFmt w:val="decimal"/>
      <w:start w:val="4"/>
    </w:lvl>
    <w:lvl w:ilvl="1">
      <w:lvlJc w:val="left"/>
      <w:lvlText w:val="(%2)"/>
      <w:numFmt w:val="lowerLetter"/>
      <w:start w:val="1"/>
    </w:lvl>
  </w:abstractNum>
  <w:abstractNum w:abstractNumId="117">
    <w:nsid w:val="5B25ACE2"/>
    <w:multiLevelType w:val="hybridMultilevel"/>
    <w:lvl w:ilvl="0">
      <w:lvlJc w:val="left"/>
      <w:lvlText w:val="(%1)"/>
      <w:numFmt w:val="lowerLetter"/>
      <w:start w:val="8"/>
    </w:lvl>
  </w:abstractNum>
  <w:abstractNum w:abstractNumId="118">
    <w:nsid w:val="175DFCF0"/>
    <w:multiLevelType w:val="hybridMultilevel"/>
    <w:lvl w:ilvl="0">
      <w:lvlJc w:val="left"/>
      <w:lvlText w:val="%1."/>
      <w:numFmt w:val="decimal"/>
      <w:start w:val="5"/>
    </w:lvl>
    <w:lvl w:ilvl="1">
      <w:lvlJc w:val="left"/>
      <w:lvlText w:val="(%2)"/>
      <w:numFmt w:val="lowerLetter"/>
      <w:start w:val="1"/>
    </w:lvl>
  </w:abstractNum>
  <w:abstractNum w:abstractNumId="119">
    <w:nsid w:val="4F97E3E4"/>
    <w:multiLevelType w:val="hybridMultilevel"/>
    <w:lvl w:ilvl="0">
      <w:lvlJc w:val="left"/>
      <w:lvlText w:val="%1"/>
      <w:numFmt w:val="lowerLetter"/>
      <w:start w:val="1"/>
    </w:lvl>
    <w:lvl w:ilvl="1">
      <w:lvlJc w:val="left"/>
      <w:lvlText w:val="(%2)"/>
      <w:numFmt w:val="lowerLetter"/>
      <w:start w:val="3"/>
    </w:lvl>
  </w:abstractNum>
  <w:abstractNum w:abstractNumId="120">
    <w:nsid w:val="53B0A9E"/>
    <w:multiLevelType w:val="hybridMultilevel"/>
    <w:lvl w:ilvl="0">
      <w:lvlJc w:val="left"/>
      <w:lvlText w:val="(%1)"/>
      <w:numFmt w:val="lowerLetter"/>
      <w:start w:val="22"/>
    </w:lvl>
    <w:lvl w:ilvl="1">
      <w:lvlJc w:val="left"/>
      <w:lvlText w:val="(%2)"/>
      <w:numFmt w:val="lowerLetter"/>
      <w:start w:val="4"/>
    </w:lvl>
  </w:abstractNum>
  <w:abstractNum w:abstractNumId="121">
    <w:nsid w:val="34FD6B4F"/>
    <w:multiLevelType w:val="hybridMultilevel"/>
    <w:lvl w:ilvl="0">
      <w:lvlJc w:val="left"/>
      <w:lvlText w:val="%1."/>
      <w:numFmt w:val="decimal"/>
      <w:start w:val="8"/>
    </w:lvl>
  </w:abstractNum>
  <w:abstractNum w:abstractNumId="122">
    <w:nsid w:val="5915FF32"/>
    <w:multiLevelType w:val="hybridMultilevel"/>
    <w:lvl w:ilvl="0">
      <w:lvlJc w:val="left"/>
      <w:lvlText w:val="%1."/>
      <w:numFmt w:val="decimal"/>
      <w:start w:val="13"/>
    </w:lvl>
  </w:abstractNum>
  <w:abstractNum w:abstractNumId="123">
    <w:nsid w:val="56438D15"/>
    <w:multiLevelType w:val="hybridMultilevel"/>
    <w:lvl w:ilvl="0">
      <w:lvlJc w:val="left"/>
      <w:lvlText w:val="%1."/>
      <w:numFmt w:val="decimal"/>
      <w:start w:val="16"/>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decimal"/>
      <w:start w:val="1"/>
    </w:lvl>
    <w:lvl w:ilvl="1">
      <w:lvlJc w:val="left"/>
      <w:lvlText w:val="(%2)"/>
      <w:numFmt w:val="lowerLetter"/>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53" Type="http://schemas.openxmlformats.org/officeDocument/2006/relationships/image" Target="media/image144.png"/><Relationship Id="rId154" Type="http://schemas.openxmlformats.org/officeDocument/2006/relationships/image" Target="media/image145.png"/><Relationship Id="rId155" Type="http://schemas.openxmlformats.org/officeDocument/2006/relationships/image" Target="media/image146.png"/><Relationship Id="rId156" Type="http://schemas.openxmlformats.org/officeDocument/2006/relationships/image" Target="media/image147.png"/><Relationship Id="rId157" Type="http://schemas.openxmlformats.org/officeDocument/2006/relationships/image" Target="media/image148.png"/><Relationship Id="rId158" Type="http://schemas.openxmlformats.org/officeDocument/2006/relationships/image" Target="media/image149.png"/><Relationship Id="rId159" Type="http://schemas.openxmlformats.org/officeDocument/2006/relationships/image" Target="media/image150.png"/><Relationship Id="rId160" Type="http://schemas.openxmlformats.org/officeDocument/2006/relationships/image" Target="media/image151.png"/><Relationship Id="rId161" Type="http://schemas.openxmlformats.org/officeDocument/2006/relationships/image" Target="media/image152.png"/><Relationship Id="rId162" Type="http://schemas.openxmlformats.org/officeDocument/2006/relationships/image" Target="media/image153.png"/><Relationship Id="rId163" Type="http://schemas.openxmlformats.org/officeDocument/2006/relationships/image" Target="media/image154.png"/><Relationship Id="rId164" Type="http://schemas.openxmlformats.org/officeDocument/2006/relationships/image" Target="media/image155.png"/><Relationship Id="rId165" Type="http://schemas.openxmlformats.org/officeDocument/2006/relationships/image" Target="media/image156.png"/><Relationship Id="rId166" Type="http://schemas.openxmlformats.org/officeDocument/2006/relationships/image" Target="media/image157.png"/><Relationship Id="rId167" Type="http://schemas.openxmlformats.org/officeDocument/2006/relationships/image" Target="media/image158.png"/><Relationship Id="rId168" Type="http://schemas.openxmlformats.org/officeDocument/2006/relationships/image" Target="media/image159.png"/><Relationship Id="rId169" Type="http://schemas.openxmlformats.org/officeDocument/2006/relationships/image" Target="media/image160.png"/><Relationship Id="rId170" Type="http://schemas.openxmlformats.org/officeDocument/2006/relationships/image" Target="media/image161.png"/><Relationship Id="rId171" Type="http://schemas.openxmlformats.org/officeDocument/2006/relationships/image" Target="media/image162.png"/><Relationship Id="rId172" Type="http://schemas.openxmlformats.org/officeDocument/2006/relationships/image" Target="media/image163.png"/><Relationship Id="rId173" Type="http://schemas.openxmlformats.org/officeDocument/2006/relationships/image" Target="media/image164.png"/><Relationship Id="rId174" Type="http://schemas.openxmlformats.org/officeDocument/2006/relationships/image" Target="media/image165.png"/><Relationship Id="rId175" Type="http://schemas.openxmlformats.org/officeDocument/2006/relationships/image" Target="media/image166.png"/><Relationship Id="rId176" Type="http://schemas.openxmlformats.org/officeDocument/2006/relationships/image" Target="media/image167.png"/><Relationship Id="rId177" Type="http://schemas.openxmlformats.org/officeDocument/2006/relationships/image" Target="media/image168.png"/><Relationship Id="rId178" Type="http://schemas.openxmlformats.org/officeDocument/2006/relationships/image" Target="media/image169.png"/><Relationship Id="rId179" Type="http://schemas.openxmlformats.org/officeDocument/2006/relationships/image" Target="media/image170.png"/><Relationship Id="rId180" Type="http://schemas.openxmlformats.org/officeDocument/2006/relationships/image" Target="media/image171.png"/><Relationship Id="rId181" Type="http://schemas.openxmlformats.org/officeDocument/2006/relationships/image" Target="media/image172.png"/><Relationship Id="rId182" Type="http://schemas.openxmlformats.org/officeDocument/2006/relationships/image" Target="media/image173.png"/><Relationship Id="rId183" Type="http://schemas.openxmlformats.org/officeDocument/2006/relationships/image" Target="media/image174.png"/><Relationship Id="rId184" Type="http://schemas.openxmlformats.org/officeDocument/2006/relationships/image" Target="media/image175.png"/><Relationship Id="rId185" Type="http://schemas.openxmlformats.org/officeDocument/2006/relationships/image" Target="media/image176.png"/><Relationship Id="rId186" Type="http://schemas.openxmlformats.org/officeDocument/2006/relationships/image" Target="media/image177.png"/><Relationship Id="rId187" Type="http://schemas.openxmlformats.org/officeDocument/2006/relationships/image" Target="media/image178.png"/><Relationship Id="rId188" Type="http://schemas.openxmlformats.org/officeDocument/2006/relationships/image" Target="media/image179.png"/><Relationship Id="rId189" Type="http://schemas.openxmlformats.org/officeDocument/2006/relationships/image" Target="media/image180.png"/><Relationship Id="rId190" Type="http://schemas.openxmlformats.org/officeDocument/2006/relationships/image" Target="media/image181.png"/><Relationship Id="rId191" Type="http://schemas.openxmlformats.org/officeDocument/2006/relationships/image" Target="media/image182.png"/><Relationship Id="rId192" Type="http://schemas.openxmlformats.org/officeDocument/2006/relationships/image" Target="media/image183.png"/><Relationship Id="rId193" Type="http://schemas.openxmlformats.org/officeDocument/2006/relationships/image" Target="media/image184.png"/><Relationship Id="rId194" Type="http://schemas.openxmlformats.org/officeDocument/2006/relationships/image" Target="media/image185.png"/><Relationship Id="rId195" Type="http://schemas.openxmlformats.org/officeDocument/2006/relationships/image" Target="media/image186.png"/><Relationship Id="rId196" Type="http://schemas.openxmlformats.org/officeDocument/2006/relationships/image" Target="media/image187.png"/><Relationship Id="rId197" Type="http://schemas.openxmlformats.org/officeDocument/2006/relationships/image" Target="media/image188.png"/><Relationship Id="rId198" Type="http://schemas.openxmlformats.org/officeDocument/2006/relationships/image" Target="media/image189.png"/><Relationship Id="rId199" Type="http://schemas.openxmlformats.org/officeDocument/2006/relationships/image" Target="media/image190.png"/><Relationship Id="rId200" Type="http://schemas.openxmlformats.org/officeDocument/2006/relationships/image" Target="media/image191.png"/><Relationship Id="rId201" Type="http://schemas.openxmlformats.org/officeDocument/2006/relationships/image" Target="media/image192.png"/><Relationship Id="rId202" Type="http://schemas.openxmlformats.org/officeDocument/2006/relationships/image" Target="media/image193.png"/><Relationship Id="rId203" Type="http://schemas.openxmlformats.org/officeDocument/2006/relationships/image" Target="media/image194.png"/><Relationship Id="rId204" Type="http://schemas.openxmlformats.org/officeDocument/2006/relationships/image" Target="media/image195.png"/><Relationship Id="rId205" Type="http://schemas.openxmlformats.org/officeDocument/2006/relationships/image" Target="media/image196.png"/><Relationship Id="rId206" Type="http://schemas.openxmlformats.org/officeDocument/2006/relationships/image" Target="media/image197.png"/><Relationship Id="rId134" Type="http://schemas.openxmlformats.org/officeDocument/2006/relationships/hyperlink" Target="https://www.sec.gov/Archives/edgar/data/1750284/000110465920128482/tm2027048d18_ex3-1.htm" TargetMode="External"/><Relationship Id="rId135" Type="http://schemas.openxmlformats.org/officeDocument/2006/relationships/hyperlink" Target="https://www.sec.gov/Archives/edgar/data/1750284/000155837022018762/olma-20221215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2023-05-09T15:48:00Z</dcterms:created>
  <dcterms:modified xsi:type="dcterms:W3CDTF">2023-05-09T15:48:00Z</dcterms:modified>
</cp:coreProperties>
</file>