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olma-20260630.htm"/>
        <w:bookmarkStart w:id="1" w:name="ksolma20260630"/>
        <w:bookmarkEnd w:id="0"/>
        <w:bookmarkEnd w:id="1"/>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spacing w:before="0" w:after="8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b/>
          <w:color w:val="000000"/>
          <w:sz w:val="36"/>
        </w:rPr>
      </w:pPr>
      <w:r>
        <w:rPr>
          <w:rFonts w:ascii="Arial" w:hAnsi="Arial"/>
          <w:b/>
          <w:color w:val="000000"/>
          <w:sz w:val="36"/>
        </w:rPr>
        <w:t>FORM 10-Q</w:t>
      </w:r>
    </w:p>
    <w:p>
      <w:pPr>
        <w:pStyle w:val="TextBody"/>
        <w:bidi w:val="0"/>
        <w:spacing w:before="80" w:after="8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quarterly period ended June 30, 2026</w:t>
      </w:r>
    </w:p>
    <w:p>
      <w:pPr>
        <w:pStyle w:val="TextBody"/>
        <w:bidi w:val="0"/>
        <w:spacing w:before="80" w:after="283"/>
        <w:jc w:val="center"/>
        <w:rPr>
          <w:rFonts w:ascii="Arial" w:hAnsi="Arial"/>
          <w:b/>
          <w:color w:val="000000"/>
          <w:sz w:val="18"/>
        </w:rPr>
      </w:pPr>
      <w:r>
        <w:rPr>
          <w:rFonts w:ascii="Arial" w:hAnsi="Arial"/>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transition period from _______ to _______</w:t>
      </w:r>
    </w:p>
    <w:p>
      <w:pPr>
        <w:pStyle w:val="TextBody"/>
        <w:bidi w:val="0"/>
        <w:spacing w:before="0" w:after="80"/>
        <w:jc w:val="center"/>
        <w:rPr>
          <w:rFonts w:ascii="Arial" w:hAnsi="Arial"/>
          <w:b/>
          <w:color w:val="000000"/>
          <w:sz w:val="18"/>
        </w:rPr>
      </w:pPr>
      <w:r>
        <w:rPr>
          <w:rFonts w:ascii="Arial" w:hAnsi="Arial"/>
          <w:b/>
          <w:color w:val="000000"/>
          <w:sz w:val="18"/>
        </w:rPr>
        <w:t>Commission File Number: 001-39712</w:t>
      </w:r>
    </w:p>
    <w:p>
      <w:pPr>
        <w:pStyle w:val="TextBody"/>
        <w:bidi w:val="0"/>
        <w:jc w:val="center"/>
        <w:rPr>
          <w:rFonts w:ascii="Arial" w:hAnsi="Arial"/>
          <w:b/>
          <w:color w:val="000000"/>
          <w:sz w:val="44"/>
        </w:rPr>
      </w:pPr>
      <w:r>
        <w:rPr>
          <w:rFonts w:ascii="Arial" w:hAnsi="Arial"/>
          <w:b/>
          <w:color w:val="000000"/>
          <w:sz w:val="44"/>
        </w:rPr>
        <w:t>OLEMA PHARMACEUTICALS, INC.</w:t>
      </w:r>
    </w:p>
    <w:p>
      <w:pPr>
        <w:pStyle w:val="TextBody"/>
        <w:bidi w:val="0"/>
        <w:jc w:val="center"/>
        <w:rPr>
          <w:rFonts w:ascii="Arial" w:hAnsi="Arial"/>
          <w:b/>
          <w:color w:val="000000"/>
          <w:sz w:val="18"/>
        </w:rPr>
      </w:pPr>
      <w:r>
        <w:rPr>
          <w:rFonts w:ascii="Arial" w:hAnsi="Arial"/>
          <w:b/>
          <w:color w:val="000000"/>
          <w:sz w:val="18"/>
        </w:rPr>
        <w:t>(Exact Name of Registrant as Specified in its Charter)</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30-0409740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283"/>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(I.R.S. Employer</w:t>
            </w:r>
            <w:r>
              <w:rPr>
                <w:rFonts w:ascii="Arial" w:hAnsi="Arial"/>
                <w:color w:val="000000"/>
                <w:sz w:val="14"/>
              </w:rPr>
              <w:br/>
            </w: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780 Brannan Street</w:t>
            </w:r>
          </w:p>
          <w:p>
            <w:pPr>
              <w:pStyle w:val="TableContents"/>
              <w:bidi w:val="0"/>
              <w:spacing w:before="0" w:after="283"/>
              <w:jc w:val="center"/>
              <w:rPr>
                <w:rFonts w:ascii="Arial" w:hAnsi="Arial"/>
                <w:b/>
                <w:color w:val="000000"/>
                <w:sz w:val="18"/>
              </w:rPr>
            </w:pPr>
            <w:r>
              <w:rPr>
                <w:rFonts w:ascii="Arial" w:hAnsi="Arial"/>
                <w:b/>
                <w:color w:val="000000"/>
                <w:sz w:val="18"/>
              </w:rPr>
              <w:t>San Francisco,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94103</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Registrant’s telephone number, including area code: (415) 651</w:t>
        <w:noBreakHyphen/>
        <w:t>3316</w:t>
      </w:r>
    </w:p>
    <w:p>
      <w:pPr>
        <w:pStyle w:val="TextBody"/>
        <w:bidi w:val="0"/>
        <w:spacing w:before="80" w:after="283"/>
        <w:jc w:val="center"/>
        <w:rPr>
          <w:rFonts w:ascii="Arial" w:hAnsi="Arial"/>
          <w:b/>
          <w:color w:val="000000"/>
          <w:sz w:val="20"/>
        </w:rPr>
      </w:pPr>
      <w:r>
        <w:rPr>
          <w:rFonts w:ascii="Arial" w:hAnsi="Arial"/>
          <w:b/>
          <w:color w:val="000000"/>
          <w:sz w:val="20"/>
        </w:rPr>
        <w:t>N/A</w:t>
      </w:r>
    </w:p>
    <w:p>
      <w:pPr>
        <w:pStyle w:val="TextBody"/>
        <w:bidi w:val="0"/>
        <w:jc w:val="center"/>
        <w:rPr>
          <w:rFonts w:ascii="Arial" w:hAnsi="Arial"/>
          <w:b/>
          <w:color w:val="000000"/>
          <w:sz w:val="14"/>
        </w:rPr>
      </w:pPr>
      <w:r>
        <w:rPr>
          <w:rFonts w:ascii="Arial" w:hAnsi="Arial"/>
          <w:b/>
          <w:color w:val="000000"/>
          <w:sz w:val="14"/>
        </w:rPr>
        <w:t>(Former name, former address and former fiscal year, if changed since last report)</w:t>
      </w:r>
    </w:p>
    <w:p>
      <w:pPr>
        <w:pStyle w:val="TextBody"/>
        <w:bidi w:val="0"/>
        <w:spacing w:before="80" w:after="283"/>
        <w:jc w:val="left"/>
        <w:rPr>
          <w:rFonts w:ascii="Arial" w:hAnsi="Arial"/>
          <w:color w:val="000000"/>
          <w:sz w:val="16"/>
        </w:rPr>
      </w:pPr>
      <w:r>
        <w:rPr>
          <w:rFonts w:ascii="Arial" w:hAnsi="Arial"/>
          <w:color w:val="000000"/>
          <w:sz w:val="16"/>
        </w:rPr>
        <w:t>Securities registered pursuant to Section 12(b) of the Act:</w:t>
      </w:r>
    </w:p>
    <w:p>
      <w:pPr>
        <w:pStyle w:val="TextBody"/>
        <w:bidi w:val="0"/>
        <w:jc w:val="left"/>
        <w:rPr/>
      </w:pPr>
      <w:r>
        <w:rPr/>
        <w:t> </w:t>
      </w:r>
    </w:p>
    <w:tbl>
      <w:tblPr>
        <w:tblW w:w="9753" w:type="dxa"/>
        <w:jc w:val="left"/>
        <w:tblInd w:w="0" w:type="dxa"/>
        <w:tblLayout w:type="fixed"/>
        <w:tblCellMar>
          <w:top w:w="28" w:type="dxa"/>
          <w:left w:w="28" w:type="dxa"/>
          <w:bottom w:w="28" w:type="dxa"/>
          <w:right w:w="28" w:type="dxa"/>
        </w:tblCellMar>
      </w:tblPr>
      <w:tblGrid>
        <w:gridCol w:w="3526"/>
        <w:gridCol w:w="1366"/>
        <w:gridCol w:w="4861"/>
      </w:tblGrid>
      <w:tr>
        <w:trPr/>
        <w:tc>
          <w:tcPr>
            <w:tcW w:w="35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 of Securities Registered</w:t>
            </w:r>
          </w:p>
        </w:tc>
        <w:tc>
          <w:tcPr>
            <w:tcW w:w="136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48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Securities are Registered</w:t>
            </w:r>
          </w:p>
        </w:tc>
      </w:tr>
      <w:tr>
        <w:trPr/>
        <w:tc>
          <w:tcPr>
            <w:tcW w:w="352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$0.0001 per share</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OLMA</w:t>
            </w:r>
          </w:p>
        </w:tc>
        <w:tc>
          <w:tcPr>
            <w:tcW w:w="48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jc w:val="left"/>
        <w:rPr/>
      </w:pPr>
      <w:r>
        <w:rPr/>
        <w:t> </w:t>
      </w:r>
    </w:p>
    <w:p>
      <w:pPr>
        <w:pStyle w:val="TextBody"/>
        <w:bidi w:val="0"/>
        <w:spacing w:before="0" w:after="80"/>
        <w:jc w:val="both"/>
        <w:rPr>
          <w:rFonts w:ascii="Times New Roman" w:hAnsi="Times New Roman"/>
          <w:sz w:val="20"/>
        </w:rPr>
      </w:pPr>
      <w:r>
        <w:rPr>
          <w:rFonts w:ascii="Arial" w:hAnsi="Arial"/>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242" w:type="dxa"/>
        <w:jc w:val="left"/>
        <w:tblInd w:w="0" w:type="dxa"/>
        <w:tblLayout w:type="fixed"/>
        <w:tblCellMar>
          <w:top w:w="28" w:type="dxa"/>
          <w:left w:w="28" w:type="dxa"/>
          <w:bottom w:w="28" w:type="dxa"/>
          <w:right w:w="28" w:type="dxa"/>
        </w:tblCellMar>
      </w:tblPr>
      <w:tblGrid>
        <w:gridCol w:w="2071"/>
        <w:gridCol w:w="316"/>
        <w:gridCol w:w="14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As of August 6, 2026, the number of outstanding shares of the Registrant’s common stock was 87,497,607. This number does not include 13,594,149</w:t>
      </w:r>
      <w:r>
        <w:rPr>
          <w:rFonts w:ascii="Times New Roman" w:hAnsi="Times New Roman"/>
          <w:color w:val="000000"/>
          <w:sz w:val="20"/>
        </w:rPr>
        <w:t xml:space="preserve"> </w:t>
      </w:r>
      <w:r>
        <w:rPr>
          <w:rFonts w:ascii="Arial" w:hAnsi="Arial"/>
          <w:color w:val="000000"/>
          <w:sz w:val="16"/>
        </w:rPr>
        <w:t>shares of common stock issuable upon the exercise of pre-funded warrants (which are immediately exercisable at an exercise price of $0.0001 per share of common stock, subject to beneficial ownership limitations) (See Notes 2 and 12 to Registrant's condensed consolidated financial statements).</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spacing w:before="0" w:after="240"/>
        <w:jc w:val="center"/>
        <w:rPr>
          <w:rFonts w:ascii="Times New Roman" w:hAnsi="Times New Roman"/>
          <w:sz w:val="20"/>
        </w:rPr>
      </w:pPr>
      <w:r>
        <w:rPr>
          <w:rFonts w:ascii="Arial" w:hAnsi="Arial"/>
          <w:b/>
          <w:color w:val="000000"/>
          <w:sz w:val="20"/>
        </w:rPr>
        <w:t>PART I-FINANCIAL INFORMATION</w:t>
      </w:r>
      <w:r>
        <w:rPr>
          <w:rFonts w:ascii="Times New Roman" w:hAnsi="Times New Roman"/>
          <w:color w:val="000000"/>
          <w:sz w:val="20"/>
        </w:rPr>
        <w:t xml:space="preserve"> </w:t>
      </w:r>
    </w:p>
    <w:tbl>
      <w:tblPr>
        <w:tblW w:w="9283" w:type="dxa"/>
        <w:jc w:val="left"/>
        <w:tblInd w:w="0" w:type="dxa"/>
        <w:tblLayout w:type="fixed"/>
        <w:tblCellMar>
          <w:top w:w="28" w:type="dxa"/>
          <w:left w:w="28" w:type="dxa"/>
          <w:bottom w:w="28" w:type="dxa"/>
          <w:right w:w="28" w:type="dxa"/>
        </w:tblCellMar>
      </w:tblPr>
      <w:tblGrid>
        <w:gridCol w:w="8536"/>
        <w:gridCol w:w="146"/>
        <w:gridCol w:w="601"/>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ifinancialinformation_243352">
              <w:r>
                <w:rPr>
                  <w:rStyle w:val="InternetLink"/>
                  <w:rFonts w:ascii="Arial" w:hAnsi="Arial"/>
                  <w:color w:val="0000EE"/>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1financialstatements_533031">
              <w:r>
                <w:rPr>
                  <w:rStyle w:val="InternetLink"/>
                  <w:rFonts w:ascii="Arial" w:hAnsi="Arial"/>
                  <w:color w:val="0000EE"/>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balancesheets_65975">
              <w:r>
                <w:rPr>
                  <w:rStyle w:val="InternetLink"/>
                  <w:rFonts w:ascii="Arial" w:hAnsi="Arial"/>
                  <w:color w:val="0000EE"/>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operati">
              <w:r>
                <w:rPr>
                  <w:rStyle w:val="InternetLink"/>
                  <w:rFonts w:ascii="Arial" w:hAnsi="Arial"/>
                  <w:color w:val="0000EE"/>
                  <w:sz w:val="20"/>
                  <w:u w:val="single"/>
                </w:rPr>
                <w:t>Condensed 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convert">
              <w:r>
                <w:rPr>
                  <w:rStyle w:val="InternetLink"/>
                  <w:rFonts w:ascii="Arial" w:hAnsi="Arial"/>
                  <w:color w:val="0000EE"/>
                  <w:sz w:val="20"/>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cashflo">
              <w:r>
                <w:rPr>
                  <w:rStyle w:val="InternetLink"/>
                  <w:rFonts w:ascii="Arial" w:hAnsi="Arial"/>
                  <w:color w:val="0000EE"/>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notestocondensedconsolidatedfinancialsta">
              <w:r>
                <w:rPr>
                  <w:rStyle w:val="InternetLink"/>
                  <w:rFonts w:ascii="Arial" w:hAnsi="Arial"/>
                  <w:color w:val="0000EE"/>
                  <w:sz w:val="20"/>
                  <w:u w:val="single"/>
                </w:rPr>
                <w:t>Notes to Unaudited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Arial" w:hAnsi="Arial"/>
                  <w:color w:val="0000EE"/>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3quantitative">
              <w:r>
                <w:rPr>
                  <w:rStyle w:val="InternetLink"/>
                  <w:rFonts w:ascii="Arial" w:hAnsi="Arial"/>
                  <w:color w:val="0000EE"/>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4controlsandprocedures">
              <w:r>
                <w:rPr>
                  <w:rStyle w:val="InternetLink"/>
                  <w:rFonts w:ascii="Arial" w:hAnsi="Arial"/>
                  <w:color w:val="0000EE"/>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iiotherinformation_169197">
              <w:r>
                <w:rPr>
                  <w:rStyle w:val="InternetLink"/>
                  <w:rFonts w:ascii="Arial" w:hAnsi="Arial"/>
                  <w:color w:val="0000EE"/>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1legalproceedings_105808">
              <w:r>
                <w:rPr>
                  <w:rStyle w:val="InternetLink"/>
                  <w:rFonts w:ascii="Arial" w:hAnsi="Arial"/>
                  <w:color w:val="0000EE"/>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EE"/>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Arial" w:hAnsi="Arial"/>
                  <w:color w:val="0000EE"/>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3defaultsuponseniorsecurities_285444">
              <w:r>
                <w:rPr>
                  <w:rStyle w:val="InternetLink"/>
                  <w:rFonts w:ascii="Arial" w:hAnsi="Arial"/>
                  <w:color w:val="0000EE"/>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363877">
              <w:r>
                <w:rPr>
                  <w:rStyle w:val="InternetLink"/>
                  <w:rFonts w:ascii="Arial" w:hAnsi="Arial"/>
                  <w:color w:val="0000EE"/>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5otherinformation">
              <w:r>
                <w:rPr>
                  <w:rStyle w:val="InternetLink"/>
                  <w:rFonts w:ascii="Arial" w:hAnsi="Arial"/>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6exhibits_686387">
              <w:r>
                <w:rPr>
                  <w:rStyle w:val="InternetLink"/>
                  <w:rFonts w:ascii="Arial" w:hAnsi="Arial"/>
                  <w:color w:val="0000EE"/>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bookmarkStart w:id="3" w:name="partifinancialinformation_243352"/>
      <w:bookmarkEnd w:id="3"/>
      <w:r>
        <w:rPr>
          <w:rFonts w:ascii="Arial" w:hAnsi="Arial"/>
          <w:b/>
          <w:color w:val="000000"/>
          <w:sz w:val="20"/>
        </w:rPr>
        <w:t>PART I – FINANCIAL INFORMATION</w:t>
      </w:r>
    </w:p>
    <w:p>
      <w:pPr>
        <w:pStyle w:val="Heading1"/>
        <w:bidi w:val="0"/>
        <w:spacing w:before="240" w:after="283"/>
        <w:jc w:val="left"/>
        <w:rPr>
          <w:rFonts w:ascii="Arial" w:hAnsi="Arial"/>
          <w:color w:val="000000"/>
          <w:sz w:val="20"/>
        </w:rPr>
      </w:pPr>
      <w:bookmarkStart w:id="4" w:name="item1financialstatements_533031"/>
      <w:bookmarkEnd w:id="4"/>
      <w:r>
        <w:rPr>
          <w:rFonts w:ascii="Arial" w:hAnsi="Arial"/>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bookmarkStart w:id="5" w:name="condensedconsolidatedbalancesheets_65975"/>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961"/>
        <w:gridCol w:w="166"/>
        <w:gridCol w:w="146"/>
        <w:gridCol w:w="211"/>
        <w:gridCol w:w="961"/>
        <w:gridCol w:w="77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6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7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48,301</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457,136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8,806</w:t>
            </w:r>
          </w:p>
        </w:tc>
        <w:tc>
          <w:tcPr>
            <w:tcW w:w="16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10,015</w:t>
            </w:r>
          </w:p>
        </w:tc>
        <w:tc>
          <w:tcPr>
            <w:tcW w:w="771" w:type="dxa"/>
            <w:tcBorders>
              <w:bottom w:val="single" w:sz="4" w:space="0" w:color="231F2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515,452</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16,064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16,832</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533,430</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41,425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51,802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Long-term borrowing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54,871</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as of June 30, 2026 and December 31, 2025; no</w:t>
            </w:r>
            <w:r>
              <w:rPr>
                <w:rFonts w:ascii="Times New Roman" w:hAnsi="Times New Roman"/>
                <w:color w:val="000000"/>
                <w:sz w:val="20"/>
              </w:rPr>
              <w:t> </w:t>
            </w:r>
            <w:r>
              <w:rPr>
                <w:rFonts w:ascii="Arial" w:hAnsi="Arial"/>
                <w:color w:val="000000"/>
                <w:sz w:val="20"/>
              </w:rPr>
              <w:t>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490,000,000</w:t>
            </w:r>
            <w:r>
              <w:rPr>
                <w:rFonts w:ascii="Times New Roman" w:hAnsi="Times New Roman"/>
                <w:color w:val="000000"/>
                <w:sz w:val="20"/>
              </w:rPr>
              <w:t> </w:t>
            </w:r>
            <w:r>
              <w:rPr>
                <w:rFonts w:ascii="Arial" w:hAnsi="Arial"/>
                <w:color w:val="000000"/>
                <w:sz w:val="20"/>
              </w:rPr>
              <w:t>shares authorized as of June 30, 2026 and December 31, 2025; 87,452,166</w:t>
            </w:r>
            <w:r>
              <w:rPr>
                <w:rFonts w:ascii="Times New Roman" w:hAnsi="Times New Roman"/>
                <w:color w:val="000000"/>
                <w:sz w:val="20"/>
              </w:rPr>
              <w:t> </w:t>
            </w:r>
            <w:r>
              <w:rPr>
                <w:rFonts w:ascii="Arial" w:hAnsi="Arial"/>
                <w:color w:val="000000"/>
                <w:sz w:val="20"/>
              </w:rPr>
              <w:t>and 81,376,449</w:t>
            </w:r>
            <w:r>
              <w:rPr>
                <w:rFonts w:ascii="Times New Roman" w:hAnsi="Times New Roman"/>
                <w:color w:val="000000"/>
                <w:sz w:val="20"/>
              </w:rPr>
              <w:t> </w:t>
            </w:r>
            <w:r>
              <w:rPr>
                <w:rFonts w:ascii="Arial" w:hAnsi="Arial"/>
                <w:color w:val="000000"/>
                <w:sz w:val="20"/>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1,145,349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1,075,487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(597,557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478,559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3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486,578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533,430</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Times New Roman" w:hAnsi="Times New Roman"/>
          <w:sz w:val="20"/>
        </w:rPr>
      </w:pPr>
      <w:bookmarkStart w:id="6" w:name="condensedconsolidatedstatementsofoperati"/>
      <w:bookmarkEnd w:id="6"/>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10"/>
        <w:gridCol w:w="146"/>
        <w:gridCol w:w="211"/>
        <w:gridCol w:w="146"/>
        <w:gridCol w:w="1171"/>
        <w:gridCol w:w="166"/>
        <w:gridCol w:w="146"/>
        <w:gridCol w:w="211"/>
        <w:gridCol w:w="146"/>
        <w:gridCol w:w="1066"/>
        <w:gridCol w:w="166"/>
        <w:gridCol w:w="146"/>
        <w:gridCol w:w="211"/>
        <w:gridCol w:w="146"/>
        <w:gridCol w:w="1171"/>
        <w:gridCol w:w="166"/>
        <w:gridCol w:w="146"/>
        <w:gridCol w:w="211"/>
        <w:gridCol w:w="146"/>
        <w:gridCol w:w="1066"/>
        <w:gridCol w:w="611"/>
      </w:tblGrid>
      <w:tr>
        <w:trPr/>
        <w:tc>
          <w:tcPr>
            <w:tcW w:w="2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6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263"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263"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61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61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1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261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used to compute net loss per share, 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104,453,732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85,497,426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103,631,483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85,462,021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15"/>
        <w:gridCol w:w="146"/>
        <w:gridCol w:w="211"/>
        <w:gridCol w:w="146"/>
        <w:gridCol w:w="751"/>
        <w:gridCol w:w="166"/>
        <w:gridCol w:w="146"/>
        <w:gridCol w:w="211"/>
        <w:gridCol w:w="146"/>
        <w:gridCol w:w="751"/>
        <w:gridCol w:w="166"/>
        <w:gridCol w:w="146"/>
        <w:gridCol w:w="211"/>
        <w:gridCol w:w="146"/>
        <w:gridCol w:w="856"/>
        <w:gridCol w:w="166"/>
        <w:gridCol w:w="146"/>
        <w:gridCol w:w="211"/>
        <w:gridCol w:w="146"/>
        <w:gridCol w:w="751"/>
        <w:gridCol w:w="471"/>
      </w:tblGrid>
      <w:tr>
        <w:trPr/>
        <w:tc>
          <w:tcPr>
            <w:tcW w:w="4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2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633"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(74,002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r>
        <w:rPr>
          <w:rFonts w:ascii="Arial" w:hAnsi="Arial"/>
          <w:b/>
          <w:color w:val="000000"/>
          <w:sz w:val="20"/>
        </w:rPr>
        <w:t>Condensed Consolidated Statements of Stockholders’ Equity (Unaudited)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0347" w:type="dxa"/>
        <w:jc w:val="left"/>
        <w:tblInd w:w="0" w:type="dxa"/>
        <w:tblLayout w:type="fixed"/>
        <w:tblCellMar>
          <w:top w:w="28" w:type="dxa"/>
          <w:left w:w="28" w:type="dxa"/>
          <w:bottom w:w="28" w:type="dxa"/>
          <w:right w:w="28" w:type="dxa"/>
        </w:tblCellMar>
      </w:tblPr>
      <w:tblGrid>
        <w:gridCol w:w="1276"/>
        <w:gridCol w:w="146"/>
        <w:gridCol w:w="146"/>
        <w:gridCol w:w="1036"/>
        <w:gridCol w:w="146"/>
        <w:gridCol w:w="146"/>
        <w:gridCol w:w="290"/>
        <w:gridCol w:w="200"/>
        <w:gridCol w:w="291"/>
        <w:gridCol w:w="146"/>
        <w:gridCol w:w="146"/>
        <w:gridCol w:w="211"/>
        <w:gridCol w:w="146"/>
        <w:gridCol w:w="931"/>
        <w:gridCol w:w="146"/>
        <w:gridCol w:w="146"/>
        <w:gridCol w:w="314"/>
        <w:gridCol w:w="217"/>
        <w:gridCol w:w="940"/>
        <w:gridCol w:w="166"/>
        <w:gridCol w:w="146"/>
        <w:gridCol w:w="219"/>
        <w:gridCol w:w="151"/>
        <w:gridCol w:w="876"/>
        <w:gridCol w:w="166"/>
        <w:gridCol w:w="146"/>
        <w:gridCol w:w="219"/>
        <w:gridCol w:w="151"/>
        <w:gridCol w:w="876"/>
        <w:gridCol w:w="21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14" w:type="dxa"/>
            <w:gridSpan w:val="2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 2026</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87,332,971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480,478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 including employee stock purchase plan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(63,200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87,452,166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1,145,349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(713,846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430,564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4" w:type="dxa"/>
            <w:gridSpan w:val="2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81,376,449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1,075,487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478,559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Exchange of pre-funded warrants for common stock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shares under at-the-market offering, net of issuance costs of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1,712,739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 including employee stock purchase plan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shares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(116,289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87,452,166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1,145,349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(713,846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430,564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spacing w:before="0" w:after="24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bookmarkStart w:id="7" w:name="condensedconsolidatedstatementsofconvert"/>
      <w:bookmarkEnd w:id="7"/>
      <w:r>
        <w:rPr>
          <w:rFonts w:ascii="Arial" w:hAnsi="Arial"/>
          <w:b/>
          <w:color w:val="000000"/>
          <w:sz w:val="20"/>
        </w:rPr>
        <w:t>Condensed Consolidated Statements of Stockholders’ Equity</w:t>
      </w:r>
      <w:r>
        <w:rPr>
          <w:rFonts w:ascii="Times New Roman" w:hAnsi="Times New Roman"/>
          <w:color w:val="000000"/>
          <w:sz w:val="20"/>
        </w:rPr>
        <w:t xml:space="preserve"> </w:t>
      </w: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3885" w:type="dxa"/>
        <w:jc w:val="left"/>
        <w:tblInd w:w="0" w:type="dxa"/>
        <w:tblLayout w:type="fixed"/>
        <w:tblCellMar>
          <w:top w:w="28" w:type="dxa"/>
          <w:left w:w="28" w:type="dxa"/>
          <w:bottom w:w="28" w:type="dxa"/>
          <w:right w:w="28" w:type="dxa"/>
        </w:tblCellMar>
      </w:tblPr>
      <w:tblGrid>
        <w:gridCol w:w="1276"/>
        <w:gridCol w:w="146"/>
        <w:gridCol w:w="183"/>
        <w:gridCol w:w="1303"/>
        <w:gridCol w:w="166"/>
        <w:gridCol w:w="146"/>
        <w:gridCol w:w="290"/>
        <w:gridCol w:w="629"/>
        <w:gridCol w:w="917"/>
        <w:gridCol w:w="146"/>
        <w:gridCol w:w="146"/>
        <w:gridCol w:w="271"/>
        <w:gridCol w:w="243"/>
        <w:gridCol w:w="1303"/>
        <w:gridCol w:w="166"/>
        <w:gridCol w:w="146"/>
        <w:gridCol w:w="443"/>
        <w:gridCol w:w="357"/>
        <w:gridCol w:w="1189"/>
        <w:gridCol w:w="166"/>
        <w:gridCol w:w="146"/>
        <w:gridCol w:w="271"/>
        <w:gridCol w:w="228"/>
        <w:gridCol w:w="1318"/>
        <w:gridCol w:w="166"/>
        <w:gridCol w:w="146"/>
        <w:gridCol w:w="281"/>
        <w:gridCol w:w="232"/>
        <w:gridCol w:w="1254"/>
        <w:gridCol w:w="21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52" w:type="dxa"/>
            <w:gridSpan w:val="2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 2025</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68,333,065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848,520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 including employee stock purchase plan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shares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68,627,886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854,194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345,236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2" w:type="dxa"/>
            <w:gridSpan w:val="2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74,312,608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408,964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 including 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shares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cost associated with private equity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Exchange of common stock shares for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(6,070,000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Balances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68,627,886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854,194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345,236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spacing w:before="0" w:after="24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Cash Flows</w:t>
      </w:r>
    </w:p>
    <w:p>
      <w:pPr>
        <w:pStyle w:val="TextBody"/>
        <w:bidi w:val="0"/>
        <w:jc w:val="center"/>
        <w:rPr>
          <w:rFonts w:ascii="Arial" w:hAnsi="Arial"/>
          <w:b/>
          <w:color w:val="000000"/>
          <w:sz w:val="20"/>
        </w:rPr>
      </w:pPr>
      <w:bookmarkStart w:id="8" w:name="condensedconsolidatedstatementsofcashflo"/>
      <w:bookmarkEnd w:id="8"/>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0"/>
        <w:gridCol w:w="146"/>
        <w:gridCol w:w="211"/>
        <w:gridCol w:w="146"/>
        <w:gridCol w:w="856"/>
        <w:gridCol w:w="166"/>
        <w:gridCol w:w="146"/>
        <w:gridCol w:w="211"/>
        <w:gridCol w:w="146"/>
        <w:gridCol w:w="856"/>
        <w:gridCol w:w="771"/>
      </w:tblGrid>
      <w:tr>
        <w:trPr/>
        <w:tc>
          <w:tcPr>
            <w:tcW w:w="6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5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3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7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Non-cash interest income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Stock-based compensation expense, including 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Change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(3,566</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1,451</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(73,862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164,869</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(175,718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(10,849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shares under at-the-market offering, net of issuance costs of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costs for shares issued under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(6,514</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borrowings under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(87,007</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139,480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52,473</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non-cash financing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Exchange of common stock for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29,379</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center"/>
        <w:rPr>
          <w:rFonts w:ascii="Arial" w:hAnsi="Arial"/>
          <w:i/>
          <w:color w:val="000000"/>
          <w:sz w:val="20"/>
        </w:rPr>
      </w:pPr>
      <w:r>
        <w:rPr>
          <w:rFonts w:ascii="Arial" w:hAnsi="Arial"/>
          <w:i/>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0" w:after="240"/>
        <w:jc w:val="center"/>
        <w:rPr>
          <w:rFonts w:ascii="Arial" w:hAnsi="Arial"/>
          <w:b/>
          <w:color w:val="000000"/>
          <w:sz w:val="20"/>
        </w:rPr>
      </w:pPr>
      <w:bookmarkStart w:id="9" w:name="notestocondensedconsolidatedfinancialsta"/>
      <w:bookmarkEnd w:id="9"/>
      <w:r>
        <w:rPr>
          <w:rFonts w:ascii="Arial" w:hAnsi="Arial"/>
          <w:b/>
          <w:color w:val="000000"/>
          <w:sz w:val="20"/>
        </w:rPr>
        <w:t>Notes to Condensed Consolidated Financial Statements</w:t>
      </w:r>
    </w:p>
    <w:p>
      <w:pPr>
        <w:pStyle w:val="TextBody"/>
        <w:bidi w:val="0"/>
        <w:spacing w:before="0" w:after="240"/>
        <w:jc w:val="center"/>
        <w:rPr>
          <w:rFonts w:ascii="Arial" w:hAnsi="Arial"/>
          <w:b/>
          <w:color w:val="000000"/>
          <w:sz w:val="20"/>
        </w:rPr>
      </w:pPr>
      <w:r>
        <w:rPr>
          <w:rFonts w:ascii="Arial" w:hAnsi="Arial"/>
          <w:b/>
          <w:color w:val="000000"/>
          <w:sz w:val="20"/>
        </w:rPr>
        <w:t>(Unaudited)</w:t>
      </w:r>
    </w:p>
    <w:p>
      <w:pPr>
        <w:pStyle w:val="TextBody"/>
        <w:bidi w:val="0"/>
        <w:spacing w:before="0" w:after="0"/>
        <w:jc w:val="both"/>
        <w:rPr>
          <w:rFonts w:ascii="Arial" w:hAnsi="Arial"/>
          <w:b/>
          <w:color w:val="000000"/>
          <w:sz w:val="20"/>
        </w:rPr>
      </w:pPr>
      <w:r>
        <w:rPr>
          <w:rFonts w:ascii="Arial" w:hAnsi="Arial"/>
          <w:b/>
          <w:color w:val="000000"/>
          <w:sz w:val="20"/>
        </w:rPr>
        <w:t>1.</w:t>
      </w:r>
    </w:p>
    <w:p>
      <w:pPr>
        <w:pStyle w:val="TextBody"/>
        <w:bidi w:val="0"/>
        <w:jc w:val="both"/>
        <w:rPr>
          <w:rFonts w:ascii="Arial" w:hAnsi="Arial"/>
          <w:b/>
          <w:color w:val="000000"/>
          <w:sz w:val="20"/>
        </w:rPr>
      </w:pPr>
      <w:r>
        <w:rPr>
          <w:rFonts w:ascii="Arial" w:hAnsi="Arial"/>
          <w:b/>
          <w:color w:val="000000"/>
          <w:sz w:val="20"/>
        </w:rPr>
        <w:t>Nature of the Business and Basis of Presentation</w:t>
      </w:r>
    </w:p>
    <w:p>
      <w:pPr>
        <w:pStyle w:val="TextBody"/>
        <w:bidi w:val="0"/>
        <w:spacing w:before="240" w:after="283"/>
        <w:jc w:val="both"/>
        <w:rPr>
          <w:rFonts w:ascii="Times New Roman" w:hAnsi="Times New Roman"/>
          <w:sz w:val="20"/>
        </w:rPr>
      </w:pPr>
      <w:r>
        <w:rPr>
          <w:rFonts w:ascii="Arial" w:hAnsi="Arial"/>
          <w:color w:val="000000"/>
          <w:sz w:val="20"/>
        </w:rPr>
        <w:t>Olema Pharmaceuticals, Inc. (“Olema” or the “Company”) is a clinical-stage biopharmaceutical company focused on the discovery, development, and commercialization of next-generation targeted therapies for breast cancer and beyond.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OP-3136, a potent KAT6 inhibitor.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incorporated on January 6, 2021 under the laws of Australia, and Olema Oncology International Limited, incorporated on December 11, 2025 under the laws of Ireland, are wholly-owned subsidiaries of the Company (collectively with Olema Pharmaceuticals, Inc., referred to as “Olema” or the “Company” herein). It operates in one</w:t>
      </w:r>
      <w:r>
        <w:rPr>
          <w:rFonts w:ascii="Times New Roman" w:hAnsi="Times New Roman"/>
          <w:color w:val="000000"/>
          <w:sz w:val="20"/>
        </w:rPr>
        <w:t xml:space="preserve"> </w:t>
      </w:r>
      <w:r>
        <w:rPr>
          <w:rFonts w:ascii="Arial" w:hAnsi="Arial"/>
          <w:color w:val="000000"/>
          <w:sz w:val="20"/>
        </w:rPr>
        <w:t>business segment and therefore has only one</w:t>
      </w:r>
      <w:r>
        <w:rPr>
          <w:rFonts w:ascii="Times New Roman" w:hAnsi="Times New Roman"/>
          <w:color w:val="000000"/>
          <w:sz w:val="20"/>
        </w:rPr>
        <w:t xml:space="preserve"> </w:t>
      </w:r>
      <w:r>
        <w:rPr>
          <w:rFonts w:ascii="Arial" w:hAnsi="Arial"/>
          <w:color w:val="000000"/>
          <w:sz w:val="20"/>
        </w:rPr>
        <w:t>reportable segment. The Company is subject to risks and uncertainties common to late-stage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Heading2"/>
        <w:bidi w:val="0"/>
        <w:spacing w:before="240" w:after="283"/>
        <w:jc w:val="left"/>
        <w:rPr>
          <w:rFonts w:ascii="Arial" w:hAnsi="Arial"/>
          <w:b w:val="false"/>
          <w:i/>
          <w:color w:val="000000"/>
          <w:sz w:val="20"/>
        </w:rPr>
      </w:pPr>
      <w:r>
        <w:rPr>
          <w:rFonts w:ascii="Arial" w:hAnsi="Arial"/>
          <w:b w:val="false"/>
          <w:i/>
          <w:color w:val="000000"/>
          <w:sz w:val="20"/>
        </w:rPr>
        <w:t>Liquidity</w:t>
      </w:r>
    </w:p>
    <w:p>
      <w:pPr>
        <w:pStyle w:val="TextBody"/>
        <w:bidi w:val="0"/>
        <w:spacing w:before="240" w:after="283"/>
        <w:jc w:val="both"/>
        <w:rPr>
          <w:rFonts w:ascii="Times New Roman" w:hAnsi="Times New Roman"/>
          <w:sz w:val="20"/>
        </w:rPr>
      </w:pPr>
      <w:r>
        <w:rPr>
          <w:rFonts w:ascii="Arial" w:hAnsi="Arial"/>
          <w:color w:val="000000"/>
          <w:sz w:val="20"/>
        </w:rPr>
        <w:t>The Company had $461.1</w:t>
      </w:r>
      <w:r>
        <w:rPr>
          <w:rFonts w:ascii="Times New Roman" w:hAnsi="Times New Roman"/>
          <w:color w:val="000000"/>
          <w:sz w:val="20"/>
        </w:rPr>
        <w:t xml:space="preserve"> </w:t>
      </w:r>
      <w:r>
        <w:rPr>
          <w:rFonts w:ascii="Arial" w:hAnsi="Arial"/>
          <w:color w:val="000000"/>
          <w:sz w:val="20"/>
        </w:rPr>
        <w:t>million of cash, cash equivalents and marketable securities at June 30, 2026, in addition to the available balance under the Loan and Security Agreement dated as of September 5, 2023 (the “Original Loan Agreement”), by and between the Company, as borrower, and Silicon Valley Bank, a division of First-Citizens Bank &amp; Trust Company (the “Bank”), as amended by the First Amendment to Loan and Security Agreement, dated June 28, 2024 (the "First Amendment"), as further amended by the Second Amendment to Loan and Security Agreement, dated June 27, 2025 (the "Second Amendment"), as further amended by the Third Amendment to Loan and Security Agreement, dated January 11, 2026 (the "Third Amendment"), and as further amended by the Fourth Amendment to Loan and Security Agreement, dated July 1, 2026 (the "Fourth Amendment" and, collectively with the First Amendment, Second Amendment, Third Amendment and the Original Loan Agreement, the "Loan Agreement"). See Note 11, "Long-term Borrowing" for further details. Management believes that the Company’s cash, cash equivalents, marketable securities, and the amounts available under the Loan Agreement will be sufficient to fund the Company’s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i/>
          <w:color w:val="000000"/>
          <w:sz w:val="20"/>
        </w:rPr>
      </w:pPr>
      <w:r>
        <w:rPr>
          <w:rFonts w:ascii="Arial" w:hAnsi="Arial"/>
          <w:i/>
          <w:color w:val="000000"/>
          <w:sz w:val="20"/>
        </w:rPr>
        <w:t>Follow-on Public Offering</w:t>
      </w:r>
    </w:p>
    <w:p>
      <w:pPr>
        <w:pStyle w:val="TextBody"/>
        <w:bidi w:val="0"/>
        <w:spacing w:before="0" w:after="240"/>
        <w:jc w:val="both"/>
        <w:rPr>
          <w:rFonts w:ascii="Times New Roman" w:hAnsi="Times New Roman"/>
          <w:sz w:val="20"/>
        </w:rPr>
      </w:pPr>
      <w:r>
        <w:rPr>
          <w:rFonts w:ascii="Arial" w:hAnsi="Arial"/>
          <w:color w:val="000000"/>
          <w:sz w:val="20"/>
        </w:rPr>
        <w:t>On November 19, 2025, the Company completed a follow-on public offering pursuant to which it issued and sold 11,500,000</w:t>
      </w:r>
      <w:r>
        <w:rPr>
          <w:rFonts w:ascii="Times New Roman" w:hAnsi="Times New Roman"/>
          <w:color w:val="000000"/>
          <w:sz w:val="20"/>
        </w:rPr>
        <w:t xml:space="preserve"> </w:t>
      </w:r>
      <w:r>
        <w:rPr>
          <w:rFonts w:ascii="Arial" w:hAnsi="Arial"/>
          <w:color w:val="000000"/>
          <w:sz w:val="20"/>
        </w:rPr>
        <w:t>shares of its common stock at a public offering price of $19.00</w:t>
      </w:r>
      <w:r>
        <w:rPr>
          <w:rFonts w:ascii="Times New Roman" w:hAnsi="Times New Roman"/>
          <w:color w:val="000000"/>
          <w:sz w:val="20"/>
        </w:rPr>
        <w:t xml:space="preserve"> </w:t>
      </w:r>
      <w:r>
        <w:rPr>
          <w:rFonts w:ascii="Arial" w:hAnsi="Arial"/>
          <w:color w:val="000000"/>
          <w:sz w:val="20"/>
        </w:rPr>
        <w:t>per share, including 1,500,000</w:t>
      </w:r>
      <w:r>
        <w:rPr>
          <w:rFonts w:ascii="Times New Roman" w:hAnsi="Times New Roman"/>
          <w:color w:val="000000"/>
          <w:sz w:val="20"/>
        </w:rPr>
        <w:t xml:space="preserve"> </w:t>
      </w:r>
      <w:r>
        <w:rPr>
          <w:rFonts w:ascii="Arial" w:hAnsi="Arial"/>
          <w:color w:val="000000"/>
          <w:sz w:val="20"/>
        </w:rPr>
        <w:t>shares sold pursuant to the underwriters’ full exercise of their option to purchase additional shares, resulting in aggregate net proceeds of $204.8</w:t>
      </w:r>
      <w:r>
        <w:rPr>
          <w:rFonts w:ascii="Times New Roman" w:hAnsi="Times New Roman"/>
          <w:color w:val="000000"/>
          <w:sz w:val="20"/>
        </w:rPr>
        <w:t xml:space="preserve"> </w:t>
      </w:r>
      <w:r>
        <w:rPr>
          <w:rFonts w:ascii="Arial" w:hAnsi="Arial"/>
          <w:color w:val="000000"/>
          <w:sz w:val="20"/>
        </w:rPr>
        <w:t>million, after deducting underwriting discounts and commissions and estimated offering costs.</w:t>
      </w:r>
    </w:p>
    <w:p>
      <w:pPr>
        <w:pStyle w:val="TextBody"/>
        <w:bidi w:val="0"/>
        <w:spacing w:before="0" w:after="240"/>
        <w:jc w:val="both"/>
        <w:rPr>
          <w:rFonts w:ascii="Arial" w:hAnsi="Arial"/>
          <w:i/>
          <w:color w:val="000000"/>
          <w:sz w:val="20"/>
        </w:rPr>
      </w:pPr>
      <w:r>
        <w:rPr>
          <w:rFonts w:ascii="Arial" w:hAnsi="Arial"/>
          <w:i/>
          <w:color w:val="000000"/>
          <w:sz w:val="20"/>
        </w:rPr>
        <w:t>Private Placement</w:t>
      </w:r>
    </w:p>
    <w:p>
      <w:pPr>
        <w:pStyle w:val="TextBody"/>
        <w:bidi w:val="0"/>
        <w:spacing w:before="0" w:after="240"/>
        <w:jc w:val="both"/>
        <w:rPr>
          <w:rFonts w:ascii="Times New Roman" w:hAnsi="Times New Roman"/>
          <w:sz w:val="20"/>
        </w:rPr>
      </w:pPr>
      <w:r>
        <w:rPr>
          <w:rFonts w:ascii="Arial" w:hAnsi="Arial"/>
          <w:color w:val="000000"/>
          <w:sz w:val="20"/>
        </w:rPr>
        <w:t>On November 29, 2024, the Company entered into a securities purchase agreement for a private placement of (i) 19,928,875</w:t>
      </w:r>
      <w:r>
        <w:rPr>
          <w:rFonts w:ascii="Times New Roman" w:hAnsi="Times New Roman"/>
          <w:color w:val="000000"/>
          <w:sz w:val="20"/>
        </w:rPr>
        <w:t xml:space="preserve"> </w:t>
      </w:r>
      <w:r>
        <w:rPr>
          <w:rFonts w:ascii="Arial" w:hAnsi="Arial"/>
          <w:color w:val="000000"/>
          <w:sz w:val="20"/>
        </w:rPr>
        <w:t>shares of the Company’s common stock at a price of $9.08</w:t>
      </w:r>
      <w:r>
        <w:rPr>
          <w:rFonts w:ascii="Times New Roman" w:hAnsi="Times New Roman"/>
          <w:color w:val="000000"/>
          <w:sz w:val="20"/>
        </w:rPr>
        <w:t xml:space="preserve"> </w:t>
      </w:r>
      <w:r>
        <w:rPr>
          <w:rFonts w:ascii="Arial" w:hAnsi="Arial"/>
          <w:color w:val="000000"/>
          <w:sz w:val="20"/>
        </w:rPr>
        <w:t>per share and (ii) pre-funded warrants to purchase up to an aggregate of 7,604,163</w:t>
      </w:r>
      <w:r>
        <w:rPr>
          <w:rFonts w:ascii="Times New Roman" w:hAnsi="Times New Roman"/>
          <w:color w:val="000000"/>
          <w:sz w:val="20"/>
        </w:rPr>
        <w:t xml:space="preserve"> </w:t>
      </w:r>
      <w:r>
        <w:rPr>
          <w:rFonts w:ascii="Arial" w:hAnsi="Arial"/>
          <w:color w:val="000000"/>
          <w:sz w:val="20"/>
        </w:rPr>
        <w:t>shares of the Company's common stock at a price of $9.0799</w:t>
      </w:r>
      <w:r>
        <w:rPr>
          <w:rFonts w:ascii="Times New Roman" w:hAnsi="Times New Roman"/>
          <w:color w:val="000000"/>
          <w:sz w:val="20"/>
        </w:rPr>
        <w:t xml:space="preserve"> </w:t>
      </w:r>
      <w:r>
        <w:rPr>
          <w:rFonts w:ascii="Arial" w:hAnsi="Arial"/>
          <w:color w:val="000000"/>
          <w:sz w:val="20"/>
        </w:rPr>
        <w:t>per pre-funded warrant, which represents the per share purchase price of the Company's common stock sold in the private placement less the $0.0001</w:t>
      </w:r>
      <w:r>
        <w:rPr>
          <w:rFonts w:ascii="Times New Roman" w:hAnsi="Times New Roman"/>
          <w:color w:val="000000"/>
          <w:sz w:val="20"/>
        </w:rPr>
        <w:t xml:space="preserve"> </w:t>
      </w:r>
      <w:r>
        <w:rPr>
          <w:rFonts w:ascii="Arial" w:hAnsi="Arial"/>
          <w:color w:val="000000"/>
          <w:sz w:val="20"/>
        </w:rPr>
        <w:t>per share exercise price for each pre-funded warrant to selected institutional and accredited investors (the “2024 Private Placement”). The aggregate gross proceeds for the 2024 Private Placement were approximately $250.0</w:t>
      </w:r>
      <w:r>
        <w:rPr>
          <w:rFonts w:ascii="Times New Roman" w:hAnsi="Times New Roman"/>
          <w:color w:val="000000"/>
          <w:sz w:val="20"/>
        </w:rPr>
        <w:t xml:space="preserve"> </w:t>
      </w:r>
      <w:r>
        <w:rPr>
          <w:rFonts w:ascii="Arial" w:hAnsi="Arial"/>
          <w:color w:val="000000"/>
          <w:sz w:val="20"/>
        </w:rPr>
        <w:t>million. After deducting offering expenses related to the 2024 Private Placement of approximately $13.0</w:t>
      </w:r>
      <w:r>
        <w:rPr>
          <w:rFonts w:ascii="Times New Roman" w:hAnsi="Times New Roman"/>
          <w:color w:val="000000"/>
          <w:sz w:val="20"/>
        </w:rPr>
        <w:t xml:space="preserve"> </w:t>
      </w:r>
      <w:r>
        <w:rPr>
          <w:rFonts w:ascii="Arial" w:hAnsi="Arial"/>
          <w:color w:val="000000"/>
          <w:sz w:val="20"/>
        </w:rPr>
        <w:t>million, the net proceeds to the Company from the 2024 Private Placement were approximately $237.0</w:t>
      </w:r>
      <w:r>
        <w:rPr>
          <w:rFonts w:ascii="Times New Roman" w:hAnsi="Times New Roman"/>
          <w:color w:val="000000"/>
          <w:sz w:val="20"/>
        </w:rPr>
        <w:t xml:space="preserve"> </w:t>
      </w:r>
      <w:r>
        <w:rPr>
          <w:rFonts w:ascii="Arial" w:hAnsi="Arial"/>
          <w:color w:val="000000"/>
          <w:sz w:val="20"/>
        </w:rPr>
        <w:t>million.</w:t>
      </w:r>
    </w:p>
    <w:p>
      <w:pPr>
        <w:pStyle w:val="TextBody"/>
        <w:bidi w:val="0"/>
        <w:spacing w:before="0" w:after="240"/>
        <w:jc w:val="both"/>
        <w:rPr>
          <w:rFonts w:ascii="Arial" w:hAnsi="Arial"/>
          <w:i/>
          <w:color w:val="000000"/>
          <w:sz w:val="20"/>
        </w:rPr>
      </w:pPr>
      <w:r>
        <w:rPr>
          <w:rFonts w:ascii="Arial" w:hAnsi="Arial"/>
          <w:i/>
          <w:color w:val="000000"/>
          <w:sz w:val="20"/>
        </w:rPr>
        <w:t>Warrant Exchanges</w:t>
      </w:r>
    </w:p>
    <w:p>
      <w:pPr>
        <w:pStyle w:val="TextBody"/>
        <w:bidi w:val="0"/>
        <w:spacing w:before="0" w:after="240"/>
        <w:jc w:val="both"/>
        <w:rPr>
          <w:rFonts w:ascii="Times New Roman" w:hAnsi="Times New Roman"/>
          <w:sz w:val="20"/>
        </w:rPr>
      </w:pPr>
      <w:r>
        <w:rPr>
          <w:rFonts w:ascii="Arial" w:hAnsi="Arial"/>
          <w:color w:val="000000"/>
          <w:sz w:val="20"/>
        </w:rPr>
        <w:t>On November 29, 2024 and January 10, 2025, the Company entered into exchange agreements with certain investors and issued to such investors pre-funded warrants to purchase up to 3,420,000</w:t>
      </w:r>
      <w:r>
        <w:rPr>
          <w:rFonts w:ascii="Times New Roman" w:hAnsi="Times New Roman"/>
          <w:color w:val="000000"/>
          <w:sz w:val="20"/>
        </w:rPr>
        <w:t xml:space="preserve"> </w:t>
      </w:r>
      <w:r>
        <w:rPr>
          <w:rFonts w:ascii="Arial" w:hAnsi="Arial"/>
          <w:color w:val="000000"/>
          <w:sz w:val="20"/>
        </w:rPr>
        <w:t>and 6,070,000</w:t>
      </w:r>
      <w:r>
        <w:rPr>
          <w:rFonts w:ascii="Times New Roman" w:hAnsi="Times New Roman"/>
          <w:color w:val="000000"/>
          <w:sz w:val="20"/>
        </w:rPr>
        <w:t xml:space="preserve"> </w:t>
      </w:r>
      <w:r>
        <w:rPr>
          <w:rFonts w:ascii="Arial" w:hAnsi="Arial"/>
          <w:color w:val="000000"/>
          <w:sz w:val="20"/>
        </w:rPr>
        <w:t>shares of the Company's common stock, respectively, in exchange for an equivalent number of shares of the Company's common stock previously outstanding and held by such investors (the "Exchange Transactions"). The pre-funded warrants were issued without registration under the Securities Act of 1933, as amended (the “Securities Act”), in reliance on the exemption from registration contained in Section 3(a)(9) of the Securities Act. Refer to Note 12, "Pre-funded Warrants" for further details.</w:t>
      </w:r>
    </w:p>
    <w:p>
      <w:pPr>
        <w:pStyle w:val="Heading2"/>
        <w:bidi w:val="0"/>
        <w:jc w:val="left"/>
        <w:rPr>
          <w:rFonts w:ascii="Arial" w:hAnsi="Arial"/>
          <w:b w:val="false"/>
          <w:i/>
          <w:color w:val="000000"/>
          <w:sz w:val="20"/>
        </w:rPr>
      </w:pPr>
      <w:r>
        <w:rPr>
          <w:rFonts w:ascii="Arial" w:hAnsi="Arial"/>
          <w:b w:val="false"/>
          <w:i/>
          <w:color w:val="000000"/>
          <w:sz w:val="20"/>
        </w:rPr>
        <w:t>At-The-Market Offering</w:t>
      </w:r>
    </w:p>
    <w:p>
      <w:pPr>
        <w:pStyle w:val="Heading2"/>
        <w:bidi w:val="0"/>
        <w:spacing w:before="360" w:after="120"/>
        <w:jc w:val="both"/>
        <w:rPr>
          <w:rFonts w:ascii="Times New Roman" w:hAnsi="Times New Roman"/>
          <w:sz w:val="20"/>
        </w:rPr>
      </w:pPr>
      <w:r>
        <w:rPr>
          <w:rFonts w:ascii="Arial" w:hAnsi="Arial"/>
          <w:b w:val="false"/>
          <w:color w:val="000000"/>
          <w:sz w:val="20"/>
        </w:rPr>
        <w:t>On January 5, 2024, the Company entered into a sales agreement (the “2024 Sales Agreement”) with Cowen and Company, LLC ("Cowen and Company”) as sales agent, pursuant to which the Company was permitted to offer and sell, from time to time, shares of its common stock, having an aggregate offering price of up to $150.0</w:t>
      </w:r>
      <w:r>
        <w:rPr>
          <w:rFonts w:ascii="Times New Roman" w:hAnsi="Times New Roman"/>
          <w:color w:val="000000"/>
          <w:sz w:val="20"/>
        </w:rPr>
        <w:t xml:space="preserve"> </w:t>
      </w:r>
      <w:r>
        <w:rPr>
          <w:rFonts w:ascii="Arial" w:hAnsi="Arial"/>
          <w:b w:val="false"/>
          <w:color w:val="000000"/>
          <w:sz w:val="20"/>
        </w:rPr>
        <w:t>million (the “2024 ATM Shares”). The sales of the 2024 ATM Shares were made by an "at-the-market" ("ATM") equity offering as defined in Rule 415(a)(4) promulgated under the Securities Act of 1933, as amended ("Securities Act"). The Company agreed to pay Cowen and Company a commission of up to 3.0% of the aggregate gross proceeds from any 2024 ATM Shares sold by Cowen and Company. During the year ended December 31, 2024, the Company issued 1,772,278</w:t>
      </w:r>
      <w:r>
        <w:rPr>
          <w:rFonts w:ascii="Times New Roman" w:hAnsi="Times New Roman"/>
          <w:color w:val="000000"/>
          <w:sz w:val="20"/>
        </w:rPr>
        <w:t xml:space="preserve"> </w:t>
      </w:r>
      <w:r>
        <w:rPr>
          <w:rFonts w:ascii="Arial" w:hAnsi="Arial"/>
          <w:b w:val="false"/>
          <w:color w:val="000000"/>
          <w:sz w:val="20"/>
        </w:rPr>
        <w:t>shares of the Company's common stock under the 2024 Sales Agreement at a weighted-average price of $13.19</w:t>
      </w:r>
      <w:r>
        <w:rPr>
          <w:rFonts w:ascii="Times New Roman" w:hAnsi="Times New Roman"/>
          <w:color w:val="000000"/>
          <w:sz w:val="20"/>
        </w:rPr>
        <w:t xml:space="preserve"> </w:t>
      </w:r>
      <w:r>
        <w:rPr>
          <w:rFonts w:ascii="Arial" w:hAnsi="Arial"/>
          <w:b w:val="false"/>
          <w:color w:val="000000"/>
          <w:sz w:val="20"/>
        </w:rPr>
        <w:t>for net proceeds of $22.8</w:t>
      </w:r>
      <w:r>
        <w:rPr>
          <w:rFonts w:ascii="Times New Roman" w:hAnsi="Times New Roman"/>
          <w:color w:val="000000"/>
          <w:sz w:val="20"/>
        </w:rPr>
        <w:t xml:space="preserve"> </w:t>
      </w:r>
      <w:r>
        <w:rPr>
          <w:rFonts w:ascii="Arial" w:hAnsi="Arial"/>
          <w:b w:val="false"/>
          <w:color w:val="000000"/>
          <w:sz w:val="20"/>
        </w:rPr>
        <w:t>million after deducting related issuance costs.</w:t>
      </w:r>
    </w:p>
    <w:p>
      <w:pPr>
        <w:pStyle w:val="TextBody"/>
        <w:bidi w:val="0"/>
        <w:spacing w:before="120" w:after="283"/>
        <w:jc w:val="both"/>
        <w:rPr>
          <w:rFonts w:ascii="Times New Roman" w:hAnsi="Times New Roman"/>
          <w:sz w:val="20"/>
        </w:rPr>
      </w:pPr>
      <w:r>
        <w:rPr>
          <w:rFonts w:ascii="Arial" w:hAnsi="Arial"/>
          <w:color w:val="000000"/>
          <w:sz w:val="20"/>
        </w:rPr>
        <w:t>On January 6, 2025, the Company entered into a sales agreement (the "2025 Sales Agreement") with TD Securities (USA) LLC, ("TD Cowen") as sales agent, pursuant to which the Company was permitted to sell, from time to time, shares of the Company's common stock, having an aggregate offering price of up to $150.0</w:t>
      </w:r>
      <w:r>
        <w:rPr>
          <w:rFonts w:ascii="Times New Roman" w:hAnsi="Times New Roman"/>
          <w:color w:val="000000"/>
          <w:sz w:val="20"/>
        </w:rPr>
        <w:t xml:space="preserve"> </w:t>
      </w:r>
      <w:r>
        <w:rPr>
          <w:rFonts w:ascii="Arial" w:hAnsi="Arial"/>
          <w:color w:val="000000"/>
          <w:sz w:val="20"/>
        </w:rPr>
        <w:t>million (the “2025 ATM Shares”). The 2025 Sales Agreement replaced the prior 2024 Sales Agreement. The sales of the 2025 ATM Shares would be made by any method permitted that is deemed to be an ATM equity offering as defined in Rule 415(a)(4) promulgated under the Securities Act, including sales made directly on or through the Nasdaq Global Select Market. The Company agreed to pay TD Cowen a commission of up to 3.0% of the aggregate gross proceeds from any 2025 ATM Shares sold by TD Cowen. On December 11, 2025, the Company entered into Amendment No. 1 to the 2025 Sales Agreement, which increased the maximum aggregate offering price under the 2025 Sales Agreement to $200.0</w:t>
      </w:r>
      <w:r>
        <w:rPr>
          <w:rFonts w:ascii="Times New Roman" w:hAnsi="Times New Roman"/>
          <w:color w:val="000000"/>
          <w:sz w:val="20"/>
        </w:rPr>
        <w:t xml:space="preserve"> </w:t>
      </w:r>
      <w:r>
        <w:rPr>
          <w:rFonts w:ascii="Arial" w:hAnsi="Arial"/>
          <w:color w:val="000000"/>
          <w:sz w:val="20"/>
        </w:rPr>
        <w:t>million. During the six months ended June 30, 2026, the Company issued 1,712,739</w:t>
      </w:r>
      <w:r>
        <w:rPr>
          <w:rFonts w:ascii="Times New Roman" w:hAnsi="Times New Roman"/>
          <w:color w:val="000000"/>
          <w:sz w:val="20"/>
        </w:rPr>
        <w:t xml:space="preserve"> </w:t>
      </w:r>
      <w:r>
        <w:rPr>
          <w:rFonts w:ascii="Arial" w:hAnsi="Arial"/>
          <w:color w:val="000000"/>
          <w:sz w:val="20"/>
        </w:rPr>
        <w:t>of the Company's common stock under the 2025 Sales Agreement at a weighted-average price of $24.92</w:t>
      </w:r>
      <w:r>
        <w:rPr>
          <w:rFonts w:ascii="Times New Roman" w:hAnsi="Times New Roman"/>
          <w:color w:val="000000"/>
          <w:sz w:val="20"/>
        </w:rPr>
        <w:t xml:space="preserve"> </w:t>
      </w:r>
      <w:r>
        <w:rPr>
          <w:rFonts w:ascii="Arial" w:hAnsi="Arial"/>
          <w:color w:val="000000"/>
          <w:sz w:val="20"/>
        </w:rPr>
        <w:t>for net proceeds of $41.9</w:t>
      </w:r>
      <w:r>
        <w:rPr>
          <w:rFonts w:ascii="Times New Roman" w:hAnsi="Times New Roman"/>
          <w:color w:val="000000"/>
          <w:sz w:val="20"/>
        </w:rPr>
        <w:t xml:space="preserve"> </w:t>
      </w:r>
      <w:r>
        <w:rPr>
          <w:rFonts w:ascii="Arial" w:hAnsi="Arial"/>
          <w:color w:val="000000"/>
          <w:sz w:val="20"/>
        </w:rPr>
        <w:t>million after deducting related issuance costs.</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left"/>
        <w:rPr>
          <w:rFonts w:ascii="Arial" w:hAnsi="Arial"/>
          <w:b w:val="false"/>
          <w:i/>
          <w:color w:val="000000"/>
          <w:sz w:val="20"/>
        </w:rPr>
      </w:pPr>
      <w:r>
        <w:rPr>
          <w:rFonts w:ascii="Arial" w:hAnsi="Arial"/>
          <w:b w:val="false"/>
          <w:i/>
          <w:color w:val="000000"/>
          <w:sz w:val="20"/>
        </w:rPr>
        <w:t>Impact of Geopolitical and Macroeconomic Events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uncertainty related to the geopolitical and macroeconomic environment, generally, including economic uncertainty, market volatility, labor shortages, recent and changing tariff policy announcements (including related legal challenges), tariffs, trade tensions and retaliatory measures by other countries, supply chain disruptions, military conflicts, as well as any related political or economic responses and counter-responses or otherwise by various global actors, inflationary pressures, monetary supply shifts, increased recession risk, and related financial instability.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pStyle w:val="TextBody"/>
        <w:bidi w:val="0"/>
        <w:spacing w:before="240" w:after="283"/>
        <w:jc w:val="both"/>
        <w:rPr>
          <w:rFonts w:ascii="Arial" w:hAnsi="Arial"/>
          <w:b/>
          <w:color w:val="000000"/>
          <w:sz w:val="20"/>
        </w:rPr>
      </w:pPr>
      <w:r>
        <w:rPr>
          <w:rFonts w:ascii="Arial" w:hAnsi="Arial"/>
          <w:b/>
          <w:color w:val="000000"/>
          <w:sz w:val="20"/>
        </w:rPr>
        <w:t>2.</w:t>
      </w:r>
    </w:p>
    <w:p>
      <w:pPr>
        <w:pStyle w:val="TextBody"/>
        <w:bidi w:val="0"/>
        <w:spacing w:before="240" w:after="283"/>
        <w:jc w:val="both"/>
        <w:rPr>
          <w:rFonts w:ascii="Arial" w:hAnsi="Arial"/>
          <w:b/>
          <w:color w:val="000000"/>
          <w:sz w:val="20"/>
        </w:rPr>
      </w:pPr>
      <w:r>
        <w:rPr>
          <w:rFonts w:ascii="Arial" w:hAnsi="Arial"/>
          <w:b/>
          <w:color w:val="000000"/>
          <w:sz w:val="20"/>
        </w:rPr>
        <w:t>Summary of Significant Accounting Policies</w:t>
      </w:r>
    </w:p>
    <w:p>
      <w:pPr>
        <w:pStyle w:val="Heading2"/>
        <w:bidi w:val="0"/>
        <w:spacing w:before="240" w:after="283"/>
        <w:jc w:val="left"/>
        <w:rPr>
          <w:rFonts w:ascii="Arial" w:hAnsi="Arial"/>
          <w:b w:val="false"/>
          <w:i/>
          <w:color w:val="000000"/>
          <w:sz w:val="20"/>
        </w:rPr>
      </w:pPr>
      <w:r>
        <w:rPr>
          <w:rFonts w:ascii="Arial" w:hAnsi="Arial"/>
          <w:b w:val="false"/>
          <w:i/>
          <w:color w:val="000000"/>
          <w:sz w:val="20"/>
        </w:rPr>
        <w:t>Basis of Presentation and Consolidation</w:t>
      </w:r>
    </w:p>
    <w:p>
      <w:pPr>
        <w:pStyle w:val="TextBody"/>
        <w:bidi w:val="0"/>
        <w:spacing w:before="240" w:after="283"/>
        <w:jc w:val="both"/>
        <w:rPr>
          <w:rFonts w:ascii="Arial" w:hAnsi="Arial"/>
          <w:color w:val="000000"/>
          <w:sz w:val="20"/>
        </w:rPr>
      </w:pPr>
      <w:r>
        <w:rPr>
          <w:rFonts w:ascii="Arial" w:hAnsi="Arial"/>
          <w:color w:val="000000"/>
          <w:sz w:val="20"/>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w:t>
        <w:noBreakHyphen/>
        <w:t>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subsidiaries, Olema Oncology Australia Pty Ltd and Olema Oncology International Limited. All intercompany balances and transactions have been eliminated upon consolidation. Certain prior period amounts have been reclassified to conform to the current period presentation. Such reclassifications had no effect on the Company's previously reported financial position, results of operations, comprehensive loss, or cash flows.</w:t>
      </w:r>
    </w:p>
    <w:p>
      <w:pPr>
        <w:pStyle w:val="Heading2"/>
        <w:bidi w:val="0"/>
        <w:spacing w:before="240" w:after="283"/>
        <w:jc w:val="left"/>
        <w:rPr>
          <w:rFonts w:ascii="Arial" w:hAnsi="Arial"/>
          <w:b w:val="false"/>
          <w:i/>
          <w:color w:val="000000"/>
          <w:sz w:val="20"/>
        </w:rPr>
      </w:pPr>
      <w:r>
        <w:rPr>
          <w:rFonts w:ascii="Arial" w:hAnsi="Arial"/>
          <w:b w:val="false"/>
          <w:i/>
          <w:color w:val="000000"/>
          <w:sz w:val="20"/>
        </w:rPr>
        <w:t>Unaudited Interim Financial Information</w:t>
      </w:r>
    </w:p>
    <w:p>
      <w:pPr>
        <w:pStyle w:val="TextBody"/>
        <w:bidi w:val="0"/>
        <w:spacing w:before="240" w:after="283"/>
        <w:jc w:val="both"/>
        <w:rPr>
          <w:rFonts w:ascii="Arial" w:hAnsi="Arial"/>
          <w:color w:val="000000"/>
          <w:sz w:val="20"/>
        </w:rPr>
      </w:pPr>
      <w:r>
        <w:rPr>
          <w:rFonts w:ascii="Arial" w:hAnsi="Arial"/>
          <w:color w:val="000000"/>
          <w:sz w:val="20"/>
        </w:rPr>
        <w:t>The accompanying interim condensed consolidated financial statements are unaudited. They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six-month periods are also unaudited. The results of operations presented in these unaudited condensed consolidated financial statements are not necessarily indicative of the results to be expected for the year ending December 31, 2026, or for any other future annual or interim period. The condensed consolidated balance sheet as of December 31, 2025 included herein was derived from the audited financial statements as of that date. These interim condensed consolidated financial statements should be read in conjunction with the Company’s audited consolidated financial statements included in the Company’s Form 10</w:t>
        <w:noBreakHyphen/>
        <w:t>K as filed with the SEC on March 16, 2026 (the “Annual Report”).</w:t>
      </w:r>
    </w:p>
    <w:p>
      <w:pPr>
        <w:pStyle w:val="Heading2"/>
        <w:bidi w:val="0"/>
        <w:spacing w:before="240" w:after="283"/>
        <w:jc w:val="left"/>
        <w:rPr>
          <w:rFonts w:ascii="Arial" w:hAnsi="Arial"/>
          <w:b w:val="false"/>
          <w:i/>
          <w:color w:val="000000"/>
          <w:sz w:val="20"/>
        </w:rPr>
      </w:pPr>
      <w:r>
        <w:rPr>
          <w:rFonts w:ascii="Arial" w:hAnsi="Arial"/>
          <w:b w:val="false"/>
          <w:i/>
          <w:color w:val="000000"/>
          <w:sz w:val="20"/>
        </w:rPr>
        <w:t>Use of Estimates</w:t>
      </w:r>
    </w:p>
    <w:p>
      <w:pPr>
        <w:pStyle w:val="TextBody"/>
        <w:bidi w:val="0"/>
        <w:spacing w:before="240" w:after="283"/>
        <w:jc w:val="both"/>
        <w:rPr>
          <w:rFonts w:ascii="Arial" w:hAnsi="Arial"/>
          <w:color w:val="000000"/>
          <w:sz w:val="20"/>
        </w:rPr>
      </w:pPr>
      <w:r>
        <w:rPr>
          <w:rFonts w:ascii="Arial" w:hAnsi="Arial"/>
          <w:color w:val="000000"/>
          <w:sz w:val="20"/>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equity awards.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left"/>
        <w:rPr>
          <w:rFonts w:ascii="Arial" w:hAnsi="Arial"/>
          <w:b w:val="false"/>
          <w:i/>
          <w:color w:val="000000"/>
          <w:sz w:val="20"/>
        </w:rPr>
      </w:pPr>
      <w:r>
        <w:rPr>
          <w:rFonts w:ascii="Arial" w:hAnsi="Arial"/>
          <w:b w:val="false"/>
          <w:i/>
          <w:color w:val="000000"/>
          <w:sz w:val="20"/>
        </w:rPr>
        <w:t>Cash and Cash Equivalents</w:t>
      </w:r>
    </w:p>
    <w:p>
      <w:pPr>
        <w:pStyle w:val="TextBody"/>
        <w:bidi w:val="0"/>
        <w:spacing w:before="240" w:after="283"/>
        <w:jc w:val="both"/>
        <w:rPr>
          <w:rFonts w:ascii="Arial" w:hAnsi="Arial"/>
          <w:color w:val="000000"/>
          <w:sz w:val="20"/>
        </w:rPr>
      </w:pPr>
      <w:r>
        <w:rPr>
          <w:rFonts w:ascii="Arial" w:hAnsi="Arial"/>
          <w:color w:val="000000"/>
          <w:sz w:val="20"/>
        </w:rPr>
        <w:t>Cash and cash equivalents are defined as short-term, highly liquid investments with original maturities of 90 days or fewer at the date of purchase. Cash deposits are all in reputable financial institutions in the United States as of June 30, 2026, and December 31, 2025. Cash and cash equivalents primarily consisted of cash on deposit with U.S. banks, including the Company’s bank accounts for its foreign subsidiaries, denominated in U.S. dollars and foreign currencies, and investments in interest-bearing money market funds.</w:t>
      </w:r>
    </w:p>
    <w:p>
      <w:pPr>
        <w:pStyle w:val="Heading2"/>
        <w:bidi w:val="0"/>
        <w:spacing w:before="240" w:after="283"/>
        <w:jc w:val="left"/>
        <w:rPr>
          <w:rFonts w:ascii="Arial" w:hAnsi="Arial"/>
          <w:b w:val="false"/>
          <w:i/>
          <w:color w:val="000000"/>
          <w:sz w:val="20"/>
        </w:rPr>
      </w:pPr>
      <w:r>
        <w:rPr>
          <w:rFonts w:ascii="Arial" w:hAnsi="Arial"/>
          <w:b w:val="false"/>
          <w:i/>
          <w:color w:val="000000"/>
          <w:sz w:val="20"/>
        </w:rPr>
        <w:t>Marketable Securities</w:t>
      </w:r>
    </w:p>
    <w:p>
      <w:pPr>
        <w:pStyle w:val="TextBody"/>
        <w:bidi w:val="0"/>
        <w:spacing w:before="240" w:after="283"/>
        <w:jc w:val="both"/>
        <w:rPr>
          <w:rFonts w:ascii="Times New Roman" w:hAnsi="Times New Roman"/>
          <w:sz w:val="20"/>
        </w:rPr>
      </w:pPr>
      <w:r>
        <w:rPr>
          <w:rFonts w:ascii="Arial" w:hAnsi="Arial"/>
          <w:color w:val="000000"/>
          <w:sz w:val="20"/>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bidi w:val="0"/>
        <w:spacing w:before="240" w:after="283"/>
        <w:jc w:val="both"/>
        <w:rPr>
          <w:rFonts w:ascii="Arial" w:hAnsi="Arial"/>
          <w:color w:val="000000"/>
          <w:sz w:val="20"/>
        </w:rPr>
      </w:pPr>
      <w:r>
        <w:rPr>
          <w:rFonts w:ascii="Arial" w:hAnsi="Arial"/>
          <w:color w:val="000000"/>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Heading2"/>
        <w:bidi w:val="0"/>
        <w:spacing w:before="240" w:after="283"/>
        <w:jc w:val="left"/>
        <w:rPr>
          <w:rFonts w:ascii="Arial" w:hAnsi="Arial"/>
          <w:b w:val="false"/>
          <w:i/>
          <w:color w:val="000000"/>
          <w:sz w:val="20"/>
        </w:rPr>
      </w:pPr>
      <w:r>
        <w:rPr>
          <w:rFonts w:ascii="Arial" w:hAnsi="Arial"/>
          <w:b w:val="false"/>
          <w:i/>
          <w:color w:val="000000"/>
          <w:sz w:val="20"/>
        </w:rPr>
        <w:t>Concentration of Credit Risk and Other Risks and Uncertainties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however, the Company has not experienced any losses on such deposits.</w:t>
      </w:r>
    </w:p>
    <w:p>
      <w:pPr>
        <w:pStyle w:val="TextBody"/>
        <w:bidi w:val="0"/>
        <w:spacing w:before="240" w:after="283"/>
        <w:jc w:val="both"/>
        <w:rPr>
          <w:rFonts w:ascii="Arial" w:hAnsi="Arial"/>
          <w:color w:val="000000"/>
          <w:sz w:val="20"/>
        </w:rPr>
      </w:pPr>
      <w:r>
        <w:rPr>
          <w:rFonts w:ascii="Arial" w:hAnsi="Arial"/>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Heading2"/>
        <w:bidi w:val="0"/>
        <w:spacing w:before="240" w:after="283"/>
        <w:jc w:val="left"/>
        <w:rPr>
          <w:rFonts w:ascii="Arial" w:hAnsi="Arial"/>
          <w:b w:val="false"/>
          <w:i/>
          <w:color w:val="000000"/>
          <w:sz w:val="20"/>
        </w:rPr>
      </w:pPr>
      <w:r>
        <w:rPr>
          <w:rFonts w:ascii="Arial" w:hAnsi="Arial"/>
          <w:b w:val="false"/>
          <w:i/>
          <w:color w:val="000000"/>
          <w:sz w:val="20"/>
        </w:rPr>
        <w:t>Leases</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Under Accounting Standards Update ("ASU") 2016-02, Leases, Topic 842,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pStyle w:val="TextBody"/>
        <w:bidi w:val="0"/>
        <w:spacing w:before="0" w:after="240"/>
        <w:jc w:val="both"/>
        <w:rPr>
          <w:rFonts w:ascii="Arial" w:hAnsi="Arial"/>
          <w:color w:val="000000"/>
          <w:sz w:val="20"/>
        </w:rPr>
      </w:pPr>
      <w:r>
        <w:rPr>
          <w:rFonts w:ascii="Arial" w:hAnsi="Arial"/>
          <w:color w:val="000000"/>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bidi w:val="0"/>
        <w:jc w:val="both"/>
        <w:rPr>
          <w:rFonts w:ascii="Arial" w:hAnsi="Arial"/>
          <w:color w:val="000000"/>
          <w:sz w:val="20"/>
        </w:rPr>
      </w:pPr>
      <w:r>
        <w:rPr>
          <w:rFonts w:ascii="Arial" w:hAnsi="Arial"/>
          <w:color w:val="000000"/>
          <w:sz w:val="20"/>
        </w:rPr>
        <w:t>Most leases include options to renew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pStyle w:val="TextBody"/>
        <w:bidi w:val="0"/>
        <w:spacing w:before="240" w:after="283"/>
        <w:jc w:val="both"/>
        <w:rPr>
          <w:rFonts w:ascii="Arial" w:hAnsi="Arial"/>
          <w:color w:val="000000"/>
          <w:sz w:val="20"/>
        </w:rPr>
      </w:pPr>
      <w:r>
        <w:rPr>
          <w:rFonts w:ascii="Arial" w:hAnsi="Arial"/>
          <w:color w:val="000000"/>
          <w:sz w:val="20"/>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The Company elected to not apply the recognition requirements of Topic 842 to short-term leases with terms of 12 months or less. Refer to Note 9, "Leases" for further details.</w:t>
      </w:r>
    </w:p>
    <w:p>
      <w:pPr>
        <w:pStyle w:val="Heading2"/>
        <w:bidi w:val="0"/>
        <w:spacing w:before="240" w:after="283"/>
        <w:jc w:val="left"/>
        <w:rPr>
          <w:rFonts w:ascii="Arial" w:hAnsi="Arial"/>
          <w:b w:val="false"/>
          <w:i/>
          <w:color w:val="000000"/>
          <w:sz w:val="20"/>
        </w:rPr>
      </w:pPr>
      <w:r>
        <w:rPr>
          <w:rFonts w:ascii="Arial" w:hAnsi="Arial"/>
          <w:b w:val="false"/>
          <w:i/>
          <w:color w:val="000000"/>
          <w:sz w:val="20"/>
        </w:rPr>
        <w:t>Research and Development Costs</w:t>
      </w:r>
    </w:p>
    <w:p>
      <w:pPr>
        <w:pStyle w:val="TextBody"/>
        <w:bidi w:val="0"/>
        <w:spacing w:before="240" w:after="283"/>
        <w:jc w:val="both"/>
        <w:rPr>
          <w:rFonts w:ascii="Arial" w:hAnsi="Arial"/>
          <w:color w:val="000000"/>
          <w:sz w:val="20"/>
        </w:rPr>
      </w:pPr>
      <w:r>
        <w:rPr>
          <w:rFonts w:ascii="Arial" w:hAnsi="Arial"/>
          <w:color w:val="000000"/>
          <w:sz w:val="20"/>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either prepaid expenses and other current assets or other assets and long-term deposits. Such amounts are recognized as an expense as the goods are delivered or the related services are performed.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pStyle w:val="Heading2"/>
        <w:bidi w:val="0"/>
        <w:spacing w:before="240" w:after="283"/>
        <w:jc w:val="left"/>
        <w:rPr>
          <w:rFonts w:ascii="Arial" w:hAnsi="Arial"/>
          <w:b w:val="false"/>
          <w:i/>
          <w:color w:val="000000"/>
          <w:sz w:val="20"/>
        </w:rPr>
      </w:pPr>
      <w:r>
        <w:rPr>
          <w:rFonts w:ascii="Arial" w:hAnsi="Arial"/>
          <w:b w:val="false"/>
          <w:i/>
          <w:color w:val="000000"/>
          <w:sz w:val="20"/>
        </w:rPr>
        <w:t>Research Contract Costs and Accruals</w:t>
      </w:r>
    </w:p>
    <w:p>
      <w:pPr>
        <w:pStyle w:val="TextBody"/>
        <w:bidi w:val="0"/>
        <w:spacing w:before="240" w:after="283"/>
        <w:jc w:val="both"/>
        <w:rPr>
          <w:rFonts w:ascii="Arial" w:hAnsi="Arial"/>
          <w:color w:val="000000"/>
          <w:sz w:val="20"/>
        </w:rPr>
      </w:pPr>
      <w:r>
        <w:rPr>
          <w:rFonts w:ascii="Arial" w:hAnsi="Arial"/>
          <w:color w:val="000000"/>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bidi w:val="0"/>
        <w:spacing w:before="240" w:after="283"/>
        <w:jc w:val="both"/>
        <w:rPr>
          <w:rFonts w:ascii="Arial" w:hAnsi="Arial"/>
          <w:color w:val="000000"/>
          <w:sz w:val="20"/>
        </w:rPr>
      </w:pPr>
      <w:r>
        <w:rPr>
          <w:rFonts w:ascii="Arial" w:hAnsi="Arial"/>
          <w:color w:val="000000"/>
          <w:sz w:val="20"/>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Heading2"/>
        <w:bidi w:val="0"/>
        <w:spacing w:before="240" w:after="283"/>
        <w:jc w:val="left"/>
        <w:rPr>
          <w:rFonts w:ascii="Times New Roman" w:hAnsi="Times New Roman"/>
          <w:sz w:val="20"/>
        </w:rPr>
      </w:pPr>
      <w:r>
        <w:rPr>
          <w:rFonts w:ascii="Arial" w:hAnsi="Arial"/>
          <w:b w:val="false"/>
          <w:i/>
          <w:color w:val="000000"/>
          <w:sz w:val="20"/>
        </w:rPr>
        <w:t>Internal-Use Software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capitalizes certain costs incurred for the development and implementation of computer software for internal use. These costs generally relate to the implementation of the third-party developed software for the Company's clinical development purposes. The Company capitalizes these costs when it is determined that it is probable that the project will be completed and the software will be used to perform the function intended, and the preliminary project stage is completed. Capitalized internal-use software development and implementation costs are included in Other assets and long-term deposits within the consolidated balance sheets. Capitalized implementation costs are amortized on a straight-line basis over the estimated useful lives of five years. Costs related to the preliminary project stage, post-implementation, training and maintenance are expensed as incurred.</w:t>
      </w:r>
    </w:p>
    <w:p>
      <w:pPr>
        <w:pStyle w:val="Heading2"/>
        <w:bidi w:val="0"/>
        <w:spacing w:before="240" w:after="283"/>
        <w:jc w:val="left"/>
        <w:rPr>
          <w:rFonts w:ascii="Times New Roman" w:hAnsi="Times New Roman"/>
          <w:sz w:val="20"/>
        </w:rPr>
      </w:pPr>
      <w:r>
        <w:rPr>
          <w:rFonts w:ascii="Arial" w:hAnsi="Arial"/>
          <w:b w:val="false"/>
          <w:i/>
          <w:color w:val="000000"/>
          <w:sz w:val="20"/>
        </w:rPr>
        <w:t>Comprehensive Loss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Comprehensive loss includes net loss and other comprehensive (loss) gain for each period presented. Other comprehensive (loss) gain represents net unrealized (loss) gain on marketable securities.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left"/>
        <w:rPr>
          <w:rFonts w:ascii="Arial" w:hAnsi="Arial"/>
          <w:b w:val="false"/>
          <w:i/>
          <w:color w:val="000000"/>
          <w:sz w:val="20"/>
        </w:rPr>
      </w:pPr>
      <w:r>
        <w:rPr>
          <w:rFonts w:ascii="Arial" w:hAnsi="Arial"/>
          <w:b w:val="false"/>
          <w:i/>
          <w:color w:val="000000"/>
          <w:sz w:val="20"/>
        </w:rPr>
        <w:t>Stock-Based Compensation</w:t>
      </w:r>
    </w:p>
    <w:p>
      <w:pPr>
        <w:pStyle w:val="Heading2"/>
        <w:bidi w:val="0"/>
        <w:spacing w:before="240" w:after="283"/>
        <w:jc w:val="both"/>
        <w:rPr>
          <w:rFonts w:ascii="Times New Roman" w:hAnsi="Times New Roman"/>
          <w:sz w:val="20"/>
        </w:rPr>
      </w:pPr>
      <w:r>
        <w:rPr>
          <w:rFonts w:ascii="Arial" w:hAnsi="Arial"/>
          <w:b w:val="false"/>
          <w:color w:val="000000"/>
          <w:sz w:val="20"/>
        </w:rPr>
        <w:t xml:space="preserve">The Company recognizes stock compensation in accordance with Accounting Standards Codification ("ASC") 718, </w:t>
      </w:r>
      <w:r>
        <w:rPr>
          <w:rFonts w:ascii="Arial" w:hAnsi="Arial"/>
          <w:b w:val="false"/>
          <w:i/>
          <w:color w:val="000000"/>
          <w:sz w:val="20"/>
        </w:rPr>
        <w:t>Compensation — Stock Compensation</w:t>
      </w:r>
      <w:r>
        <w:rPr>
          <w:rFonts w:ascii="Times New Roman" w:hAnsi="Times New Roman"/>
          <w:color w:val="000000"/>
          <w:sz w:val="20"/>
        </w:rPr>
        <w:t xml:space="preserve"> </w:t>
      </w:r>
      <w:r>
        <w:rPr>
          <w:rFonts w:ascii="Arial" w:hAnsi="Arial"/>
          <w:b w:val="false"/>
          <w:color w:val="000000"/>
          <w:sz w:val="20"/>
        </w:rPr>
        <w:t>(“ASC 718”). Stock-based compensation cost, including grants of stock options and restricted stock units issued under the Company’s equity incentive plans, and the 2020 Employee Stock Purchase Plan (the "ESPP"), is measured at the grant date based on the estimated fair value of the award and is recognized as an expense on a straight-line basis over the requisite service period, which is generally the vesting period.</w:t>
      </w:r>
      <w:r>
        <w:rPr>
          <w:rFonts w:ascii="Times New Roman" w:hAnsi="Times New Roman"/>
          <w:color w:val="000000"/>
          <w:sz w:val="20"/>
        </w:rPr>
        <w:t xml:space="preserve"> </w:t>
      </w:r>
    </w:p>
    <w:p>
      <w:pPr>
        <w:pStyle w:val="Heading2"/>
        <w:bidi w:val="0"/>
        <w:spacing w:before="240" w:after="283"/>
        <w:jc w:val="both"/>
        <w:rPr>
          <w:rFonts w:ascii="Arial" w:hAnsi="Arial"/>
          <w:b w:val="false"/>
          <w:color w:val="000000"/>
          <w:sz w:val="20"/>
        </w:rPr>
      </w:pPr>
      <w:r>
        <w:rPr>
          <w:rFonts w:ascii="Arial" w:hAnsi="Arial"/>
          <w:b w:val="false"/>
          <w:color w:val="000000"/>
          <w:sz w:val="20"/>
        </w:rPr>
        <w:t>The Company estimates the fair value of stock options with time-based vesting on the date of grant utilizing the Black-Scholes option-pricing model, which requires the input of subjective assumptions, including (i) the expected volatility of its stock, (ii) the expected term of the award, (iii) the risk-free interest rate, and (iv) expected dividends. The Company estimates the volatility of its stock based on a weighted average of the volatility of the Company's stock price and that of its peers. The Company will continue to apply this process until a sufficient amount of historical information regarding the volatility of its own stock price becomes available. The Company uses the simplified method to estimate the expected term of employee stock option grants, whereby the expected term is estimated to be the mid-point between the vesting date and the contractual term of the option. The risk-free rates for period within the expected term of the option are based on the U.S. Treasury yield curve during the period the options were granted. The expected dividend yield of zero is based on the fact that the Company has never paid dividends and does not expect to pay any cash dividends in the foreseeable future.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pStyle w:val="Heading2"/>
        <w:bidi w:val="0"/>
        <w:spacing w:before="240" w:after="283"/>
        <w:jc w:val="both"/>
        <w:rPr>
          <w:rFonts w:ascii="Arial" w:hAnsi="Arial"/>
          <w:b w:val="false"/>
          <w:color w:val="000000"/>
          <w:sz w:val="20"/>
        </w:rPr>
      </w:pPr>
      <w:r>
        <w:rPr>
          <w:rFonts w:ascii="Arial" w:hAnsi="Arial"/>
          <w:b w:val="false"/>
          <w:color w:val="000000"/>
          <w:sz w:val="20"/>
        </w:rPr>
        <w:t>The Company measures the fair value of restricted stock units ("RSU"s) based on the closing price of the Company's common stock on the grant date. Stock-based compensation expense for RSUs is recognized on a straight-line basis over the vesting term.</w:t>
      </w:r>
    </w:p>
    <w:p>
      <w:pPr>
        <w:pStyle w:val="Heading2"/>
        <w:bidi w:val="0"/>
        <w:spacing w:before="240" w:after="120"/>
        <w:jc w:val="both"/>
        <w:rPr>
          <w:rFonts w:ascii="Arial" w:hAnsi="Arial"/>
          <w:b w:val="false"/>
          <w:i/>
          <w:color w:val="000000"/>
          <w:sz w:val="20"/>
        </w:rPr>
      </w:pPr>
      <w:r>
        <w:rPr>
          <w:rFonts w:ascii="Arial" w:hAnsi="Arial"/>
          <w:b w:val="false"/>
          <w:i/>
          <w:color w:val="000000"/>
          <w:sz w:val="20"/>
        </w:rPr>
        <w:t>Equity Awards with Market and Service Conditions</w:t>
      </w:r>
    </w:p>
    <w:p>
      <w:pPr>
        <w:pStyle w:val="Heading2"/>
        <w:bidi w:val="0"/>
        <w:spacing w:before="120" w:after="120"/>
        <w:jc w:val="both"/>
        <w:rPr>
          <w:rFonts w:ascii="Arial" w:hAnsi="Arial"/>
          <w:b w:val="false"/>
          <w:color w:val="000000"/>
          <w:sz w:val="20"/>
        </w:rPr>
      </w:pPr>
      <w:r>
        <w:rPr>
          <w:rFonts w:ascii="Arial" w:hAnsi="Arial"/>
          <w:b w:val="false"/>
          <w:color w:val="000000"/>
          <w:sz w:val="20"/>
        </w:rPr>
        <w:t>The fair value and derived service period of performance-based awards granted with market and service conditions are estimated on the grant date using a Monte Carlo simulation model. A Monte Carlo simulation model requires inputs such as the risk-free interest rate, expected award term, expected share dilution and expected share price volatility. These inputs, which are subjective and generally require significant judgment, are unique to each award based on the best available information at the grant date. For such awards, stock-based compensation expense is recognized on a straight-line basis over the derived service period of each tranche. Stock-based compensation expense will continue to be recognized over the derived service period regardless of whether the awards' market-based vesting terms have been satisfied, so long as the requisite service is rendered by the grantee.</w:t>
      </w:r>
    </w:p>
    <w:p>
      <w:pPr>
        <w:pStyle w:val="Heading2"/>
        <w:bidi w:val="0"/>
        <w:spacing w:before="120" w:after="283"/>
        <w:jc w:val="left"/>
        <w:rPr>
          <w:rFonts w:ascii="Arial" w:hAnsi="Arial"/>
          <w:b w:val="false"/>
          <w:i/>
          <w:color w:val="000000"/>
          <w:sz w:val="20"/>
        </w:rPr>
      </w:pPr>
      <w:r>
        <w:rPr>
          <w:rFonts w:ascii="Arial" w:hAnsi="Arial"/>
          <w:b w:val="false"/>
          <w:i/>
          <w:color w:val="000000"/>
          <w:sz w:val="20"/>
        </w:rPr>
        <w:t>Foreign Currency Transactions</w:t>
      </w:r>
    </w:p>
    <w:p>
      <w:pPr>
        <w:pStyle w:val="TextBody"/>
        <w:bidi w:val="0"/>
        <w:spacing w:before="240" w:after="240"/>
        <w:jc w:val="both"/>
        <w:rPr>
          <w:rFonts w:ascii="Arial" w:hAnsi="Arial"/>
          <w:color w:val="000000"/>
          <w:sz w:val="20"/>
        </w:rPr>
      </w:pPr>
      <w:r>
        <w:rPr>
          <w:rFonts w:ascii="Arial" w:hAnsi="Arial"/>
          <w:color w:val="000000"/>
          <w:sz w:val="20"/>
        </w:rPr>
        <w:t>The functional currency of Olema Oncology Australia Pty Ltd and Olema Oncology International Limited, the Company’s wholly-owned subsidiaries,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condensed consolidated statements of operations.</w:t>
      </w:r>
    </w:p>
    <w:p>
      <w:pPr>
        <w:pStyle w:val="TextBody"/>
        <w:bidi w:val="0"/>
        <w:spacing w:before="0" w:after="240"/>
        <w:jc w:val="both"/>
        <w:rPr>
          <w:rFonts w:ascii="Arial" w:hAnsi="Arial"/>
          <w:color w:val="000000"/>
          <w:sz w:val="20"/>
        </w:rPr>
      </w:pPr>
      <w:r>
        <w:rPr>
          <w:rFonts w:ascii="Arial" w:hAnsi="Arial"/>
          <w:color w:val="000000"/>
          <w:sz w:val="20"/>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left"/>
        <w:rPr>
          <w:rFonts w:ascii="Times New Roman" w:hAnsi="Times New Roman"/>
          <w:sz w:val="20"/>
        </w:rPr>
      </w:pPr>
      <w:r>
        <w:rPr>
          <w:rFonts w:ascii="Arial" w:hAnsi="Arial"/>
          <w:b w:val="false"/>
          <w:i/>
          <w:color w:val="000000"/>
          <w:sz w:val="20"/>
        </w:rPr>
        <w:t>Pre-funded Warrants</w:t>
      </w:r>
      <w:r>
        <w:rPr>
          <w:rFonts w:ascii="Times New Roman" w:hAnsi="Times New Roman"/>
          <w:color w:val="000000"/>
          <w:sz w:val="20"/>
        </w:rPr>
        <w:t xml:space="preserve"> </w:t>
      </w:r>
    </w:p>
    <w:p>
      <w:pPr>
        <w:pStyle w:val="TextBody"/>
        <w:bidi w:val="0"/>
        <w:spacing w:before="240" w:after="240"/>
        <w:jc w:val="both"/>
        <w:rPr>
          <w:rFonts w:ascii="Arial" w:hAnsi="Arial"/>
          <w:color w:val="000000"/>
          <w:sz w:val="20"/>
        </w:rPr>
      </w:pPr>
      <w:r>
        <w:rPr>
          <w:rFonts w:ascii="Arial" w:hAnsi="Arial"/>
          <w:color w:val="000000"/>
          <w:sz w:val="20"/>
        </w:rPr>
        <w:t>The Company issued pre-funded warrants in connection with the 2024 Private Placement and the Exchange Transactions executed in November 2024 and January 2025. Refer to Note 12, "Pre-funded Warrants" for further details.</w:t>
      </w:r>
    </w:p>
    <w:p>
      <w:pPr>
        <w:pStyle w:val="TextBody"/>
        <w:bidi w:val="0"/>
        <w:jc w:val="both"/>
        <w:rPr>
          <w:rFonts w:ascii="Times New Roman" w:hAnsi="Times New Roman"/>
          <w:sz w:val="20"/>
        </w:rPr>
      </w:pPr>
      <w:r>
        <w:rPr>
          <w:rFonts w:ascii="Arial" w:hAnsi="Arial"/>
          <w:color w:val="000000"/>
          <w:sz w:val="20"/>
        </w:rPr>
        <w:t xml:space="preserve">The Company accounts for the pre-funded warrants as a freestanding equity-linked financial instrument that met the criteria for equity classification pursuant to ASC 480, </w:t>
      </w:r>
      <w:r>
        <w:rPr>
          <w:rFonts w:ascii="Arial" w:hAnsi="Arial"/>
          <w:i/>
          <w:color w:val="000000"/>
          <w:sz w:val="20"/>
        </w:rPr>
        <w:t xml:space="preserve">Distinguishing Liabilities from Equity </w:t>
      </w:r>
      <w:r>
        <w:rPr>
          <w:rFonts w:ascii="Arial" w:hAnsi="Arial"/>
          <w:color w:val="000000"/>
          <w:sz w:val="20"/>
        </w:rPr>
        <w:t xml:space="preserve">("ASC 480"), and ASC 815, </w:t>
      </w:r>
      <w:r>
        <w:rPr>
          <w:rFonts w:ascii="Arial" w:hAnsi="Arial"/>
          <w:i/>
          <w:color w:val="000000"/>
          <w:sz w:val="20"/>
        </w:rPr>
        <w:t xml:space="preserve">Derivatives and Hedging </w:t>
      </w:r>
      <w:r>
        <w:rPr>
          <w:rFonts w:ascii="Arial" w:hAnsi="Arial"/>
          <w:color w:val="000000"/>
          <w:sz w:val="20"/>
        </w:rPr>
        <w:t>("ASC 815"). Accordingly, the Company recorded the pre-funded warrants as a component of stockholders' equity within additional paid-in capital. The Company valued the pre-funded warrants at issuance, concluding that their sales price approximated their fair value. The pre-funded warrants are immediately exercisable at an exercise price of $0.0001</w:t>
      </w:r>
      <w:r>
        <w:rPr>
          <w:rFonts w:ascii="Times New Roman" w:hAnsi="Times New Roman"/>
          <w:color w:val="000000"/>
          <w:sz w:val="20"/>
        </w:rPr>
        <w:t xml:space="preserve"> </w:t>
      </w:r>
      <w:r>
        <w:rPr>
          <w:rFonts w:ascii="Arial" w:hAnsi="Arial"/>
          <w:color w:val="000000"/>
          <w:sz w:val="20"/>
        </w:rPr>
        <w:t>per share of the Company's common stock, subject to beneficial ownership limitations. Exercise of the pre-funded warrants is virtually assured because the underlying common shares will be issued for nominal cash consideration or at an exercise price of $0.0001</w:t>
      </w:r>
      <w:r>
        <w:rPr>
          <w:rFonts w:ascii="Times New Roman" w:hAnsi="Times New Roman"/>
          <w:color w:val="000000"/>
          <w:sz w:val="20"/>
        </w:rPr>
        <w:t xml:space="preserve"> </w:t>
      </w:r>
      <w:r>
        <w:rPr>
          <w:rFonts w:ascii="Arial" w:hAnsi="Arial"/>
          <w:color w:val="000000"/>
          <w:sz w:val="20"/>
        </w:rPr>
        <w:t>per share. All necessary conditions for issuance of the underlying common shares were met when the pre-funded warrants were issued, and as such, related pre-funded warrants shares were included in the denominator for both the basic and diluted earnings per share calculations.</w:t>
      </w:r>
    </w:p>
    <w:p>
      <w:pPr>
        <w:pStyle w:val="Heading2"/>
        <w:bidi w:val="0"/>
        <w:spacing w:before="240" w:after="283"/>
        <w:jc w:val="left"/>
        <w:rPr>
          <w:rFonts w:ascii="Arial" w:hAnsi="Arial"/>
          <w:b w:val="false"/>
          <w:i/>
          <w:color w:val="000000"/>
          <w:sz w:val="20"/>
        </w:rPr>
      </w:pPr>
      <w:r>
        <w:rPr>
          <w:rFonts w:ascii="Arial" w:hAnsi="Arial"/>
          <w:b w:val="false"/>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net loss per common share is computed by dividing the net loss per common share by the weighted average number of common shares outstanding for the period, including the pre-funded warrants shares.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the pre-funded warrants shares and potential dilutive common shares. For purpose of this calculation, outstanding stock options and contingently issuable common stock related to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pStyle w:val="Heading2"/>
        <w:bidi w:val="0"/>
        <w:spacing w:before="240" w:after="283"/>
        <w:jc w:val="left"/>
        <w:rPr>
          <w:rFonts w:ascii="Times New Roman" w:hAnsi="Times New Roman"/>
          <w:sz w:val="20"/>
        </w:rPr>
      </w:pPr>
      <w:r>
        <w:rPr>
          <w:rFonts w:ascii="Arial" w:hAnsi="Arial"/>
          <w:b w:val="false"/>
          <w:i/>
          <w:color w:val="000000"/>
          <w:sz w:val="20"/>
        </w:rPr>
        <w:t>Segment Reporting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 xml:space="preserve">The Company operates as a single operating and reportable segment. The Company’s Chief Executive Officer serves as the chief operating decision maker (“CODM”). The CODM reviews the Company’s financial information on a consolidated basis for purposes of assessing financial performance, making operating decisions, and allocating resources. The CODM uses consolidated net loss, as determined in accordance with U.S. GAAP and reported in the Company’s condensed consolidated statements of operations, as the measure of segment profit or loss. The measure of segment assets is reported in the Company's condensed consolidated balance sheet as total consolidated assets. In assessing segment performance and allocating resources, the CODM also reviews consolidated functional expenses, including research and development and general and administrative expenses. Other segment items included in consolidated net loss is primarily interest income, which is reflected in the consolidated statements of operations and comprehensive loss. </w:t>
      </w:r>
    </w:p>
    <w:p>
      <w:pPr>
        <w:pStyle w:val="TextBody"/>
        <w:bidi w:val="0"/>
        <w:spacing w:before="240" w:after="283"/>
        <w:jc w:val="both"/>
        <w:rPr/>
      </w:pPr>
      <w:r>
        <w:rPr/>
        <w:t> </w:t>
      </w:r>
    </w:p>
    <w:p>
      <w:pPr>
        <w:pStyle w:val="TextBody"/>
        <w:bidi w:val="0"/>
        <w:spacing w:before="0" w:after="240"/>
        <w:jc w:val="both"/>
        <w:rPr>
          <w:rFonts w:ascii="Arial" w:hAnsi="Arial"/>
          <w:i/>
          <w:color w:val="000000"/>
          <w:sz w:val="20"/>
        </w:rPr>
      </w:pPr>
      <w:r>
        <w:rPr>
          <w:rFonts w:ascii="Arial" w:hAnsi="Arial"/>
          <w:i/>
          <w:color w:val="000000"/>
          <w:sz w:val="20"/>
        </w:rPr>
        <w:t>Recent Accounting Pronouncements Not Yet Adopted</w:t>
      </w:r>
    </w:p>
    <w:p>
      <w:pPr>
        <w:pStyle w:val="TextBody"/>
        <w:bidi w:val="0"/>
        <w:spacing w:before="0" w:after="240"/>
        <w:jc w:val="both"/>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Disaggregation of Income Statement Expenses</w:t>
      </w:r>
      <w:r>
        <w:rPr>
          <w:rFonts w:ascii="Arial" w:hAnsi="Arial"/>
          <w:color w:val="000000"/>
          <w:sz w:val="20"/>
        </w:rPr>
        <w:t>, which requires public business entities to provide enhanced disclosures about specific expense categories in both interim and annual financial statements. The new standard requires entities to disclose in tabular format certain categories of expenses, including purchases of inventory, employee compensation, depreciation, intangible asset amortization, and other specified expense categories, along with a qualitative description of amounts remaining in relevant expense captions. The objective of this ASU is to provide investors with more detailed information to better assess an entity's performance and future cash flow prospects. ASU 2024-03 is effective for public business entities for annual reporting periods beginning after December 15, 2026, and interim reporting periods beginning after December 15, 2027. Early adoption is permitted. The Company is currently evaluating the impact of this standard on its consolidated financial statement disclosures.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 xml:space="preserve">In September 2025, the FASB issued ASU 2025-06, </w:t>
      </w:r>
      <w:r>
        <w:rPr>
          <w:rFonts w:ascii="Arial" w:hAnsi="Arial"/>
          <w:i/>
          <w:color w:val="000000"/>
          <w:sz w:val="20"/>
        </w:rPr>
        <w:t>Targeted Improvements to the Accounting for Internal-Use Software</w:t>
      </w:r>
      <w:r>
        <w:rPr>
          <w:rFonts w:ascii="Arial" w:hAnsi="Arial"/>
          <w:color w:val="000000"/>
          <w:sz w:val="20"/>
        </w:rPr>
        <w:t>, which modernizes the accounting guidance for costs associated with developing or obtaining internal-use software. The ASU eliminates the previous stage-based model (preliminary project stage, application development stage, and post-implementation stage) and replaces it with a principles-based approach that better aligns with modern software development practices, including agile and iterative methodologies. Under the new guidance, entities may begin capitalizing internal-use software development costs when (1) management has authorized and committed to funding the software project, and (2) it is probable that the project will be completed and the software will be used to perform the function intended. The ASU also supersedes the separate guidance on website development costs and incorporates it into the internal-use software framework. ASU 2025-06 is effective for all entities for annual reporting periods beginning after December 15, 2027, and interim reporting periods within those annual reporting periods. Early adoption is permitted as the beginning of an annual reporting period. The Company is currently evaluating the impact of this standard on its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On December 8, 2025, the FASB issued ASU 2025-11, </w:t>
      </w:r>
      <w:r>
        <w:rPr>
          <w:rFonts w:ascii="Arial" w:hAnsi="Arial"/>
          <w:i/>
          <w:color w:val="000000"/>
          <w:sz w:val="20"/>
        </w:rPr>
        <w:t>Interim Reporting (Topic 270): Narrow Scope Improvements</w:t>
      </w:r>
      <w:r>
        <w:rPr>
          <w:rFonts w:ascii="Arial" w:hAnsi="Arial"/>
          <w:color w:val="000000"/>
          <w:sz w:val="20"/>
        </w:rPr>
        <w:t xml:space="preserve">, which is intended to improve the navigability of the guidance in ASC 270, </w:t>
      </w:r>
      <w:r>
        <w:rPr>
          <w:rFonts w:ascii="Arial" w:hAnsi="Arial"/>
          <w:i/>
          <w:color w:val="000000"/>
          <w:sz w:val="20"/>
        </w:rPr>
        <w:t xml:space="preserve">Interim Reporting </w:t>
      </w:r>
      <w:r>
        <w:rPr>
          <w:rFonts w:ascii="Arial" w:hAnsi="Arial"/>
          <w:color w:val="000000"/>
          <w:sz w:val="20"/>
        </w:rPr>
        <w:t>("ASC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ASU 2025-11 is not intended to change the fundamental nature of interim reporting or expand or reduce current interim disclosure requirements. ASU 2025-11 is effective for all public business entities for interim reporting periods within annual reporting periods beginning after December 15, 2027. Early adoption is permitted. The Company is currently evaluating the impact of this standard on its consolidated financial statements.</w:t>
      </w:r>
    </w:p>
    <w:p>
      <w:pPr>
        <w:pStyle w:val="TextBody"/>
        <w:bidi w:val="0"/>
        <w:jc w:val="both"/>
        <w:rPr>
          <w:rFonts w:ascii="Arial" w:hAnsi="Arial"/>
          <w:color w:val="000000"/>
          <w:sz w:val="20"/>
        </w:rPr>
      </w:pPr>
      <w:r>
        <w:rPr>
          <w:rFonts w:ascii="Arial" w:hAnsi="Arial"/>
          <w:color w:val="000000"/>
          <w:sz w:val="20"/>
        </w:rPr>
        <w:t>The Company continues to monitor new accounting pronouncements issued by the FASB and does not believe that any pronouncements issued but not yet adopted as of the date of this report will have a material impact on the Company’s consolidated financial statements.</w:t>
      </w:r>
    </w:p>
    <w:p>
      <w:pPr>
        <w:pStyle w:val="TextBody"/>
        <w:bidi w:val="0"/>
        <w:spacing w:before="120" w:after="283"/>
        <w:jc w:val="both"/>
        <w:rPr>
          <w:rFonts w:ascii="Arial" w:hAnsi="Arial"/>
          <w:b/>
          <w:color w:val="000000"/>
          <w:sz w:val="20"/>
        </w:rPr>
      </w:pPr>
      <w:r>
        <w:rPr>
          <w:rFonts w:ascii="Arial" w:hAnsi="Arial"/>
          <w:b/>
          <w:color w:val="000000"/>
          <w:sz w:val="20"/>
        </w:rPr>
        <w:t>3.</w:t>
      </w:r>
    </w:p>
    <w:p>
      <w:pPr>
        <w:pStyle w:val="TextBody"/>
        <w:bidi w:val="0"/>
        <w:spacing w:before="120" w:after="283"/>
        <w:jc w:val="both"/>
        <w:rPr>
          <w:rFonts w:ascii="Arial" w:hAnsi="Arial"/>
          <w:b/>
          <w:color w:val="000000"/>
          <w:sz w:val="20"/>
        </w:rPr>
      </w:pPr>
      <w:r>
        <w:rPr>
          <w:rFonts w:ascii="Arial" w:hAnsi="Arial"/>
          <w:b/>
          <w:color w:val="000000"/>
          <w:sz w:val="20"/>
        </w:rPr>
        <w:t>Fair Value Measurement</w:t>
      </w:r>
    </w:p>
    <w:p>
      <w:pPr>
        <w:pStyle w:val="TextBody"/>
        <w:bidi w:val="0"/>
        <w:spacing w:before="240" w:after="283"/>
        <w:jc w:val="both"/>
        <w:rPr>
          <w:rFonts w:ascii="Times New Roman" w:hAnsi="Times New Roman"/>
          <w:sz w:val="20"/>
        </w:rPr>
      </w:pPr>
      <w:r>
        <w:rPr>
          <w:rFonts w:ascii="Arial" w:hAnsi="Arial"/>
          <w:color w:val="000000"/>
          <w:sz w:val="20"/>
        </w:rPr>
        <w:t xml:space="preserve">The Company assesses the fair value of financial instruments based on the provisions of ASC 820, </w:t>
      </w:r>
      <w:r>
        <w:rPr>
          <w:rFonts w:ascii="Arial" w:hAnsi="Arial"/>
          <w:i/>
          <w:color w:val="000000"/>
          <w:sz w:val="20"/>
        </w:rPr>
        <w:t>Fair Value Measurements</w:t>
      </w:r>
      <w:r>
        <w:rPr>
          <w:rFonts w:ascii="Arial" w:hAnsi="Arial"/>
          <w:color w:val="000000"/>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1 — Inputs are unadjusted quoted prices in active markets for identical assets or liabilities accessible to the reporting entity at the measurement date.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before="240" w:after="240"/>
        <w:jc w:val="both"/>
        <w:rPr>
          <w:rFonts w:ascii="Arial" w:hAnsi="Arial"/>
          <w:color w:val="000000"/>
          <w:sz w:val="20"/>
        </w:rPr>
      </w:pPr>
      <w:r>
        <w:rPr>
          <w:rFonts w:ascii="Arial" w:hAnsi="Arial"/>
          <w:color w:val="000000"/>
          <w:sz w:val="20"/>
        </w:rPr>
        <w:t>As of June 30, 2026, and December 31, 2025, the fair value of the Company’s financial assets that are measured at fair value on a recurring basis, which consist of cash equivalents and marketable securities classified as available-for-sale, are categorized in the table below based upon the lowest level of significant input to the valuations: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36,701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81,607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98,378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189,643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461,166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16,007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30,866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102,193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81,607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233,938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505,640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240" w:after="240"/>
        <w:jc w:val="both"/>
        <w:rPr>
          <w:rFonts w:ascii="Arial" w:hAnsi="Arial"/>
          <w:color w:val="000000"/>
          <w:sz w:val="20"/>
        </w:rPr>
      </w:pPr>
      <w:r>
        <w:rPr>
          <w:rFonts w:ascii="Arial" w:hAnsi="Arial"/>
          <w:color w:val="000000"/>
          <w:sz w:val="20"/>
        </w:rPr>
        <w:t>The amortized cost and fair value of cash equivalents and investments as of June 30, 2026 and December 31, 2025 were as follows:</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83"/>
        <w:gridCol w:w="196"/>
        <w:gridCol w:w="467"/>
        <w:gridCol w:w="146"/>
        <w:gridCol w:w="146"/>
        <w:gridCol w:w="238"/>
        <w:gridCol w:w="164"/>
        <w:gridCol w:w="544"/>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48,694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286,073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126,399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461,166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72"/>
        <w:gridCol w:w="188"/>
        <w:gridCol w:w="486"/>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48,503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300,732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156,405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505,640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marketable securities that had been in a consecutive loss position for more than 12 months as of June 30, 2026.</w:t>
      </w:r>
      <w:r>
        <w:rPr>
          <w:rFonts w:ascii="Times New Roman" w:hAnsi="Times New Roman"/>
          <w:color w:val="000000"/>
          <w:sz w:val="20"/>
        </w:rPr>
        <w:t xml:space="preserve"> </w:t>
      </w:r>
      <w:r>
        <w:rPr>
          <w:rFonts w:ascii="Arial" w:hAnsi="Arial"/>
          <w:color w:val="000000"/>
          <w:sz w:val="20"/>
        </w:rPr>
        <w:t>During the six months ended June 30, 2026, the Company did not recognize any other-than-temporary impairment loss. As of June 30, 2026, there was no</w:t>
      </w:r>
      <w:r>
        <w:rPr>
          <w:rFonts w:ascii="Times New Roman" w:hAnsi="Times New Roman"/>
          <w:color w:val="000000"/>
          <w:sz w:val="20"/>
        </w:rPr>
        <w:t xml:space="preserve"> </w:t>
      </w:r>
      <w:r>
        <w:rPr>
          <w:rFonts w:ascii="Arial" w:hAnsi="Arial"/>
          <w:color w:val="000000"/>
          <w:sz w:val="20"/>
        </w:rPr>
        <w:t>allowance for losses on available-for-sale debt securities attributable to credit risk.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June 30, 2026, all of the Company’s cash and cash equivalents primarily consisted of cash on deposit with U.S. banks denominated in U.S. dollars and Australian dollars, and investments in interest-bearing money market funds.</w:t>
      </w:r>
    </w:p>
    <w:p>
      <w:pPr>
        <w:pStyle w:val="TextBody"/>
        <w:bidi w:val="0"/>
        <w:spacing w:before="240" w:after="283"/>
        <w:jc w:val="both"/>
        <w:rPr>
          <w:rFonts w:ascii="Arial" w:hAnsi="Arial"/>
          <w:b/>
          <w:color w:val="000000"/>
          <w:sz w:val="20"/>
        </w:rPr>
      </w:pPr>
      <w:r>
        <w:rPr>
          <w:rFonts w:ascii="Arial" w:hAnsi="Arial"/>
          <w:b/>
          <w:color w:val="000000"/>
          <w:sz w:val="20"/>
        </w:rPr>
        <w:t>4.</w:t>
      </w:r>
    </w:p>
    <w:p>
      <w:pPr>
        <w:pStyle w:val="TextBody"/>
        <w:bidi w:val="0"/>
        <w:spacing w:before="240" w:after="283"/>
        <w:jc w:val="both"/>
        <w:rPr>
          <w:rFonts w:ascii="Arial" w:hAnsi="Arial"/>
          <w:b/>
          <w:color w:val="000000"/>
          <w:sz w:val="20"/>
        </w:rPr>
      </w:pPr>
      <w:r>
        <w:rPr>
          <w:rFonts w:ascii="Arial" w:hAnsi="Arial"/>
          <w:b/>
          <w:color w:val="000000"/>
          <w:sz w:val="20"/>
        </w:rPr>
        <w:t>Prepaid Expenses and Other Current Assets</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 consisted of the following (in thousands):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5049"/>
        <w:gridCol w:w="278"/>
        <w:gridCol w:w="402"/>
        <w:gridCol w:w="402"/>
        <w:gridCol w:w="1119"/>
        <w:gridCol w:w="278"/>
        <w:gridCol w:w="278"/>
        <w:gridCol w:w="416"/>
        <w:gridCol w:w="416"/>
        <w:gridCol w:w="1370"/>
        <w:gridCol w:w="197"/>
      </w:tblGrid>
      <w:tr>
        <w:trPr/>
        <w:tc>
          <w:tcPr>
            <w:tcW w:w="50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2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2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20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2,849</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G&amp;A related costs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2,089</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clinical development costs</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1,949</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Value added tax receivable</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prepaid and current assets¹</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40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27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4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w:t>
            </w:r>
          </w:p>
        </w:tc>
        <w:tc>
          <w:tcPr>
            <w:tcW w:w="19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8,806</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10,015</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08"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¹ Other current assets as of December 31, 2025 included a $0.5</w:t>
            </w:r>
            <w:r>
              <w:rPr>
                <w:rFonts w:ascii="Times New Roman" w:hAnsi="Times New Roman"/>
                <w:color w:val="000000"/>
                <w:sz w:val="20"/>
              </w:rPr>
              <w:t xml:space="preserve"> </w:t>
            </w:r>
            <w:r>
              <w:rPr>
                <w:rFonts w:ascii="Arial" w:hAnsi="Arial"/>
                <w:color w:val="000000"/>
                <w:sz w:val="18"/>
              </w:rPr>
              <w:t>million tax refund receivable from the Australian Taxation Office related to the 2025 calendar year, which was received in February 2026.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color w:val="000000"/>
          <w:sz w:val="20"/>
        </w:rPr>
      </w:pPr>
      <w:r>
        <w:rPr>
          <w:rFonts w:ascii="Arial" w:hAnsi="Arial"/>
          <w:b/>
          <w:color w:val="000000"/>
          <w:sz w:val="20"/>
        </w:rPr>
        <w:t>5.</w:t>
      </w:r>
    </w:p>
    <w:p>
      <w:pPr>
        <w:pStyle w:val="TextBody"/>
        <w:bidi w:val="0"/>
        <w:spacing w:before="40" w:after="283"/>
        <w:jc w:val="both"/>
        <w:rPr>
          <w:rFonts w:ascii="Arial" w:hAnsi="Arial"/>
          <w:b/>
          <w:color w:val="000000"/>
          <w:sz w:val="20"/>
        </w:rPr>
      </w:pPr>
      <w:r>
        <w:rPr>
          <w:rFonts w:ascii="Arial" w:hAnsi="Arial"/>
          <w:b/>
          <w:color w:val="000000"/>
          <w:sz w:val="20"/>
        </w:rPr>
        <w:t xml:space="preserve">Other Assets and Long-Term Deposits </w:t>
      </w:r>
    </w:p>
    <w:p>
      <w:pPr>
        <w:pStyle w:val="TextBody"/>
        <w:bidi w:val="0"/>
        <w:spacing w:before="240" w:after="283"/>
        <w:jc w:val="both"/>
        <w:rPr>
          <w:rFonts w:ascii="Arial" w:hAnsi="Arial"/>
          <w:color w:val="000000"/>
          <w:sz w:val="20"/>
        </w:rPr>
      </w:pPr>
      <w:r>
        <w:rPr>
          <w:rFonts w:ascii="Arial" w:hAnsi="Arial"/>
          <w:color w:val="000000"/>
          <w:sz w:val="20"/>
        </w:rPr>
        <w:t>Other assets and long-term deposits consisted of the following (in thousands):</w:t>
      </w:r>
    </w:p>
    <w:p>
      <w:pPr>
        <w:pStyle w:val="TextBody"/>
        <w:bidi w:val="0"/>
        <w:jc w:val="both"/>
        <w:rPr/>
      </w:pPr>
      <w:r>
        <w:rPr/>
        <w:t> </w:t>
      </w:r>
    </w:p>
    <w:tbl>
      <w:tblPr>
        <w:tblW w:w="6208" w:type="dxa"/>
        <w:jc w:val="left"/>
        <w:tblInd w:w="0" w:type="dxa"/>
        <w:tblLayout w:type="fixed"/>
        <w:tblCellMar>
          <w:top w:w="28" w:type="dxa"/>
          <w:left w:w="28" w:type="dxa"/>
          <w:bottom w:w="28" w:type="dxa"/>
          <w:right w:w="28" w:type="dxa"/>
        </w:tblCellMar>
      </w:tblPr>
      <w:tblGrid>
        <w:gridCol w:w="3361"/>
        <w:gridCol w:w="146"/>
        <w:gridCol w:w="211"/>
        <w:gridCol w:w="146"/>
        <w:gridCol w:w="691"/>
        <w:gridCol w:w="146"/>
        <w:gridCol w:w="146"/>
        <w:gridCol w:w="235"/>
        <w:gridCol w:w="163"/>
        <w:gridCol w:w="772"/>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development project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lease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b/>
          <w:color w:val="000000"/>
          <w:sz w:val="20"/>
        </w:rPr>
      </w:pPr>
      <w:r>
        <w:rPr>
          <w:rFonts w:ascii="Arial" w:hAnsi="Arial"/>
          <w:b/>
          <w:color w:val="000000"/>
          <w:sz w:val="20"/>
        </w:rPr>
        <w:t>6.</w:t>
      </w:r>
    </w:p>
    <w:p>
      <w:pPr>
        <w:pStyle w:val="TextBody"/>
        <w:bidi w:val="0"/>
        <w:spacing w:before="40" w:after="283"/>
        <w:jc w:val="both"/>
        <w:rPr>
          <w:rFonts w:ascii="Arial" w:hAnsi="Arial"/>
          <w:b/>
          <w:color w:val="000000"/>
          <w:sz w:val="20"/>
        </w:rPr>
      </w:pPr>
      <w:r>
        <w:rPr>
          <w:rFonts w:ascii="Arial" w:hAnsi="Arial"/>
          <w:b/>
          <w:color w:val="000000"/>
          <w:sz w:val="20"/>
        </w:rPr>
        <w:t>Accrued and Other Current Liabilities</w:t>
      </w:r>
    </w:p>
    <w:p>
      <w:pPr>
        <w:pStyle w:val="TextBody"/>
        <w:bidi w:val="0"/>
        <w:spacing w:before="240" w:after="283"/>
        <w:jc w:val="both"/>
        <w:rPr>
          <w:rFonts w:ascii="Times New Roman" w:hAnsi="Times New Roman"/>
          <w:sz w:val="20"/>
        </w:rPr>
      </w:pPr>
      <w:r>
        <w:rPr>
          <w:rFonts w:ascii="Arial" w:hAnsi="Arial"/>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7228" w:type="dxa"/>
        <w:jc w:val="left"/>
        <w:tblInd w:w="0" w:type="dxa"/>
        <w:tblLayout w:type="fixed"/>
        <w:tblCellMar>
          <w:top w:w="28" w:type="dxa"/>
          <w:left w:w="28" w:type="dxa"/>
          <w:bottom w:w="28" w:type="dxa"/>
          <w:right w:w="28" w:type="dxa"/>
        </w:tblCellMar>
      </w:tblPr>
      <w:tblGrid>
        <w:gridCol w:w="4381"/>
        <w:gridCol w:w="146"/>
        <w:gridCol w:w="211"/>
        <w:gridCol w:w="146"/>
        <w:gridCol w:w="691"/>
        <w:gridCol w:w="146"/>
        <w:gridCol w:w="146"/>
        <w:gridCol w:w="235"/>
        <w:gridCol w:w="163"/>
        <w:gridCol w:w="772"/>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corporate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payroll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rial" w:hAnsi="Arial"/>
          <w:b/>
          <w:color w:val="000000"/>
          <w:sz w:val="20"/>
        </w:rPr>
      </w:pPr>
      <w:r>
        <w:rPr>
          <w:rFonts w:ascii="Arial" w:hAnsi="Arial"/>
          <w:b/>
          <w:color w:val="000000"/>
          <w:sz w:val="20"/>
        </w:rPr>
        <w:t>7.</w:t>
      </w:r>
    </w:p>
    <w:p>
      <w:pPr>
        <w:pStyle w:val="TextBody"/>
        <w:bidi w:val="0"/>
        <w:spacing w:before="40" w:after="283"/>
        <w:jc w:val="left"/>
        <w:rPr>
          <w:rFonts w:ascii="Arial" w:hAnsi="Arial"/>
          <w:b/>
          <w:color w:val="000000"/>
          <w:sz w:val="20"/>
        </w:rPr>
      </w:pPr>
      <w:r>
        <w:rPr>
          <w:rFonts w:ascii="Arial" w:hAnsi="Arial"/>
          <w:b/>
          <w:color w:val="000000"/>
          <w:sz w:val="20"/>
        </w:rPr>
        <w:t>Stock-Based Compensation</w:t>
      </w:r>
    </w:p>
    <w:p>
      <w:pPr>
        <w:pStyle w:val="TextBody"/>
        <w:bidi w:val="0"/>
        <w:spacing w:before="240" w:after="283"/>
        <w:jc w:val="both"/>
        <w:rPr>
          <w:rFonts w:ascii="Arial" w:hAnsi="Arial"/>
          <w:color w:val="000000"/>
          <w:sz w:val="20"/>
        </w:rPr>
      </w:pPr>
      <w:r>
        <w:rPr>
          <w:rFonts w:ascii="Arial" w:hAnsi="Arial"/>
          <w:color w:val="000000"/>
          <w:sz w:val="20"/>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w:t>
      </w:r>
      <w:r>
        <w:rPr>
          <w:rFonts w:ascii="Times New Roman" w:hAnsi="Times New Roman"/>
          <w:color w:val="000000"/>
          <w:sz w:val="20"/>
        </w:rPr>
        <w:t xml:space="preserve"> </w:t>
      </w:r>
      <w:r>
        <w:rPr>
          <w:rFonts w:ascii="Arial" w:hAnsi="Arial"/>
          <w:color w:val="000000"/>
          <w:sz w:val="20"/>
        </w:rPr>
        <w:t>shares of the Company’s common stock, which is the sum of (i) 2,152,080</w:t>
      </w:r>
      <w:r>
        <w:rPr>
          <w:rFonts w:ascii="Times New Roman" w:hAnsi="Times New Roman"/>
          <w:color w:val="000000"/>
          <w:sz w:val="20"/>
        </w:rPr>
        <w:t xml:space="preserve"> </w:t>
      </w:r>
      <w:r>
        <w:rPr>
          <w:rFonts w:ascii="Arial" w:hAnsi="Arial"/>
          <w:color w:val="000000"/>
          <w:sz w:val="20"/>
        </w:rPr>
        <w:t>new shares, plus (ii) an additional number of shares not to exceed 4,342,430</w:t>
      </w:r>
      <w:r>
        <w:rPr>
          <w:rFonts w:ascii="Times New Roman" w:hAnsi="Times New Roman"/>
          <w:color w:val="000000"/>
          <w:sz w:val="20"/>
        </w:rPr>
        <w:t xml:space="preserve"> </w:t>
      </w:r>
      <w:r>
        <w:rPr>
          <w:rFonts w:ascii="Arial" w:hAnsi="Arial"/>
          <w:color w:val="000000"/>
          <w:sz w:val="20"/>
        </w:rPr>
        <w:t>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pStyle w:val="TextBody"/>
        <w:bidi w:val="0"/>
        <w:spacing w:before="240" w:after="283"/>
        <w:jc w:val="both"/>
        <w:rPr>
          <w:rFonts w:ascii="Times New Roman" w:hAnsi="Times New Roman"/>
          <w:sz w:val="20"/>
        </w:rPr>
      </w:pPr>
      <w:r>
        <w:rPr>
          <w:rFonts w:ascii="Arial" w:hAnsi="Arial"/>
          <w:color w:val="000000"/>
          <w:sz w:val="20"/>
        </w:rPr>
        <w:t>In 2022, the Board approved and adopted the Company’s 2022 Inducement Plan (the “2022 Inducement Plan”). Under the 2022 Inducement Plan, initially 2,000,000</w:t>
      </w:r>
      <w:r>
        <w:rPr>
          <w:rFonts w:ascii="Times New Roman" w:hAnsi="Times New Roman"/>
          <w:color w:val="000000"/>
          <w:sz w:val="20"/>
        </w:rPr>
        <w:t xml:space="preserve"> </w:t>
      </w:r>
      <w:r>
        <w:rPr>
          <w:rFonts w:ascii="Arial" w:hAnsi="Arial"/>
          <w:color w:val="000000"/>
          <w:sz w:val="20"/>
        </w:rPr>
        <w:t>shares of common stock were reserved for issuance. In December 2024, the Compensation Committee of the Board approved an increase of an additional 3,000,000</w:t>
      </w:r>
      <w:r>
        <w:rPr>
          <w:rFonts w:ascii="Times New Roman" w:hAnsi="Times New Roman"/>
          <w:color w:val="000000"/>
          <w:sz w:val="20"/>
        </w:rPr>
        <w:t xml:space="preserve"> </w:t>
      </w:r>
      <w:r>
        <w:rPr>
          <w:rFonts w:ascii="Arial" w:hAnsi="Arial"/>
          <w:color w:val="000000"/>
          <w:sz w:val="20"/>
        </w:rPr>
        <w:t>shares of common stock reserved for issuance under the 2022 Inducement Plan, which increase was made effective as of January 1, 2025. The 2022 Inducement Plan permits the grant of options, restricted stock awards, stock appreciation rights, restricted stock unit awards, performance awards, and other awards.</w:t>
      </w:r>
    </w:p>
    <w:p>
      <w:pPr>
        <w:pStyle w:val="TextBody"/>
        <w:bidi w:val="0"/>
        <w:spacing w:before="240" w:after="283"/>
        <w:jc w:val="both"/>
        <w:rPr>
          <w:rFonts w:ascii="Times New Roman" w:hAnsi="Times New Roman"/>
          <w:sz w:val="20"/>
        </w:rPr>
      </w:pPr>
      <w:r>
        <w:rPr>
          <w:rFonts w:ascii="Arial" w:hAnsi="Arial"/>
          <w:color w:val="000000"/>
          <w:sz w:val="20"/>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w:t>
      </w:r>
      <w:r>
        <w:rPr>
          <w:rFonts w:ascii="Times New Roman" w:hAnsi="Times New Roman"/>
          <w:color w:val="000000"/>
          <w:sz w:val="20"/>
        </w:rPr>
        <w:t xml:space="preserve"> </w:t>
      </w:r>
      <w:r>
        <w:rPr>
          <w:rFonts w:ascii="Arial" w:hAnsi="Arial"/>
          <w:color w:val="000000"/>
          <w:sz w:val="20"/>
        </w:rPr>
        <w:t>after the date of grant.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left"/>
        <w:rPr>
          <w:rFonts w:ascii="Arial" w:hAnsi="Arial"/>
          <w:b w:val="false"/>
          <w:i/>
          <w:color w:val="000000"/>
          <w:sz w:val="20"/>
        </w:rPr>
      </w:pPr>
      <w:r>
        <w:rPr>
          <w:rFonts w:ascii="Arial" w:hAnsi="Arial"/>
          <w:b w:val="false"/>
          <w:i/>
          <w:color w:val="000000"/>
          <w:sz w:val="20"/>
        </w:rPr>
        <w:t>Stock Option Valuation</w:t>
      </w:r>
    </w:p>
    <w:p>
      <w:pPr>
        <w:pStyle w:val="TextBody"/>
        <w:bidi w:val="0"/>
        <w:spacing w:before="240" w:after="283"/>
        <w:jc w:val="both"/>
        <w:rPr>
          <w:rFonts w:ascii="Arial" w:hAnsi="Arial"/>
          <w:color w:val="000000"/>
          <w:sz w:val="20"/>
        </w:rPr>
      </w:pPr>
      <w:r>
        <w:rPr>
          <w:rFonts w:ascii="Arial" w:hAnsi="Arial"/>
          <w:color w:val="000000"/>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0% since the Company has never paid cash dividends and does not expect to pay any cash dividends in the foreseeable future.</w:t>
      </w:r>
    </w:p>
    <w:p>
      <w:pPr>
        <w:pStyle w:val="TextBody"/>
        <w:bidi w:val="0"/>
        <w:spacing w:before="240" w:after="283"/>
        <w:jc w:val="both"/>
        <w:rPr>
          <w:rFonts w:ascii="Arial" w:hAnsi="Arial"/>
          <w:color w:val="000000"/>
          <w:sz w:val="20"/>
        </w:rPr>
      </w:pPr>
      <w:r>
        <w:rPr>
          <w:rFonts w:ascii="Arial" w:hAnsi="Arial"/>
          <w:color w:val="000000"/>
          <w:sz w:val="20"/>
        </w:rPr>
        <w:t>The assumptions that the Company used to determine the estimated grant-date fair value of stock options granted to employees and directors under the 2020 Plan and the 2022 Inducement Plan were as follows, presented as a weighted average:</w:t>
      </w:r>
    </w:p>
    <w:p>
      <w:pPr>
        <w:pStyle w:val="TextBody"/>
        <w:bidi w:val="0"/>
        <w:jc w:val="both"/>
        <w:rPr/>
      </w:pPr>
      <w:r>
        <w:rPr/>
        <w:t> </w:t>
      </w:r>
    </w:p>
    <w:tbl>
      <w:tblPr>
        <w:tblW w:w="4785" w:type="dxa"/>
        <w:jc w:val="left"/>
        <w:tblInd w:w="0" w:type="dxa"/>
        <w:tblLayout w:type="fixed"/>
        <w:tblCellMar>
          <w:top w:w="28" w:type="dxa"/>
          <w:left w:w="28" w:type="dxa"/>
          <w:bottom w:w="28" w:type="dxa"/>
          <w:right w:w="28" w:type="dxa"/>
        </w:tblCellMar>
      </w:tblPr>
      <w:tblGrid>
        <w:gridCol w:w="2266"/>
        <w:gridCol w:w="146"/>
        <w:gridCol w:w="146"/>
        <w:gridCol w:w="586"/>
        <w:gridCol w:w="286"/>
        <w:gridCol w:w="146"/>
        <w:gridCol w:w="146"/>
        <w:gridCol w:w="146"/>
        <w:gridCol w:w="586"/>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bidi w:val="0"/>
        <w:spacing w:before="40" w:after="283"/>
        <w:jc w:val="left"/>
        <w:rPr>
          <w:rFonts w:ascii="Arial" w:hAnsi="Arial"/>
          <w:b w:val="false"/>
          <w:i/>
          <w:color w:val="000000"/>
          <w:sz w:val="20"/>
        </w:rPr>
      </w:pPr>
      <w:r>
        <w:rPr>
          <w:rFonts w:ascii="Arial" w:hAnsi="Arial"/>
          <w:b w:val="false"/>
          <w:i/>
          <w:color w:val="000000"/>
          <w:sz w:val="20"/>
        </w:rPr>
        <w:t>Stock Option Activity</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stock option activity under the 2014 Plan, the 2020 Plan and the 2022 Inducement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41"/>
        <w:gridCol w:w="146"/>
        <w:gridCol w:w="146"/>
        <w:gridCol w:w="1066"/>
        <w:gridCol w:w="166"/>
        <w:gridCol w:w="146"/>
        <w:gridCol w:w="211"/>
        <w:gridCol w:w="146"/>
        <w:gridCol w:w="586"/>
        <w:gridCol w:w="146"/>
        <w:gridCol w:w="146"/>
        <w:gridCol w:w="240"/>
        <w:gridCol w:w="796"/>
        <w:gridCol w:w="146"/>
        <w:gridCol w:w="146"/>
        <w:gridCol w:w="230"/>
        <w:gridCol w:w="159"/>
        <w:gridCol w:w="869"/>
        <w:gridCol w:w="473"/>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8"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Intrinsic</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14,429,539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235,660</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4,417,899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Exercised¹</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17,866,963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68,682</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8,741,851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41,520</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expected to vest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9,125,112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27,162</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32" w:type="dxa"/>
            <w:gridSpan w:val="1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¹ Exercised amount includes 4,407</w:t>
            </w:r>
            <w:r>
              <w:rPr>
                <w:rFonts w:ascii="Times New Roman" w:hAnsi="Times New Roman"/>
                <w:color w:val="000000"/>
                <w:sz w:val="20"/>
              </w:rPr>
              <w:t> </w:t>
            </w:r>
            <w:r>
              <w:rPr>
                <w:rFonts w:ascii="Arial" w:hAnsi="Arial"/>
                <w:color w:val="000000"/>
                <w:sz w:val="18"/>
              </w:rPr>
              <w:t>shares withheld for taxes and net exercise transactions.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40" w:after="283"/>
        <w:jc w:val="left"/>
        <w:rPr/>
      </w:pPr>
      <w:r>
        <w:rPr/>
        <w:t> </w:t>
      </w:r>
    </w:p>
    <w:p>
      <w:pPr>
        <w:pStyle w:val="Heading2"/>
        <w:bidi w:val="0"/>
        <w:spacing w:before="40" w:after="283"/>
        <w:jc w:val="left"/>
        <w:rPr>
          <w:rFonts w:ascii="Arial" w:hAnsi="Arial"/>
          <w:b w:val="false"/>
          <w:i/>
          <w:color w:val="000000"/>
          <w:sz w:val="20"/>
        </w:rPr>
      </w:pPr>
      <w:r>
        <w:rPr>
          <w:rFonts w:ascii="Arial" w:hAnsi="Arial"/>
          <w:b w:val="false"/>
          <w:i/>
          <w:color w:val="000000"/>
          <w:sz w:val="20"/>
        </w:rPr>
        <w:t>Restricted Stock Units</w:t>
      </w:r>
    </w:p>
    <w:p>
      <w:pPr>
        <w:pStyle w:val="Heading2"/>
        <w:bidi w:val="0"/>
        <w:spacing w:before="40" w:after="283"/>
        <w:jc w:val="left"/>
        <w:rPr/>
      </w:pPr>
      <w:r>
        <w:rPr/>
        <w:t> </w:t>
      </w:r>
    </w:p>
    <w:p>
      <w:pPr>
        <w:pStyle w:val="Heading2"/>
        <w:bidi w:val="0"/>
        <w:spacing w:before="40" w:after="283"/>
        <w:jc w:val="both"/>
        <w:rPr>
          <w:rFonts w:ascii="Times New Roman" w:hAnsi="Times New Roman"/>
          <w:sz w:val="20"/>
        </w:rPr>
      </w:pPr>
      <w:r>
        <w:rPr>
          <w:rFonts w:ascii="Arial" w:hAnsi="Arial"/>
          <w:b w:val="false"/>
          <w:color w:val="000000"/>
          <w:sz w:val="20"/>
        </w:rPr>
        <w:t>During the six months ended June 30, 2026, the Company granted RSUs to non-executive employees under the 2020 Plan.</w:t>
      </w:r>
      <w:r>
        <w:rPr>
          <w:rFonts w:ascii="Times New Roman" w:hAnsi="Times New Roman"/>
          <w:color w:val="000000"/>
          <w:sz w:val="20"/>
        </w:rPr>
        <w:t xml:space="preserve"> </w:t>
      </w:r>
    </w:p>
    <w:p>
      <w:pPr>
        <w:pStyle w:val="Heading2"/>
        <w:bidi w:val="0"/>
        <w:spacing w:before="40" w:after="283"/>
        <w:jc w:val="left"/>
        <w:rPr/>
      </w:pPr>
      <w:r>
        <w:rPr/>
        <w:t> </w:t>
      </w:r>
    </w:p>
    <w:p>
      <w:pPr>
        <w:pStyle w:val="Heading2"/>
        <w:bidi w:val="0"/>
        <w:spacing w:before="40" w:after="283"/>
        <w:jc w:val="left"/>
        <w:rPr>
          <w:rFonts w:ascii="Arial" w:hAnsi="Arial"/>
          <w:b w:val="false"/>
          <w:color w:val="000000"/>
          <w:sz w:val="20"/>
        </w:rPr>
      </w:pPr>
      <w:r>
        <w:rPr>
          <w:rFonts w:ascii="Arial" w:hAnsi="Arial"/>
          <w:b w:val="false"/>
          <w:color w:val="000000"/>
          <w:sz w:val="20"/>
        </w:rPr>
        <w:t>The following table summarizes the RSU activity during the six months ended June 30, 2026:</w:t>
      </w:r>
    </w:p>
    <w:p>
      <w:pPr>
        <w:pStyle w:val="Heading2"/>
        <w:bidi w:val="0"/>
        <w:spacing w:before="40" w:after="283"/>
        <w:jc w:val="left"/>
        <w:rPr/>
      </w:pPr>
      <w:r>
        <w:rPr/>
        <w:t> </w:t>
      </w:r>
    </w:p>
    <w:tbl>
      <w:tblPr>
        <w:tblW w:w="8396" w:type="dxa"/>
        <w:jc w:val="left"/>
        <w:tblInd w:w="0" w:type="dxa"/>
        <w:tblLayout w:type="fixed"/>
        <w:tblCellMar>
          <w:top w:w="28" w:type="dxa"/>
          <w:left w:w="28" w:type="dxa"/>
          <w:bottom w:w="28" w:type="dxa"/>
          <w:right w:w="28" w:type="dxa"/>
        </w:tblCellMar>
      </w:tblPr>
      <w:tblGrid>
        <w:gridCol w:w="3421"/>
        <w:gridCol w:w="146"/>
        <w:gridCol w:w="146"/>
        <w:gridCol w:w="237"/>
        <w:gridCol w:w="1293"/>
        <w:gridCol w:w="166"/>
        <w:gridCol w:w="146"/>
        <w:gridCol w:w="530"/>
        <w:gridCol w:w="367"/>
        <w:gridCol w:w="1473"/>
        <w:gridCol w:w="47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3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 Fair Value</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(13,172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 as of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40" w:after="283"/>
        <w:jc w:val="left"/>
        <w:rPr/>
      </w:pPr>
      <w:r>
        <w:rPr/>
        <w:t> </w:t>
      </w:r>
    </w:p>
    <w:p>
      <w:pPr>
        <w:pStyle w:val="Heading2"/>
        <w:bidi w:val="0"/>
        <w:spacing w:before="40" w:after="283"/>
        <w:jc w:val="left"/>
        <w:rPr>
          <w:rFonts w:ascii="Arial" w:hAnsi="Arial"/>
          <w:b w:val="false"/>
          <w:i/>
          <w:color w:val="000000"/>
          <w:sz w:val="20"/>
        </w:rPr>
      </w:pPr>
      <w:r>
        <w:rPr>
          <w:rFonts w:ascii="Arial" w:hAnsi="Arial"/>
          <w:b w:val="false"/>
          <w:i/>
          <w:color w:val="000000"/>
          <w:sz w:val="20"/>
        </w:rPr>
        <w:t>Market-based Stock Options</w:t>
      </w:r>
    </w:p>
    <w:p>
      <w:pPr>
        <w:pStyle w:val="Heading2"/>
        <w:bidi w:val="0"/>
        <w:spacing w:before="40" w:after="283"/>
        <w:jc w:val="left"/>
        <w:rPr/>
      </w:pPr>
      <w:r>
        <w:rPr/>
        <w:t> </w:t>
      </w:r>
    </w:p>
    <w:p>
      <w:pPr>
        <w:pStyle w:val="Heading2"/>
        <w:bidi w:val="0"/>
        <w:spacing w:before="40" w:after="283"/>
        <w:jc w:val="both"/>
        <w:rPr>
          <w:rFonts w:ascii="Times New Roman" w:hAnsi="Times New Roman"/>
          <w:sz w:val="20"/>
        </w:rPr>
      </w:pPr>
      <w:r>
        <w:rPr>
          <w:rFonts w:ascii="Arial" w:hAnsi="Arial"/>
          <w:b w:val="false"/>
          <w:color w:val="000000"/>
          <w:sz w:val="20"/>
        </w:rPr>
        <w:t xml:space="preserve">On February 2, 2026, the Company granted stock options with market and service conditions under the 2020 Plan. These awards vest upon the achievement of specified stock price targets, subject to continued service. </w:t>
      </w:r>
      <w:r>
        <w:rPr>
          <w:rFonts w:ascii="Arial" w:hAnsi="Arial"/>
          <w:color w:val="000000"/>
          <w:sz w:val="20"/>
        </w:rPr>
        <w:t>The Company estimated the grant-date fair value of these awards using a Monte Carlo simulation model incorporating the following assumptions:</w:t>
      </w:r>
    </w:p>
    <w:p>
      <w:pPr>
        <w:pStyle w:val="Heading2"/>
        <w:bidi w:val="0"/>
        <w:spacing w:before="40" w:after="283"/>
        <w:jc w:val="both"/>
        <w:rPr/>
      </w:pPr>
      <w:r>
        <w:rPr/>
        <w:t> </w:t>
      </w:r>
    </w:p>
    <w:tbl>
      <w:tblPr>
        <w:tblW w:w="3580" w:type="dxa"/>
        <w:jc w:val="left"/>
        <w:tblInd w:w="0" w:type="dxa"/>
        <w:tblLayout w:type="fixed"/>
        <w:tblCellMar>
          <w:top w:w="28" w:type="dxa"/>
          <w:left w:w="28" w:type="dxa"/>
          <w:bottom w:w="28" w:type="dxa"/>
          <w:right w:w="28" w:type="dxa"/>
        </w:tblCellMar>
      </w:tblPr>
      <w:tblGrid>
        <w:gridCol w:w="2266"/>
        <w:gridCol w:w="146"/>
        <w:gridCol w:w="146"/>
        <w:gridCol w:w="691"/>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40" w:after="283"/>
        <w:jc w:val="left"/>
        <w:rPr/>
      </w:pPr>
      <w:r>
        <w:rPr/>
        <w:t> </w:t>
      </w:r>
    </w:p>
    <w:p>
      <w:pPr>
        <w:pStyle w:val="Heading2"/>
        <w:bidi w:val="0"/>
        <w:spacing w:before="40" w:after="283"/>
        <w:jc w:val="left"/>
        <w:rPr>
          <w:rFonts w:ascii="Arial" w:hAnsi="Arial"/>
          <w:b w:val="false"/>
          <w:color w:val="000000"/>
          <w:sz w:val="20"/>
        </w:rPr>
      </w:pPr>
      <w:r>
        <w:rPr>
          <w:rFonts w:ascii="Arial" w:hAnsi="Arial"/>
          <w:b w:val="false"/>
          <w:color w:val="000000"/>
          <w:sz w:val="20"/>
        </w:rPr>
        <w:t>The following table summarizes the market-based stock options activity during the six months ended June 30, 2026:</w:t>
      </w:r>
    </w:p>
    <w:p>
      <w:pPr>
        <w:pStyle w:val="Heading2"/>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35"/>
        <w:gridCol w:w="146"/>
        <w:gridCol w:w="146"/>
        <w:gridCol w:w="212"/>
        <w:gridCol w:w="1157"/>
        <w:gridCol w:w="146"/>
        <w:gridCol w:w="146"/>
        <w:gridCol w:w="347"/>
        <w:gridCol w:w="240"/>
        <w:gridCol w:w="966"/>
        <w:gridCol w:w="146"/>
        <w:gridCol w:w="146"/>
        <w:gridCol w:w="582"/>
        <w:gridCol w:w="582"/>
        <w:gridCol w:w="1931"/>
        <w:gridCol w:w="477"/>
      </w:tblGrid>
      <w:tr>
        <w:trPr/>
        <w:tc>
          <w:tcPr>
            <w:tcW w:w="2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8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6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09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 Remaining Contractual Term</w:t>
            </w:r>
          </w:p>
        </w:tc>
        <w:tc>
          <w:tcPr>
            <w:tcW w:w="4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both"/>
        <w:rPr>
          <w:rFonts w:ascii="Times New Roman" w:hAnsi="Times New Roman"/>
          <w:sz w:val="20"/>
        </w:rPr>
      </w:pPr>
      <w:r>
        <w:rPr>
          <w:rFonts w:ascii="Arial" w:hAnsi="Arial"/>
          <w:b w:val="false"/>
          <w:color w:val="000000"/>
          <w:sz w:val="20"/>
        </w:rPr>
        <w:t>The estimated grant date fair value of the market-based options was approximately $13.5</w:t>
      </w:r>
      <w:r>
        <w:rPr>
          <w:rFonts w:ascii="Times New Roman" w:hAnsi="Times New Roman"/>
          <w:color w:val="000000"/>
          <w:sz w:val="20"/>
        </w:rPr>
        <w:t xml:space="preserve"> </w:t>
      </w:r>
      <w:r>
        <w:rPr>
          <w:rFonts w:ascii="Arial" w:hAnsi="Arial"/>
          <w:b w:val="false"/>
          <w:color w:val="000000"/>
          <w:sz w:val="20"/>
        </w:rPr>
        <w:t>million.</w:t>
      </w:r>
    </w:p>
    <w:p>
      <w:pPr>
        <w:pStyle w:val="Heading2"/>
        <w:bidi w:val="0"/>
        <w:spacing w:before="240" w:after="283"/>
        <w:jc w:val="both"/>
        <w:rPr>
          <w:rFonts w:ascii="Times New Roman" w:hAnsi="Times New Roman"/>
          <w:sz w:val="20"/>
        </w:rPr>
      </w:pPr>
      <w:r>
        <w:rPr>
          <w:rFonts w:ascii="Arial" w:hAnsi="Arial"/>
          <w:b w:val="false"/>
          <w:i/>
          <w:color w:val="000000"/>
          <w:sz w:val="20"/>
        </w:rPr>
        <w:t>2020 Employee Stock Purchase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value of a share of the Company’s common stock on the first day of an offering; or (ii) 85% of the fair market value of a share of the Company’s common stock on the date of purchase. Each offering period is not to exceed 27 months</w:t>
      </w:r>
      <w:r>
        <w:rPr>
          <w:rFonts w:ascii="Times New Roman" w:hAnsi="Times New Roman"/>
          <w:color w:val="000000"/>
          <w:sz w:val="20"/>
        </w:rPr>
        <w:t xml:space="preserve"> </w:t>
      </w:r>
      <w:r>
        <w:rPr>
          <w:rFonts w:ascii="Arial" w:hAnsi="Arial"/>
          <w:color w:val="000000"/>
          <w:sz w:val="20"/>
        </w:rPr>
        <w:t>and will include one or more purchase periods (each a “Purchase Period”) as approved by the Board in the offering. A total of 430,416</w:t>
      </w:r>
      <w:r>
        <w:rPr>
          <w:rFonts w:ascii="Times New Roman" w:hAnsi="Times New Roman"/>
          <w:color w:val="000000"/>
          <w:sz w:val="20"/>
        </w:rPr>
        <w:t xml:space="preserve"> </w:t>
      </w:r>
      <w:r>
        <w:rPr>
          <w:rFonts w:ascii="Arial" w:hAnsi="Arial"/>
          <w:color w:val="000000"/>
          <w:sz w:val="20"/>
        </w:rPr>
        <w:t>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w:t>
      </w:r>
      <w:r>
        <w:rPr>
          <w:rFonts w:ascii="Times New Roman" w:hAnsi="Times New Roman"/>
          <w:color w:val="000000"/>
          <w:sz w:val="20"/>
        </w:rPr>
        <w:t xml:space="preserve"> </w:t>
      </w:r>
      <w:r>
        <w:rPr>
          <w:rFonts w:ascii="Arial" w:hAnsi="Arial"/>
          <w:color w:val="000000"/>
          <w:sz w:val="20"/>
        </w:rPr>
        <w:t>shares of common stock, or (iii) a lesser number of shares determined by the Board no later than December 31 of the preceding calendar year.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ESPP is a compensatory plan as defined by the authoritative guidance for stock-based compensation. The Company uses the Black-Scholes option-pricing model to estimate the fair value of stock offered under the ESPP. Stock-based compensation expense related to the ESPP was $0.4</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for the three-month periods ended June 30, 2026 and 2025, and $0.7</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for the six-month periods ended June 30, 2026 and 2025, respectively.</w:t>
      </w:r>
    </w:p>
    <w:p>
      <w:pPr>
        <w:pStyle w:val="Heading2"/>
        <w:bidi w:val="0"/>
        <w:spacing w:before="240" w:after="283"/>
        <w:jc w:val="both"/>
        <w:rPr>
          <w:rFonts w:ascii="Arial" w:hAnsi="Arial"/>
          <w:b w:val="false"/>
          <w:i/>
          <w:color w:val="000000"/>
          <w:sz w:val="20"/>
        </w:rPr>
      </w:pPr>
      <w:r>
        <w:rPr>
          <w:rFonts w:ascii="Arial" w:hAnsi="Arial"/>
          <w:b w:val="false"/>
          <w:i/>
          <w:color w:val="000000"/>
          <w:sz w:val="20"/>
        </w:rPr>
        <w:t>Stock-Based Compensation Expense</w:t>
      </w:r>
    </w:p>
    <w:p>
      <w:pPr>
        <w:pStyle w:val="TextBody"/>
        <w:bidi w:val="0"/>
        <w:spacing w:before="240" w:after="283"/>
        <w:jc w:val="both"/>
        <w:rPr>
          <w:rFonts w:ascii="Arial" w:hAnsi="Arial"/>
          <w:color w:val="000000"/>
          <w:sz w:val="20"/>
        </w:rPr>
      </w:pPr>
      <w:r>
        <w:rPr>
          <w:rFonts w:ascii="Arial" w:hAnsi="Arial"/>
          <w:color w:val="000000"/>
          <w:sz w:val="20"/>
        </w:rPr>
        <w:t>Stock-based compensation expense related to awards granted under the 2014 Plan, the 2020 Plan, the ESPP and the 2022 Inducement Plan was classified in the condensed consolidated statements of operations and comprehensive loss as follows (in thousands):</w:t>
      </w:r>
    </w:p>
    <w:p>
      <w:pPr>
        <w:pStyle w:val="TextBody"/>
        <w:bidi w:val="0"/>
        <w:spacing w:before="240" w:after="283"/>
        <w:jc w:val="both"/>
        <w:rPr/>
      </w:pPr>
      <w:r>
        <w:rPr/>
        <w:t> </w:t>
      </w:r>
    </w:p>
    <w:tbl>
      <w:tblPr>
        <w:tblW w:w="7860" w:type="dxa"/>
        <w:jc w:val="left"/>
        <w:tblInd w:w="0" w:type="dxa"/>
        <w:tblLayout w:type="fixed"/>
        <w:tblCellMar>
          <w:top w:w="28" w:type="dxa"/>
          <w:left w:w="28" w:type="dxa"/>
          <w:bottom w:w="28" w:type="dxa"/>
          <w:right w:w="28" w:type="dxa"/>
        </w:tblCellMar>
      </w:tblPr>
      <w:tblGrid>
        <w:gridCol w:w="2491"/>
        <w:gridCol w:w="146"/>
        <w:gridCol w:w="227"/>
        <w:gridCol w:w="157"/>
        <w:gridCol w:w="744"/>
        <w:gridCol w:w="157"/>
        <w:gridCol w:w="157"/>
        <w:gridCol w:w="227"/>
        <w:gridCol w:w="157"/>
        <w:gridCol w:w="631"/>
        <w:gridCol w:w="146"/>
        <w:gridCol w:w="146"/>
        <w:gridCol w:w="211"/>
        <w:gridCol w:w="146"/>
        <w:gridCol w:w="691"/>
        <w:gridCol w:w="146"/>
        <w:gridCol w:w="146"/>
        <w:gridCol w:w="211"/>
        <w:gridCol w:w="146"/>
        <w:gridCol w:w="58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7"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283"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4,012</w:t>
            </w:r>
          </w:p>
        </w:tc>
        <w:tc>
          <w:tcPr>
            <w:tcW w:w="1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2,060</w:t>
            </w:r>
          </w:p>
        </w:tc>
        <w:tc>
          <w:tcPr>
            <w:tcW w:w="1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12,903</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40" w:after="283"/>
        <w:jc w:val="both"/>
        <w:rPr>
          <w:rFonts w:ascii="Arial" w:hAnsi="Arial"/>
          <w:b/>
          <w:color w:val="000000"/>
          <w:sz w:val="20"/>
        </w:rPr>
      </w:pPr>
      <w:r>
        <w:rPr>
          <w:rFonts w:ascii="Arial" w:hAnsi="Arial"/>
          <w:b/>
          <w:color w:val="000000"/>
          <w:sz w:val="20"/>
        </w:rPr>
        <w:t>8.</w:t>
      </w:r>
    </w:p>
    <w:p>
      <w:pPr>
        <w:pStyle w:val="TextBody"/>
        <w:bidi w:val="0"/>
        <w:spacing w:before="40" w:after="283"/>
        <w:jc w:val="both"/>
        <w:rPr>
          <w:rFonts w:ascii="Arial" w:hAnsi="Arial"/>
          <w:b/>
          <w:color w:val="000000"/>
          <w:sz w:val="20"/>
        </w:rPr>
      </w:pPr>
      <w:r>
        <w:rPr>
          <w:rFonts w:ascii="Arial" w:hAnsi="Arial"/>
          <w:b/>
          <w:color w:val="000000"/>
          <w:sz w:val="20"/>
        </w:rPr>
        <w:t>Net Loss Per Common Share</w:t>
      </w:r>
    </w:p>
    <w:p>
      <w:pPr>
        <w:pStyle w:val="Heading2"/>
        <w:bidi w:val="0"/>
        <w:spacing w:before="240" w:after="283"/>
        <w:jc w:val="both"/>
        <w:rPr>
          <w:rFonts w:ascii="Arial" w:hAnsi="Arial"/>
          <w:b w:val="false"/>
          <w:i/>
          <w:color w:val="000000"/>
          <w:sz w:val="20"/>
        </w:rPr>
      </w:pPr>
      <w:r>
        <w:rPr>
          <w:rFonts w:ascii="Arial" w:hAnsi="Arial"/>
          <w:b w:val="false"/>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and diluted net loss per common share was calculated as follows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58"/>
        <w:gridCol w:w="146"/>
        <w:gridCol w:w="211"/>
        <w:gridCol w:w="1171"/>
        <w:gridCol w:w="146"/>
        <w:gridCol w:w="211"/>
        <w:gridCol w:w="1066"/>
        <w:gridCol w:w="146"/>
        <w:gridCol w:w="211"/>
        <w:gridCol w:w="1171"/>
        <w:gridCol w:w="146"/>
        <w:gridCol w:w="211"/>
        <w:gridCol w:w="1111"/>
      </w:tblGrid>
      <w:tr>
        <w:trPr/>
        <w:tc>
          <w:tcPr>
            <w:tcW w:w="4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42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05"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85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r>
      <w:tr>
        <w:trPr/>
        <w:tc>
          <w:tcPr>
            <w:tcW w:w="4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 average shares used to compute net loss per share, basic and diluted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104,453,732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85,497,426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103,631,483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85,462,021</w:t>
            </w:r>
          </w:p>
        </w:tc>
      </w:tr>
      <w:tr>
        <w:trPr/>
        <w:tc>
          <w:tcPr>
            <w:tcW w:w="4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(0.87)</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Reflects the weighted average effect of the pre-funded warrants on the calculation of basic and diluted net loss per share.</w:t>
            </w:r>
          </w:p>
        </w:tc>
      </w:tr>
      <w:tr>
        <w:trPr/>
        <w:tc>
          <w:tcPr>
            <w:tcW w:w="4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The potentially dilutive shares that were excluded from the calculation of diluted net loss per share because their effect would have been anti-dilutive for the periods presented are as follows:</w:t>
      </w:r>
    </w:p>
    <w:p>
      <w:pPr>
        <w:pStyle w:val="TextBody"/>
        <w:bidi w:val="0"/>
        <w:jc w:val="both"/>
        <w:rPr/>
      </w:pPr>
      <w:r>
        <w:rPr/>
        <w:t> </w:t>
      </w:r>
    </w:p>
    <w:tbl>
      <w:tblPr>
        <w:tblW w:w="7539" w:type="dxa"/>
        <w:jc w:val="left"/>
        <w:tblInd w:w="0" w:type="dxa"/>
        <w:tblLayout w:type="fixed"/>
        <w:tblCellMar>
          <w:top w:w="28" w:type="dxa"/>
          <w:left w:w="28" w:type="dxa"/>
          <w:bottom w:w="28" w:type="dxa"/>
          <w:right w:w="28" w:type="dxa"/>
        </w:tblCellMar>
      </w:tblPr>
      <w:tblGrid>
        <w:gridCol w:w="4486"/>
        <w:gridCol w:w="146"/>
        <w:gridCol w:w="146"/>
        <w:gridCol w:w="1066"/>
        <w:gridCol w:w="146"/>
        <w:gridCol w:w="146"/>
        <w:gridCol w:w="146"/>
        <w:gridCol w:w="1066"/>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17,866,963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15,174,024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market-based 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18,934,386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15,174,024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40"/>
        <w:jc w:val="both"/>
        <w:rPr>
          <w:rFonts w:ascii="Arial" w:hAnsi="Arial"/>
          <w:b/>
          <w:color w:val="000000"/>
          <w:sz w:val="20"/>
        </w:rPr>
      </w:pPr>
      <w:r>
        <w:rPr>
          <w:rFonts w:ascii="Arial" w:hAnsi="Arial"/>
          <w:b/>
          <w:color w:val="000000"/>
          <w:sz w:val="20"/>
        </w:rPr>
        <w:t>9.</w:t>
      </w:r>
    </w:p>
    <w:p>
      <w:pPr>
        <w:pStyle w:val="TextBody"/>
        <w:bidi w:val="0"/>
        <w:spacing w:before="40" w:after="240"/>
        <w:jc w:val="both"/>
        <w:rPr>
          <w:rFonts w:ascii="Arial" w:hAnsi="Arial"/>
          <w:b/>
          <w:color w:val="000000"/>
          <w:sz w:val="20"/>
        </w:rPr>
      </w:pPr>
      <w:r>
        <w:rPr>
          <w:rFonts w:ascii="Arial" w:hAnsi="Arial"/>
          <w:b/>
          <w:color w:val="000000"/>
          <w:sz w:val="20"/>
        </w:rPr>
        <w:t>Leases</w:t>
      </w:r>
    </w:p>
    <w:p>
      <w:pPr>
        <w:pStyle w:val="TextBody"/>
        <w:bidi w:val="0"/>
        <w:spacing w:before="0" w:after="240"/>
        <w:jc w:val="both"/>
        <w:rPr>
          <w:rFonts w:ascii="Times New Roman" w:hAnsi="Times New Roman"/>
          <w:sz w:val="20"/>
        </w:rPr>
      </w:pPr>
      <w:r>
        <w:rPr>
          <w:rFonts w:ascii="Arial" w:hAnsi="Arial"/>
          <w:color w:val="000000"/>
          <w:sz w:val="20"/>
        </w:rPr>
        <w:t>The Company leases certain of its facilities under non-cancellable operating leases expiring at various dates into 2027.</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December 15, 2020, the Company entered into a lease agreement with Tennieh LLC to lease approximately 9,800</w:t>
      </w:r>
      <w:r>
        <w:rPr>
          <w:rFonts w:ascii="Times New Roman" w:hAnsi="Times New Roman"/>
          <w:color w:val="000000"/>
          <w:sz w:val="20"/>
        </w:rPr>
        <w:t xml:space="preserve"> </w:t>
      </w:r>
      <w:r>
        <w:rPr>
          <w:rFonts w:ascii="Arial" w:hAnsi="Arial"/>
          <w:color w:val="000000"/>
          <w:sz w:val="20"/>
        </w:rPr>
        <w:t>square feet of office and lab space in San Francisco, California (the “Laboratory Lease Agreement”). The Laboratory Lease Agreement was for a period of five years</w:t>
      </w:r>
      <w:r>
        <w:rPr>
          <w:rFonts w:ascii="Times New Roman" w:hAnsi="Times New Roman"/>
          <w:color w:val="000000"/>
          <w:sz w:val="20"/>
        </w:rPr>
        <w:t xml:space="preserve"> </w:t>
      </w:r>
      <w:r>
        <w:rPr>
          <w:rFonts w:ascii="Arial" w:hAnsi="Arial"/>
          <w:color w:val="000000"/>
          <w:sz w:val="20"/>
        </w:rPr>
        <w:t>commencing approximately February 1, 2021 and ending January 31, 2026. In April 2025, the Company exercised its option to extend the lease term by an additional year, resulting in a revised expiration date of January 31, 2027. The modification was accounted under ASC 842, resulting in a remeasurement of the lease liability and a corresponding $0.8</w:t>
      </w:r>
      <w:r>
        <w:rPr>
          <w:rFonts w:ascii="Times New Roman" w:hAnsi="Times New Roman"/>
          <w:color w:val="000000"/>
          <w:sz w:val="20"/>
        </w:rPr>
        <w:t xml:space="preserve"> </w:t>
      </w:r>
      <w:r>
        <w:rPr>
          <w:rFonts w:ascii="Arial" w:hAnsi="Arial"/>
          <w:color w:val="000000"/>
          <w:sz w:val="20"/>
        </w:rPr>
        <w:t>million increase to the ROU asset. The incremental borrowing rate was also updated as part of the remeasurement. According to the terms of the Laboratory Lease Agreement, the Company paid a $0.4</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No additional security deposit was paid in connection with the amendment.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August 17, 2023, the Company entered into a sublease agreement with Dropbox, Inc. to sublease approximately 6,713</w:t>
      </w:r>
      <w:r>
        <w:rPr>
          <w:rFonts w:ascii="Times New Roman" w:hAnsi="Times New Roman"/>
          <w:color w:val="000000"/>
          <w:sz w:val="20"/>
        </w:rPr>
        <w:t xml:space="preserve"> </w:t>
      </w:r>
      <w:r>
        <w:rPr>
          <w:rFonts w:ascii="Arial" w:hAnsi="Arial"/>
          <w:color w:val="000000"/>
          <w:sz w:val="20"/>
        </w:rPr>
        <w:t>square feet of office space in San Francisco, California (the “Dropbox Sublease Agreement”). The Dropbox Sublease Agreement was for a period of two years</w:t>
      </w:r>
      <w:r>
        <w:rPr>
          <w:rFonts w:ascii="Times New Roman" w:hAnsi="Times New Roman"/>
          <w:color w:val="000000"/>
          <w:sz w:val="20"/>
        </w:rPr>
        <w:t xml:space="preserve"> </w:t>
      </w:r>
      <w:r>
        <w:rPr>
          <w:rFonts w:ascii="Arial" w:hAnsi="Arial"/>
          <w:color w:val="000000"/>
          <w:sz w:val="20"/>
        </w:rPr>
        <w:t>commencing on September 5, 2023 and ending December 31, 2025. In June 2025, the Company entered into a First Amendment to the Dropbox Sublease Agreement and exercised its option to extend the lease term by an additional year, resulting in a revised expiration date of December 31, 2026. The modification was accounted under ASC 842, resulting in a remeasurement of the lease liability and a corresponding $0.1</w:t>
      </w:r>
      <w:r>
        <w:rPr>
          <w:rFonts w:ascii="Times New Roman" w:hAnsi="Times New Roman"/>
          <w:color w:val="000000"/>
          <w:sz w:val="20"/>
        </w:rPr>
        <w:t xml:space="preserve"> </w:t>
      </w:r>
      <w:r>
        <w:rPr>
          <w:rFonts w:ascii="Arial" w:hAnsi="Arial"/>
          <w:color w:val="000000"/>
          <w:sz w:val="20"/>
        </w:rPr>
        <w:t>million increase to the ROU asset. The incremental borrowing rate was also updated as part of the remeasurement. In January 2026, the Company entered into a Second Amendment to the Dropbox Sublease Agreement, which did not have a material economic impact on the existing lease.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August 23, 2023, the Company entered into a lease agreement with The Cambridge Redevelopment Authority to lease approximately 4,020</w:t>
      </w:r>
      <w:r>
        <w:rPr>
          <w:rFonts w:ascii="Times New Roman" w:hAnsi="Times New Roman"/>
          <w:color w:val="000000"/>
          <w:sz w:val="20"/>
        </w:rPr>
        <w:t xml:space="preserve"> </w:t>
      </w:r>
      <w:r>
        <w:rPr>
          <w:rFonts w:ascii="Arial" w:hAnsi="Arial"/>
          <w:color w:val="000000"/>
          <w:sz w:val="20"/>
        </w:rPr>
        <w:t>square feet of office space in Cambridge, Massachusetts (the “Cambridge Lease Agreement”). The Cambridge Lease Agreement is for a period of three years</w:t>
      </w:r>
      <w:r>
        <w:rPr>
          <w:rFonts w:ascii="Times New Roman" w:hAnsi="Times New Roman"/>
          <w:color w:val="000000"/>
          <w:sz w:val="20"/>
        </w:rPr>
        <w:t xml:space="preserve"> </w:t>
      </w:r>
      <w:r>
        <w:rPr>
          <w:rFonts w:ascii="Arial" w:hAnsi="Arial"/>
          <w:color w:val="000000"/>
          <w:sz w:val="20"/>
        </w:rPr>
        <w:t>commencing on September 15, 2023 and ending September 14, 2026. According to the terms of the Cambridge Lease Agreement, the Company paid a less than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The lease was accounted for under Topic 842 and the Company recorded ROU asset and lease liability of $0.7</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at inception of the lease. In January 2026, the Company entered into a First Amendment to the Cambridge Lease Agreement, which extended the lease term by six months, from September 15, 2026 through March 14, 2027, and granted the Company an early termination option. The First Amendment was accounted for as a lease modification under ASC 842. The related operating lease liability and ROU asset were remeasured using an updated incremental borrowing rate as of the modification date, resulting in an increase of less than $0.1</w:t>
      </w:r>
      <w:r>
        <w:rPr>
          <w:rFonts w:ascii="Times New Roman" w:hAnsi="Times New Roman"/>
          <w:color w:val="000000"/>
          <w:sz w:val="20"/>
        </w:rPr>
        <w:t xml:space="preserve"> </w:t>
      </w:r>
      <w:r>
        <w:rPr>
          <w:rFonts w:ascii="Arial" w:hAnsi="Arial"/>
          <w:color w:val="000000"/>
          <w:sz w:val="20"/>
        </w:rPr>
        <w:t>million to the lease liability and a corresponding increase to the ROU asset.</w:t>
      </w:r>
    </w:p>
    <w:p>
      <w:pPr>
        <w:pStyle w:val="TextBody"/>
        <w:bidi w:val="0"/>
        <w:spacing w:before="0" w:after="240"/>
        <w:jc w:val="both"/>
        <w:rPr>
          <w:rFonts w:ascii="Times New Roman" w:hAnsi="Times New Roman"/>
          <w:sz w:val="20"/>
        </w:rPr>
      </w:pPr>
      <w:r>
        <w:rPr>
          <w:rFonts w:ascii="Arial" w:hAnsi="Arial"/>
          <w:color w:val="000000"/>
          <w:sz w:val="20"/>
        </w:rPr>
        <w:t>On April 27, 2026, the Company entered into a lease agreement with KR Oyster Point II, LLC to lease an aggregate of approximately 38,176</w:t>
      </w:r>
      <w:r>
        <w:rPr>
          <w:rFonts w:ascii="Times New Roman" w:hAnsi="Times New Roman"/>
          <w:color w:val="000000"/>
          <w:sz w:val="20"/>
        </w:rPr>
        <w:t xml:space="preserve"> </w:t>
      </w:r>
      <w:r>
        <w:rPr>
          <w:rFonts w:ascii="Arial" w:hAnsi="Arial"/>
          <w:color w:val="000000"/>
          <w:sz w:val="20"/>
        </w:rPr>
        <w:t>square feet of office and laboratory space to serve as the Company's new corporate headquarters (the “Oyster Point Lease Agreement”), consisting of approximately 25,048</w:t>
      </w:r>
      <w:r>
        <w:rPr>
          <w:rFonts w:ascii="Times New Roman" w:hAnsi="Times New Roman"/>
          <w:color w:val="000000"/>
          <w:sz w:val="20"/>
        </w:rPr>
        <w:t xml:space="preserve"> </w:t>
      </w:r>
      <w:r>
        <w:rPr>
          <w:rFonts w:ascii="Arial" w:hAnsi="Arial"/>
          <w:color w:val="000000"/>
          <w:sz w:val="20"/>
        </w:rPr>
        <w:t>square feet on the fourth floor (“Phase I”) and approximately 13,128</w:t>
      </w:r>
      <w:r>
        <w:rPr>
          <w:rFonts w:ascii="Times New Roman" w:hAnsi="Times New Roman"/>
          <w:color w:val="000000"/>
          <w:sz w:val="20"/>
        </w:rPr>
        <w:t xml:space="preserve"> </w:t>
      </w:r>
      <w:r>
        <w:rPr>
          <w:rFonts w:ascii="Arial" w:hAnsi="Arial"/>
          <w:color w:val="000000"/>
          <w:sz w:val="20"/>
        </w:rPr>
        <w:t>square feet on the fifth floor (“Phase II”). The Oyster Point Lease Agreement has an initial term of seven years, with Phase I expected to commence on or about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September 15, 2026 and Phase II expected to commence on or about December 1, 2026, in each case upon the earlier of the Company’s first use of the applicable space or the landlord’s delivery of possession of such space in the condition required under the lease. Aggregate base rent over the initial term, net of rent abatement, is approximately $18.5</w:t>
      </w:r>
      <w:r>
        <w:rPr>
          <w:rFonts w:ascii="Times New Roman" w:hAnsi="Times New Roman"/>
          <w:color w:val="000000"/>
          <w:sz w:val="20"/>
        </w:rPr>
        <w:t xml:space="preserve"> </w:t>
      </w:r>
      <w:r>
        <w:rPr>
          <w:rFonts w:ascii="Arial" w:hAnsi="Arial"/>
          <w:color w:val="000000"/>
          <w:sz w:val="20"/>
        </w:rPr>
        <w:t>million, consisting of approximately $12.4</w:t>
      </w:r>
      <w:r>
        <w:rPr>
          <w:rFonts w:ascii="Times New Roman" w:hAnsi="Times New Roman"/>
          <w:color w:val="000000"/>
          <w:sz w:val="20"/>
        </w:rPr>
        <w:t xml:space="preserve"> </w:t>
      </w:r>
      <w:r>
        <w:rPr>
          <w:rFonts w:ascii="Arial" w:hAnsi="Arial"/>
          <w:color w:val="000000"/>
          <w:sz w:val="20"/>
        </w:rPr>
        <w:t>million related to Phase I and approximately $6.1</w:t>
      </w:r>
      <w:r>
        <w:rPr>
          <w:rFonts w:ascii="Times New Roman" w:hAnsi="Times New Roman"/>
          <w:color w:val="000000"/>
          <w:sz w:val="20"/>
        </w:rPr>
        <w:t xml:space="preserve"> </w:t>
      </w:r>
      <w:r>
        <w:rPr>
          <w:rFonts w:ascii="Arial" w:hAnsi="Arial"/>
          <w:color w:val="000000"/>
          <w:sz w:val="20"/>
        </w:rPr>
        <w:t>million related to Phase II. The Company is also required to provide a cash security deposit of approximately $0.4</w:t>
      </w:r>
      <w:r>
        <w:rPr>
          <w:rFonts w:ascii="Times New Roman" w:hAnsi="Times New Roman"/>
          <w:color w:val="000000"/>
          <w:sz w:val="20"/>
        </w:rPr>
        <w:t xml:space="preserve"> </w:t>
      </w:r>
      <w:r>
        <w:rPr>
          <w:rFonts w:ascii="Arial" w:hAnsi="Arial"/>
          <w:color w:val="000000"/>
          <w:sz w:val="20"/>
        </w:rPr>
        <w:t>million and to pay its pro rata share of operating expenses, taxes, assessments and fees. The Oyster Point Lease Agreement provides the Company with a one-time option to terminate the lease at the end of the 60th full calendar month of the initial term, subject to, among other requirements, payment of a termination fee of approximately $1.7</w:t>
      </w:r>
      <w:r>
        <w:rPr>
          <w:rFonts w:ascii="Times New Roman" w:hAnsi="Times New Roman"/>
          <w:color w:val="000000"/>
          <w:sz w:val="20"/>
        </w:rPr>
        <w:t xml:space="preserve"> </w:t>
      </w:r>
      <w:r>
        <w:rPr>
          <w:rFonts w:ascii="Arial" w:hAnsi="Arial"/>
          <w:color w:val="000000"/>
          <w:sz w:val="20"/>
        </w:rPr>
        <w:t>million. The Company also has an option to extend the lease term for one additional five-year period and a right of first offer to lease certain additional space. The Company will account for the Oyster Point Lease Agreement under ASC 842 at the respective lease commencement dates. As of June 30, 2026, the lease had not commenced and, accordingly, no</w:t>
      </w:r>
      <w:r>
        <w:rPr>
          <w:rFonts w:ascii="Times New Roman" w:hAnsi="Times New Roman"/>
          <w:color w:val="000000"/>
          <w:sz w:val="20"/>
        </w:rPr>
        <w:t xml:space="preserve"> </w:t>
      </w:r>
      <w:r>
        <w:rPr>
          <w:rFonts w:ascii="Arial" w:hAnsi="Arial"/>
          <w:color w:val="000000"/>
          <w:sz w:val="20"/>
        </w:rPr>
        <w:t>right-of-use asset or lease liability had been recognized.</w:t>
      </w:r>
    </w:p>
    <w:p>
      <w:pPr>
        <w:pStyle w:val="TextBody"/>
        <w:bidi w:val="0"/>
        <w:spacing w:before="0" w:after="240"/>
        <w:jc w:val="both"/>
        <w:rPr>
          <w:rFonts w:ascii="Times New Roman" w:hAnsi="Times New Roman"/>
          <w:sz w:val="20"/>
        </w:rPr>
      </w:pPr>
      <w:r>
        <w:rPr>
          <w:rFonts w:ascii="Arial" w:hAnsi="Arial"/>
          <w:color w:val="000000"/>
          <w:sz w:val="20"/>
        </w:rPr>
        <w:t>On June 2, 2026, the Company entered into a lease agreement with ARE-MA Region No. 75, LLC to lease an aggregate of approximately 16,653</w:t>
      </w:r>
      <w:r>
        <w:rPr>
          <w:rFonts w:ascii="Times New Roman" w:hAnsi="Times New Roman"/>
          <w:color w:val="000000"/>
          <w:sz w:val="20"/>
        </w:rPr>
        <w:t xml:space="preserve"> </w:t>
      </w:r>
      <w:r>
        <w:rPr>
          <w:rFonts w:ascii="Arial" w:hAnsi="Arial"/>
          <w:color w:val="000000"/>
          <w:sz w:val="20"/>
        </w:rPr>
        <w:t>square feet of office space in Watertown, Massachusetts (the "Watertown Lease"). The Watertown Lease Agreement is for a period of 44 months</w:t>
      </w:r>
      <w:r>
        <w:rPr>
          <w:rFonts w:ascii="Times New Roman" w:hAnsi="Times New Roman"/>
          <w:color w:val="000000"/>
          <w:sz w:val="20"/>
        </w:rPr>
        <w:t xml:space="preserve"> </w:t>
      </w:r>
      <w:r>
        <w:rPr>
          <w:rFonts w:ascii="Arial" w:hAnsi="Arial"/>
          <w:color w:val="000000"/>
          <w:sz w:val="20"/>
        </w:rPr>
        <w:t>commencing on the target commencement date of January 15, 2027. Aggregate base rent over the initial term, net of rent abatement, is approximately $1.2</w:t>
      </w:r>
      <w:r>
        <w:rPr>
          <w:rFonts w:ascii="Times New Roman" w:hAnsi="Times New Roman"/>
          <w:color w:val="000000"/>
          <w:sz w:val="20"/>
        </w:rPr>
        <w:t xml:space="preserve"> </w:t>
      </w:r>
      <w:r>
        <w:rPr>
          <w:rFonts w:ascii="Arial" w:hAnsi="Arial"/>
          <w:color w:val="000000"/>
          <w:sz w:val="20"/>
        </w:rPr>
        <w:t>million. According to the terms of the Watertown Lease Agreement, the Company delivered to the landlord a security deposit of $0.1</w:t>
      </w:r>
      <w:r>
        <w:rPr>
          <w:rFonts w:ascii="Times New Roman" w:hAnsi="Times New Roman"/>
          <w:color w:val="000000"/>
          <w:sz w:val="20"/>
        </w:rPr>
        <w:t xml:space="preserve"> </w:t>
      </w:r>
      <w:r>
        <w:rPr>
          <w:rFonts w:ascii="Arial" w:hAnsi="Arial"/>
          <w:color w:val="000000"/>
          <w:sz w:val="20"/>
        </w:rPr>
        <w:t>million. The Company is required to pay monthly rent and common area charges. The Company will account for the Watertown Lease under ASC 842 at the respective lease commencement date. As of June 30, 2026, the Watertown Lease had not commenced and, accordingly, no</w:t>
      </w:r>
      <w:r>
        <w:rPr>
          <w:rFonts w:ascii="Times New Roman" w:hAnsi="Times New Roman"/>
          <w:color w:val="000000"/>
          <w:sz w:val="20"/>
        </w:rPr>
        <w:t xml:space="preserve"> </w:t>
      </w:r>
      <w:r>
        <w:rPr>
          <w:rFonts w:ascii="Arial" w:hAnsi="Arial"/>
          <w:color w:val="000000"/>
          <w:sz w:val="20"/>
        </w:rPr>
        <w:t>right-of-use asset or lease liability had been recognized.</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table summarizes total lease expense during the three and six months ended June 30, 2026 and 2025 (in thousands):</w:t>
      </w:r>
    </w:p>
    <w:p>
      <w:pPr>
        <w:pStyle w:val="TextBody"/>
        <w:bidi w:val="0"/>
        <w:jc w:val="both"/>
        <w:rPr/>
      </w:pPr>
      <w:r>
        <w:rPr/>
        <w:t> </w:t>
      </w:r>
    </w:p>
    <w:tbl>
      <w:tblPr>
        <w:tblW w:w="8662" w:type="dxa"/>
        <w:jc w:val="left"/>
        <w:tblInd w:w="0" w:type="dxa"/>
        <w:tblLayout w:type="fixed"/>
        <w:tblCellMar>
          <w:top w:w="28" w:type="dxa"/>
          <w:left w:w="28" w:type="dxa"/>
          <w:bottom w:w="28" w:type="dxa"/>
          <w:right w:w="28" w:type="dxa"/>
        </w:tblCellMar>
      </w:tblPr>
      <w:tblGrid>
        <w:gridCol w:w="3331"/>
        <w:gridCol w:w="146"/>
        <w:gridCol w:w="280"/>
        <w:gridCol w:w="194"/>
        <w:gridCol w:w="560"/>
        <w:gridCol w:w="194"/>
        <w:gridCol w:w="194"/>
        <w:gridCol w:w="280"/>
        <w:gridCol w:w="194"/>
        <w:gridCol w:w="560"/>
        <w:gridCol w:w="146"/>
        <w:gridCol w:w="146"/>
        <w:gridCol w:w="257"/>
        <w:gridCol w:w="177"/>
        <w:gridCol w:w="512"/>
        <w:gridCol w:w="177"/>
        <w:gridCol w:w="177"/>
        <w:gridCol w:w="257"/>
        <w:gridCol w:w="177"/>
        <w:gridCol w:w="512"/>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6"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46"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Straight-line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lease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supplemental cash flow information during the three and six months ended June 30, 2026 and 2025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20"/>
        <w:gridCol w:w="146"/>
        <w:gridCol w:w="264"/>
        <w:gridCol w:w="183"/>
        <w:gridCol w:w="528"/>
        <w:gridCol w:w="183"/>
        <w:gridCol w:w="183"/>
        <w:gridCol w:w="264"/>
        <w:gridCol w:w="183"/>
        <w:gridCol w:w="528"/>
        <w:gridCol w:w="146"/>
        <w:gridCol w:w="146"/>
        <w:gridCol w:w="246"/>
        <w:gridCol w:w="170"/>
        <w:gridCol w:w="491"/>
        <w:gridCol w:w="170"/>
        <w:gridCol w:w="170"/>
        <w:gridCol w:w="246"/>
        <w:gridCol w:w="170"/>
        <w:gridCol w:w="491"/>
        <w:gridCol w:w="477"/>
      </w:tblGrid>
      <w:tr>
        <w:trPr/>
        <w:tc>
          <w:tcPr>
            <w:tcW w:w="4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48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16"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54"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7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0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0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8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82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Lease liability arising from obtaining a right-use-asset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2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the Company’s future minimum lease payments and reconciliation of lease liabilities as of June 30, 2026 (in thousands):</w:t>
      </w:r>
    </w:p>
    <w:p>
      <w:pPr>
        <w:pStyle w:val="TextBody"/>
        <w:bidi w:val="0"/>
        <w:jc w:val="both"/>
        <w:rPr/>
      </w:pPr>
      <w:r>
        <w:rPr/>
        <w:t> </w:t>
      </w:r>
    </w:p>
    <w:tbl>
      <w:tblPr>
        <w:tblW w:w="4521" w:type="dxa"/>
        <w:jc w:val="left"/>
        <w:tblInd w:w="0" w:type="dxa"/>
        <w:tblLayout w:type="fixed"/>
        <w:tblCellMar>
          <w:top w:w="28" w:type="dxa"/>
          <w:left w:w="28" w:type="dxa"/>
          <w:bottom w:w="28" w:type="dxa"/>
          <w:right w:w="28" w:type="dxa"/>
        </w:tblCellMar>
      </w:tblPr>
      <w:tblGrid>
        <w:gridCol w:w="3406"/>
        <w:gridCol w:w="146"/>
        <w:gridCol w:w="211"/>
        <w:gridCol w:w="146"/>
        <w:gridCol w:w="421"/>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5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(From July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present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non-current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the lease term and discount rate as of June 30, 2026 and 2025:</w:t>
      </w:r>
    </w:p>
    <w:p>
      <w:pPr>
        <w:pStyle w:val="TextBody"/>
        <w:bidi w:val="0"/>
        <w:jc w:val="both"/>
        <w:rPr/>
      </w:pPr>
      <w:r>
        <w:rPr/>
        <w:t> </w:t>
      </w:r>
    </w:p>
    <w:tbl>
      <w:tblPr>
        <w:tblW w:w="6379" w:type="dxa"/>
        <w:jc w:val="left"/>
        <w:tblInd w:w="0" w:type="dxa"/>
        <w:tblLayout w:type="fixed"/>
        <w:tblCellMar>
          <w:top w:w="28" w:type="dxa"/>
          <w:left w:w="28" w:type="dxa"/>
          <w:bottom w:w="28" w:type="dxa"/>
          <w:right w:w="28" w:type="dxa"/>
        </w:tblCellMar>
      </w:tblPr>
      <w:tblGrid>
        <w:gridCol w:w="4216"/>
        <w:gridCol w:w="146"/>
        <w:gridCol w:w="146"/>
        <w:gridCol w:w="481"/>
        <w:gridCol w:w="286"/>
        <w:gridCol w:w="146"/>
        <w:gridCol w:w="146"/>
        <w:gridCol w:w="481"/>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both"/>
        <w:rPr>
          <w:rFonts w:ascii="Arial" w:hAnsi="Arial"/>
          <w:b/>
          <w:color w:val="000000"/>
          <w:sz w:val="20"/>
        </w:rPr>
      </w:pPr>
      <w:r>
        <w:rPr>
          <w:rFonts w:ascii="Arial" w:hAnsi="Arial"/>
          <w:b/>
          <w:color w:val="000000"/>
          <w:sz w:val="20"/>
        </w:rPr>
        <w:t>10.</w:t>
      </w:r>
    </w:p>
    <w:p>
      <w:pPr>
        <w:pStyle w:val="TextBody"/>
        <w:bidi w:val="0"/>
        <w:spacing w:before="40" w:after="283"/>
        <w:jc w:val="both"/>
        <w:rPr>
          <w:rFonts w:ascii="Arial" w:hAnsi="Arial"/>
          <w:b/>
          <w:color w:val="000000"/>
          <w:sz w:val="20"/>
        </w:rPr>
      </w:pPr>
      <w:r>
        <w:rPr>
          <w:rFonts w:ascii="Arial" w:hAnsi="Arial"/>
          <w:b/>
          <w:color w:val="000000"/>
          <w:sz w:val="20"/>
        </w:rPr>
        <w:t>Commitments and Contingencies</w:t>
      </w:r>
    </w:p>
    <w:p>
      <w:pPr>
        <w:pStyle w:val="Heading2"/>
        <w:bidi w:val="0"/>
        <w:spacing w:before="240" w:after="120"/>
        <w:jc w:val="both"/>
        <w:rPr>
          <w:rFonts w:ascii="Arial" w:hAnsi="Arial"/>
          <w:i/>
          <w:color w:val="000000"/>
          <w:sz w:val="20"/>
        </w:rPr>
      </w:pPr>
      <w:r>
        <w:rPr>
          <w:rFonts w:ascii="Arial" w:hAnsi="Arial"/>
          <w:i/>
          <w:color w:val="000000"/>
          <w:sz w:val="20"/>
        </w:rPr>
        <w:t>Agreements with Novartis</w:t>
      </w:r>
    </w:p>
    <w:p>
      <w:pPr>
        <w:pStyle w:val="Heading2"/>
        <w:bidi w:val="0"/>
        <w:spacing w:before="120" w:after="120"/>
        <w:jc w:val="both"/>
        <w:rPr>
          <w:rFonts w:ascii="Arial" w:hAnsi="Arial"/>
          <w:b w:val="false"/>
          <w:i/>
          <w:color w:val="000000"/>
          <w:sz w:val="20"/>
        </w:rPr>
      </w:pPr>
      <w:r>
        <w:rPr>
          <w:rFonts w:ascii="Arial" w:hAnsi="Arial"/>
          <w:b w:val="false"/>
          <w:i/>
          <w:color w:val="000000"/>
          <w:sz w:val="20"/>
        </w:rPr>
        <w:t>2024 Clinical Trial Collaboration and Supply Agreement with Novartis</w:t>
      </w:r>
    </w:p>
    <w:p>
      <w:pPr>
        <w:pStyle w:val="TextBody"/>
        <w:bidi w:val="0"/>
        <w:spacing w:before="120" w:after="283"/>
        <w:jc w:val="both"/>
        <w:rPr>
          <w:rFonts w:ascii="Arial" w:hAnsi="Arial"/>
          <w:color w:val="000000"/>
          <w:sz w:val="20"/>
        </w:rPr>
      </w:pPr>
      <w:r>
        <w:rPr>
          <w:rFonts w:ascii="Arial" w:hAnsi="Arial"/>
          <w:color w:val="000000"/>
          <w:sz w:val="20"/>
        </w:rPr>
        <w:t>On November 29, 2024, the Company entered into a Clinical Trial Collaboration and Supply Agreement (the "2024 Novartis Agreement") with Novartis Pharma AG (collectively, with affiliated entities, "Novartis"). Pursuant to the 2024 Novartis Agreement, Novartis is providing the Company with ribociclib drug supply for the Company’s ongoing Phase 3 OPERA-02 trial of palazestrant in combination with ribociclib in ER+/HER2- frontline advanced or metastatic breast cancer (the "OPERA-02 trial").</w:t>
      </w:r>
    </w:p>
    <w:p>
      <w:pPr>
        <w:pStyle w:val="TextBody"/>
        <w:bidi w:val="0"/>
        <w:spacing w:before="240" w:after="283"/>
        <w:jc w:val="both"/>
        <w:rPr>
          <w:rFonts w:ascii="Arial" w:hAnsi="Arial"/>
          <w:color w:val="000000"/>
          <w:sz w:val="20"/>
        </w:rPr>
      </w:pPr>
      <w:r>
        <w:rPr>
          <w:rFonts w:ascii="Arial" w:hAnsi="Arial"/>
          <w:color w:val="000000"/>
          <w:sz w:val="20"/>
        </w:rPr>
        <w:t>Under the 2024 Novartis Agreement, the Company supplies (including manufacturing, packaging and labeling) palazestrant and letrozole for the OPERA-02 trial. Novartis manufactures and supplies (including primary packaging) the Company with a specified amount of ribociclib, which amount is expected to be sufficient for the OPERA-02 trial. The parties have granted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Any inventions developed in the performance of the clinical studies for the combined therapies (other than those specific to each component study drug) are jointly owned by the parties. Except as otherwise specified below, the 2024 Novartis Agreement does not grant any right of first negotiation to participate in future clinical trials, and each party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and with third parties.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granted Novartis a right of first negotiation with respect to (a) the grant to any person or entity any right, license or sublicense to exploit palazestrant, in any field or territory, other than to third party service providers, or (b) the sale or other transfer to any person or entity of palazestrant and any related assets (each referred to herein as an "Olema Compound Transaction"). If the Company desires to or does, at any time, (a) solicit or entertain any third party proposal or indication of interest with respect to an Olema Compound Transaction, or (b) negotiate (including in response to any proposal or indication of interest received by the Company), enter into or perform under, in each case, any written definitive agreement with a third party with respect to or that contemplates an Olema Compound Transaction, then the Company must provide written notice to Novartis regarding such Olema Compound Transaction, along with certain other specified information. Novartis will have 30 days</w:t>
      </w:r>
      <w:r>
        <w:rPr>
          <w:rFonts w:ascii="Times New Roman" w:hAnsi="Times New Roman"/>
          <w:color w:val="000000"/>
          <w:sz w:val="20"/>
        </w:rPr>
        <w:t xml:space="preserve"> </w:t>
      </w:r>
      <w:r>
        <w:rPr>
          <w:rFonts w:ascii="Arial" w:hAnsi="Arial"/>
          <w:color w:val="000000"/>
          <w:sz w:val="20"/>
        </w:rPr>
        <w:t>after receipt of such notice to elect to enter into exclusive good faith negotiations with respect to such Olema Compound Transaction for a period of up to 120 days.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the Company’s board of directors (or a duly authorized board committee) determines that the Company should pursue or explore a change of control of the Company or sale of all or substantially all of its assets (an "Olema Change of Control"), other than in response to an unsolicited bona fide acquisition proposal (a "Proposed Sale"), the Company must promptly notify Novartis of such determination. In the event Novartis elects to engage in negotiations with the Company in respect of such Proposed Sale, then from the date such notice is given until 45 days after the later of (a) the date on which the foregoing notice is given to Novartis, (b) the date on which Novartis is given notice that a data room has been populated as required by the 2024 Novartis Agreement, and (c) entry by the Company and Novartis into a customary nondisclosure agreement, Novartis will have the exclusive right (but no obligation) to conduct due diligence on the Company and its business and negotiate with the Company and its representatives the definitive terms and conditions of the Proposed Sale.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pStyle w:val="TextBody"/>
        <w:bidi w:val="0"/>
        <w:spacing w:before="240" w:after="283"/>
        <w:jc w:val="both"/>
        <w:rPr>
          <w:rFonts w:ascii="Times New Roman" w:hAnsi="Times New Roman"/>
          <w:sz w:val="20"/>
        </w:rPr>
      </w:pPr>
      <w:r>
        <w:rPr>
          <w:rFonts w:ascii="Arial" w:hAnsi="Arial"/>
          <w:color w:val="000000"/>
          <w:sz w:val="20"/>
        </w:rPr>
        <w:t>In the event of an Olema Compound Transaction or Olema Change of Control involving a third party other than Novartis (the first to occur, a "Repayment Trigger Event"), the Company must promptly pay, or procure the payment of, the Repayment Amount (as defined below) to Novartis. Notwithstanding the foregoing, if the 2024 Novartis Agreement is terminated as a result of certain patient safety issues, lack of product efficacy, regulatory issues or clinical hold issues prior to the consummation of the Olema Compound Transaction or Olema Change of 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optionholder of the Company or its affiliates) enrolls a subject in any clinical study involving the combination of palazestrant and ribociclib (the "Olema Combination") or submits any filing with any regulatory authority relating to the Olema Combination. The “Repayment Amount” is the proportion of approximately $275</w:t>
      </w:r>
      <w:r>
        <w:rPr>
          <w:rFonts w:ascii="Times New Roman" w:hAnsi="Times New Roman"/>
          <w:color w:val="000000"/>
          <w:sz w:val="20"/>
        </w:rPr>
        <w:t xml:space="preserve"> </w:t>
      </w:r>
      <w:r>
        <w:rPr>
          <w:rFonts w:ascii="Arial" w:hAnsi="Arial"/>
          <w:color w:val="000000"/>
          <w:sz w:val="20"/>
        </w:rPr>
        <w:t>million that is represented by the number of units of ribociclib actually supplied to the Company under the 2024 Novartis Agreement as of immediately prior to the Repayment Trigger Event as compared to the total number of units that could be supplied under the 2024 Novartis Agreement.</w:t>
      </w:r>
    </w:p>
    <w:p>
      <w:pPr>
        <w:pStyle w:val="TextBody"/>
        <w:bidi w:val="0"/>
        <w:spacing w:before="240" w:after="283"/>
        <w:jc w:val="both"/>
        <w:rPr>
          <w:rFonts w:ascii="Arial" w:hAnsi="Arial"/>
          <w:color w:val="000000"/>
          <w:sz w:val="20"/>
        </w:rPr>
      </w:pPr>
      <w:r>
        <w:rPr>
          <w:rFonts w:ascii="Arial" w:hAnsi="Arial"/>
          <w:color w:val="000000"/>
          <w:sz w:val="20"/>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2024 Novartis Agreement, and (c) such time as the 2024 Novartis Agreement is terminated by the Company due to Novartis’ material breach. However, in the event the 2024 Novartis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2024 Novartis Agreement will terminate on the fifth anniversary of the date on which the first dose of palazestrant is administered to the first study subject. Either party may terminate the 2024 Novartis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 a party (or the letrozole supplier) from supplying its product, in the event of an unresolved force majeure event, or in certain circumstances for an unresolved clinical hold with respect to ribociclib, palazestrant or letrozole (or the combination of ribociclib and palazestrant or ribociclib and letrozole). In addition, Novartis may terminate the 2024 Novartis Agreement if the Company had failed to commence the OPERA-02 trial on or prior to March 31, 2026 or if the Company consummates an Olema Compound Transaction. The Company may terminate the 2024 Novartis Agreement if the Company terminates the OPERA-02 trial other than due to a material safety issue, efficacy issue, regulatory action or upon a clinical hold.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Costs incurred in connection with the 2024 Novartis Agreement are included in research and development expenses in the accompanying condensed consolidated statements of operations and comprehensive loss for the three and six months ended June 30, 2026 and 2025.</w:t>
      </w:r>
    </w:p>
    <w:p>
      <w:pPr>
        <w:pStyle w:val="Heading2"/>
        <w:bidi w:val="0"/>
        <w:spacing w:before="240" w:after="120"/>
        <w:jc w:val="both"/>
        <w:rPr>
          <w:rFonts w:ascii="Arial" w:hAnsi="Arial"/>
          <w:b w:val="false"/>
          <w:i/>
          <w:color w:val="000000"/>
          <w:sz w:val="20"/>
        </w:rPr>
      </w:pPr>
      <w:r>
        <w:rPr>
          <w:rFonts w:ascii="Arial" w:hAnsi="Arial"/>
          <w:b w:val="false"/>
          <w:i/>
          <w:color w:val="000000"/>
          <w:sz w:val="20"/>
        </w:rPr>
        <w:t>2020 Clinical Collaboration and Supply Agreement with Novartis</w:t>
      </w:r>
    </w:p>
    <w:p>
      <w:pPr>
        <w:pStyle w:val="TextBody"/>
        <w:bidi w:val="0"/>
        <w:spacing w:before="120" w:after="283"/>
        <w:jc w:val="both"/>
        <w:rPr>
          <w:rFonts w:ascii="Times New Roman" w:hAnsi="Times New Roman"/>
          <w:sz w:val="20"/>
        </w:rPr>
      </w:pPr>
      <w:r>
        <w:rPr>
          <w:rFonts w:ascii="Arial" w:hAnsi="Arial"/>
          <w:color w:val="000000"/>
          <w:sz w:val="20"/>
        </w:rPr>
        <w:t>On July 22, 2020, the Company entered into a non-exclusive clinical collaboration and supply agreement with Novartis. On January 13, 2022, the Company entered into an amended and restated clinical collaboration and supply agreement with Novartis, and on October 9, 2023, the Company and Novartis entered into the amendment no. 1 (the "Novartis Amendment") to the amended and restated clinical collaboration and supply agreement (as amended, the "2020 Novartis Agreement"). The collaboration is focused on the evaluation of the safety, tolerability and efficacy of palazestrant in combination with Novartis’ proprietary CDK4/6 inhibitor KISQALI® (ribociclib) and/or Novartis’ proprietary phosphatidylinositol 3-kinase ("PI3Ka") Inhibitor PIQRAY® (alpelisib) (collectively the "Novartis Study Drugs") as part of the Company’s Phase 1b/2 study of palazestrant in patients with metastatic estrogen receptor-positive breast cancer. The Novartis Amendment, among other things, expanded the Company's clinical collaboration with Novartis, increasing the size of the ongoing Phase 1/2 study testing palazestrant in combination with ribociclib to approximately 60</w:t>
      </w:r>
      <w:r>
        <w:rPr>
          <w:rFonts w:ascii="Times New Roman" w:hAnsi="Times New Roman"/>
          <w:color w:val="000000"/>
          <w:sz w:val="20"/>
        </w:rPr>
        <w:t xml:space="preserve"> </w:t>
      </w:r>
      <w:r>
        <w:rPr>
          <w:rFonts w:ascii="Arial" w:hAnsi="Arial"/>
          <w:color w:val="000000"/>
          <w:sz w:val="20"/>
        </w:rPr>
        <w:t>patients.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2020 Novartis Agreement will terminate upon completion of all activities outlined in the development plan and the relevant protocols. Either party may terminate the 2020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2020 Novartis Agreement if certain disputes between the parties are not resolved after following the applicable dispute resolution procedures, and the Company may terminate the 2020 Novartis Agreement in the event the Company terminates all clinical trials of the combined therapies other than due to a material safety issue or upon a clinical hold.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Costs associated with research activities performed under the 2020 Novartis Agreement are included in research and development expenses in the accompanying condensed consolidated statements of operations and comprehensive loss for the three and six months ended June 30, 2026 and 2025, with any reimbursable costs from Novartis reflected as a reduction of such expenses. The Company had previously incurred the full agreed-upon reimbursement amount.</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Agreements with Pfizer</w:t>
      </w:r>
    </w:p>
    <w:p>
      <w:pPr>
        <w:pStyle w:val="TextBody"/>
        <w:bidi w:val="0"/>
        <w:spacing w:before="240" w:after="120"/>
        <w:jc w:val="left"/>
        <w:rPr>
          <w:rFonts w:ascii="Arial" w:hAnsi="Arial"/>
          <w:i/>
          <w:color w:val="000000"/>
          <w:sz w:val="20"/>
        </w:rPr>
      </w:pPr>
      <w:r>
        <w:rPr>
          <w:rFonts w:ascii="Arial" w:hAnsi="Arial"/>
          <w:i/>
          <w:color w:val="000000"/>
          <w:sz w:val="20"/>
        </w:rPr>
        <w:t>2025 Clinical Trial Collaboration and Supply Agreement with Pfizer</w:t>
      </w:r>
    </w:p>
    <w:p>
      <w:pPr>
        <w:pStyle w:val="TextBody"/>
        <w:bidi w:val="0"/>
        <w:spacing w:before="120" w:after="283"/>
        <w:jc w:val="both"/>
        <w:rPr>
          <w:rFonts w:ascii="Arial" w:hAnsi="Arial"/>
          <w:color w:val="000000"/>
          <w:sz w:val="20"/>
        </w:rPr>
      </w:pPr>
      <w:r>
        <w:rPr>
          <w:rFonts w:ascii="Arial" w:hAnsi="Arial"/>
          <w:color w:val="000000"/>
          <w:sz w:val="20"/>
        </w:rPr>
        <w:t>In September 2025, the Company announced that it entered into a non-exclusive clinical trial collaboration and supply agreement with Pfizer Inc. (“Pfizer”) (the “2025 Pfizer Agreement”), to evaluate the safety and tolerability of palazestrant in combination with Pfizer’s proprietary investigative selective CDK4 inhibitor atirmociclib in patients with metastatic ER+, HER2- breast cancer in a Phase 1b/2 clinical trial. Under the terms of the 2025 Pfizer Agreement, the Company is responsible for conducting the clinical trial for the combined therapies and Pfizer is responsible for supplying atirmociclib to the Company at no cost to the Company. As part of the collaboration, the parties granted to each other a non-exclusive, royalty-free license under certain of the parties’ respective patent rights in the combination of atirmociclib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Pfizer is responsible for manufacturing and delivering to us atirmociclib in such quantities as reasonably needed for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2025 Pfizer Agreement will terminate upon completion of all activities outlined in the study plan and the relevant protocols. Either party may terminate the 2025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atirmociclib or palazestrant. In addition, Pfizer may terminate the 2025 Pfizer Agreement if Pfizer reasonably and in good faith believes that atirmociclib is being used in an unsafe manner, and either party may terminate the 2025 Pfizer Agreement if either party determines to discontinue clinical development for medical, scientific, legal or other reasons.</w:t>
      </w:r>
    </w:p>
    <w:p>
      <w:pPr>
        <w:pStyle w:val="Heading2"/>
        <w:bidi w:val="0"/>
        <w:spacing w:before="240" w:after="120"/>
        <w:jc w:val="left"/>
        <w:rPr>
          <w:rFonts w:ascii="Times New Roman" w:hAnsi="Times New Roman"/>
          <w:sz w:val="20"/>
        </w:rPr>
      </w:pPr>
      <w:r>
        <w:rPr>
          <w:rFonts w:ascii="Arial" w:hAnsi="Arial"/>
          <w:b w:val="false"/>
          <w:color w:val="000000"/>
          <w:sz w:val="20"/>
        </w:rPr>
        <w:t>The 2025 Pfizer Agreement does not grant any right of first negotiation to participate in future clinical trials, and each of the parties retains all rights and ability to evaluate their respective compounds. Costs incurred in connection with the 2025 Pfizer Agreement are included in research and development expenses in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120"/>
        <w:jc w:val="left"/>
        <w:rPr>
          <w:rFonts w:ascii="Arial" w:hAnsi="Arial"/>
          <w:b w:val="false"/>
          <w:color w:val="000000"/>
          <w:sz w:val="20"/>
        </w:rPr>
      </w:pPr>
      <w:r>
        <w:rPr>
          <w:rFonts w:ascii="Arial" w:hAnsi="Arial"/>
          <w:b w:val="false"/>
          <w:color w:val="000000"/>
          <w:sz w:val="20"/>
        </w:rPr>
        <w:t>accompanying condensed consolidated statements of operations and comprehensive loss for the three and six months ended June 30, 2026.</w:t>
      </w:r>
    </w:p>
    <w:p>
      <w:pPr>
        <w:pStyle w:val="Heading2"/>
        <w:bidi w:val="0"/>
        <w:spacing w:before="120" w:after="120"/>
        <w:jc w:val="both"/>
        <w:rPr>
          <w:rFonts w:ascii="Arial" w:hAnsi="Arial"/>
          <w:b w:val="false"/>
          <w:i/>
          <w:color w:val="000000"/>
          <w:sz w:val="20"/>
        </w:rPr>
      </w:pPr>
      <w:r>
        <w:rPr>
          <w:rFonts w:ascii="Arial" w:hAnsi="Arial"/>
          <w:b w:val="false"/>
          <w:i/>
          <w:color w:val="000000"/>
          <w:sz w:val="20"/>
        </w:rPr>
        <w:t>2020 Clinical Trial Agreement with Pfizer</w:t>
      </w:r>
    </w:p>
    <w:p>
      <w:pPr>
        <w:pStyle w:val="TextBody"/>
        <w:bidi w:val="0"/>
        <w:spacing w:before="120" w:after="283"/>
        <w:jc w:val="both"/>
        <w:rPr>
          <w:rFonts w:ascii="Arial" w:hAnsi="Arial"/>
          <w:color w:val="000000"/>
          <w:sz w:val="20"/>
        </w:rPr>
      </w:pPr>
      <w:r>
        <w:rPr>
          <w:rFonts w:ascii="Arial" w:hAnsi="Arial"/>
          <w:color w:val="000000"/>
          <w:sz w:val="20"/>
        </w:rPr>
        <w:t>In November 2020, the Company entered into a non-exclusive clinical trial agreement with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Pfizer Agreement will terminate upon completion of all activities outlined in the study plan and the relevant protocols. Either party may terminate the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bidi w:val="0"/>
        <w:spacing w:before="240" w:after="283"/>
        <w:jc w:val="both"/>
        <w:rPr>
          <w:rFonts w:ascii="Arial" w:hAnsi="Arial"/>
          <w:color w:val="000000"/>
          <w:sz w:val="20"/>
        </w:rPr>
      </w:pPr>
      <w:r>
        <w:rPr>
          <w:rFonts w:ascii="Arial" w:hAnsi="Arial"/>
          <w:color w:val="000000"/>
          <w:sz w:val="20"/>
        </w:rPr>
        <w:t>The Pfizer Agreement does not grant any right of first negotiation to participate in future clinical trials, and each of the parties retains all rights and ability to evaluate their respective compounds. Costs incurred in connection with the Pfizer Agreement are included in research and development expenses in the accompanying condensed consolidated statements of operations and comprehensive loss for the three and six months ended June 30, 2026 and 2025.</w:t>
      </w:r>
    </w:p>
    <w:p>
      <w:pPr>
        <w:pStyle w:val="Heading2"/>
        <w:bidi w:val="0"/>
        <w:spacing w:before="360" w:after="120"/>
        <w:jc w:val="both"/>
        <w:rPr>
          <w:rFonts w:ascii="Arial" w:hAnsi="Arial"/>
          <w:b w:val="false"/>
          <w:i/>
          <w:color w:val="000000"/>
          <w:sz w:val="20"/>
        </w:rPr>
      </w:pPr>
      <w:r>
        <w:rPr>
          <w:rFonts w:ascii="Arial" w:hAnsi="Arial"/>
          <w:b w:val="false"/>
          <w:i/>
          <w:color w:val="000000"/>
          <w:sz w:val="20"/>
        </w:rPr>
        <w:t>2026 Clinical Trial Collaboration and Supply Agreement with Bayer</w:t>
      </w:r>
    </w:p>
    <w:p>
      <w:pPr>
        <w:pStyle w:val="TextBody"/>
        <w:bidi w:val="0"/>
        <w:jc w:val="both"/>
        <w:rPr>
          <w:rFonts w:ascii="Times New Roman" w:hAnsi="Times New Roman"/>
          <w:sz w:val="20"/>
        </w:rPr>
      </w:pPr>
      <w:r>
        <w:rPr>
          <w:rFonts w:ascii="Arial" w:hAnsi="Arial"/>
          <w:color w:val="000000"/>
          <w:sz w:val="20"/>
        </w:rPr>
        <w:t>In May 2026, the Company entered into a new clinical trial collaboration and supply agreement with Bayer Consumer Care AG ("Bayer") (the "2026 Bayer Agreement") to evaluate, in a Phase 1b/2 study, the safety, tolerability, and preliminary anti-tumor activity of OP-3136 in combination with NUBEQA® (darolutamide), Bayer’s androgen receptor inhibitor, in approximately 36</w:t>
      </w:r>
      <w:r>
        <w:rPr>
          <w:rFonts w:ascii="Times New Roman" w:hAnsi="Times New Roman"/>
          <w:color w:val="000000"/>
          <w:sz w:val="20"/>
        </w:rPr>
        <w:t xml:space="preserve"> </w:t>
      </w:r>
      <w:r>
        <w:rPr>
          <w:rFonts w:ascii="Arial" w:hAnsi="Arial"/>
          <w:color w:val="000000"/>
          <w:sz w:val="20"/>
        </w:rPr>
        <w:t>patients with metastatic castration-resistant prostate cancer. The clinical trial is expected to initiate in the fourth quarter of 2026.</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Under the 2026 Bayer Agreement, Bayer will supply NUBEQA® for use in the clinical trial, and the Company will sponsor and conduct the study. The parties have granted each other a non-exclusive, royalty-free license under certain of their respective patent rights solely to the extent reasonably necessary to conduct the clinical trial and related research and development activities under the collaboration. Inventions and data generated through the conduct of the clinical trial relating to the combined use of OP-3136 and NUBEQA® will be jointly owned by the parties. The Company is responsible for manufacturing, packaging and labeling OP-3136, as well as packaging and labeling NUBEQA®, while Bayer is responsible for manufacturing and supplying NUBEQA® in quantities reasonably required for the clinical trial.</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2026 Bayer Agreement may be terminated by either party under certain circumstances, including for an uncured material breach, patient safety concerns, clinically significant drug-drug interactions, certain regulatory actions, or a decision to discontinue development of the applicable compound or combination for medical,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scientific or legal reasons. In addition, Bayer may terminate the 2026 Bayer Agreement if it reasonably believes NUBEQA® is being used unsafely in the clinical trial or if its underlying supply agreement terminates and it is no longer able to supply NUBEQA®. Upon expiration or termination of the 2026 Bayer Agreement, the Company is required to return or destroy any unused NUBEQA® in accordance with Bayer's instructions.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2026 Bayer Agreement does not grant any right of first negotiation to participate in future clinical trials, and each of the parties retains all rights and ability to evaluate their respective compounds. There were no costs incurred in connection with the 2026 Bayer Agreement for the three and six months ended June 30, 2026.</w:t>
      </w:r>
    </w:p>
    <w:p>
      <w:pPr>
        <w:pStyle w:val="Heading2"/>
        <w:bidi w:val="0"/>
        <w:spacing w:before="360" w:after="120"/>
        <w:jc w:val="both"/>
        <w:rPr>
          <w:rFonts w:ascii="Arial" w:hAnsi="Arial"/>
          <w:b w:val="false"/>
          <w:i/>
          <w:color w:val="000000"/>
          <w:sz w:val="20"/>
        </w:rPr>
      </w:pPr>
      <w:r>
        <w:rPr>
          <w:rFonts w:ascii="Arial" w:hAnsi="Arial"/>
          <w:b w:val="false"/>
          <w:i/>
          <w:color w:val="000000"/>
          <w:sz w:val="20"/>
        </w:rPr>
        <w:t>License Agreement with Aurigene</w:t>
      </w:r>
    </w:p>
    <w:p>
      <w:pPr>
        <w:pStyle w:val="TextBody"/>
        <w:bidi w:val="0"/>
        <w:spacing w:before="120" w:after="283"/>
        <w:jc w:val="both"/>
        <w:rPr>
          <w:rFonts w:ascii="Arial" w:hAnsi="Arial"/>
          <w:color w:val="000000"/>
          <w:sz w:val="20"/>
        </w:rPr>
      </w:pPr>
      <w:r>
        <w:rPr>
          <w:rFonts w:ascii="Arial" w:hAnsi="Arial"/>
          <w:color w:val="000000"/>
          <w:sz w:val="20"/>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pStyle w:val="TextBody"/>
        <w:bidi w:val="0"/>
        <w:spacing w:before="240" w:after="283"/>
        <w:jc w:val="both"/>
        <w:rPr>
          <w:rFonts w:ascii="Times New Roman" w:hAnsi="Times New Roman"/>
          <w:sz w:val="20"/>
        </w:rPr>
      </w:pPr>
      <w:r>
        <w:rPr>
          <w:rFonts w:ascii="Arial" w:hAnsi="Arial"/>
          <w:color w:val="000000"/>
          <w:sz w:val="20"/>
        </w:rPr>
        <w:t>Under the terms of the Aurigene Agreement, Aurigene provided to the Company an exclusive license to its portfolio of novel small molecule inhibitors of the target. Financial terms of the Aurigene Agreement include a $8.0</w:t>
      </w:r>
      <w:r>
        <w:rPr>
          <w:rFonts w:ascii="Times New Roman" w:hAnsi="Times New Roman"/>
          <w:color w:val="000000"/>
          <w:sz w:val="20"/>
        </w:rPr>
        <w:t xml:space="preserve"> </w:t>
      </w:r>
      <w:r>
        <w:rPr>
          <w:rFonts w:ascii="Arial" w:hAnsi="Arial"/>
          <w:color w:val="000000"/>
          <w:sz w:val="20"/>
        </w:rPr>
        <w:t>million upfront payment for rights to a pre-existing Aurigene program and potential future milestone payments of up to $60.0</w:t>
      </w:r>
      <w:r>
        <w:rPr>
          <w:rFonts w:ascii="Times New Roman" w:hAnsi="Times New Roman"/>
          <w:color w:val="000000"/>
          <w:sz w:val="20"/>
        </w:rPr>
        <w:t xml:space="preserve"> </w:t>
      </w:r>
      <w:r>
        <w:rPr>
          <w:rFonts w:ascii="Arial" w:hAnsi="Arial"/>
          <w:color w:val="000000"/>
          <w:sz w:val="20"/>
        </w:rPr>
        <w:t>million in clinical development and regulatory milestones, and up to $370.0</w:t>
      </w:r>
      <w:r>
        <w:rPr>
          <w:rFonts w:ascii="Times New Roman" w:hAnsi="Times New Roman"/>
          <w:color w:val="000000"/>
          <w:sz w:val="20"/>
        </w:rPr>
        <w:t xml:space="preserve"> </w:t>
      </w:r>
      <w:r>
        <w:rPr>
          <w:rFonts w:ascii="Arial" w:hAnsi="Arial"/>
          <w:color w:val="000000"/>
          <w:sz w:val="20"/>
        </w:rPr>
        <w:t>million in commercial milestones. Aurigene is also eligible to receive royalties on product sales, if any, ranging from mid-single digits to the low double digits as a percentage of such sales. During the research term, the Company contributes funding to Aurigene to facilitate Aurigene’s ongoing discovery efforts. The Company and Aurigene jointly direct further preclinical work and, if successful, the Company will lead clinical development as well as regulatory and commercial activities. The Company and Aurigene jointly own collaboration compounds and rights to any inventions made during the research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pStyle w:val="TextBody"/>
        <w:bidi w:val="0"/>
        <w:spacing w:before="240" w:after="283"/>
        <w:jc w:val="both"/>
        <w:rPr>
          <w:rFonts w:ascii="Times New Roman" w:hAnsi="Times New Roman"/>
          <w:sz w:val="20"/>
        </w:rPr>
      </w:pPr>
      <w:r>
        <w:rPr>
          <w:rFonts w:ascii="Arial" w:hAnsi="Arial"/>
          <w:color w:val="000000"/>
          <w:sz w:val="20"/>
        </w:rPr>
        <w:t>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As of June 30, 2026, the Company has incurred $23</w:t>
      </w:r>
      <w:r>
        <w:rPr>
          <w:rFonts w:ascii="Times New Roman" w:hAnsi="Times New Roman"/>
          <w:color w:val="000000"/>
          <w:sz w:val="20"/>
        </w:rPr>
        <w:t xml:space="preserve"> </w:t>
      </w:r>
      <w:r>
        <w:rPr>
          <w:rFonts w:ascii="Arial" w:hAnsi="Arial"/>
          <w:color w:val="000000"/>
          <w:sz w:val="20"/>
        </w:rPr>
        <w:t>million in upfront and clinical development milestone payments under the Aurigene Agreement.</w:t>
      </w:r>
    </w:p>
    <w:p>
      <w:pPr>
        <w:pStyle w:val="Heading2"/>
        <w:bidi w:val="0"/>
        <w:spacing w:before="360" w:after="120"/>
        <w:jc w:val="both"/>
        <w:rPr>
          <w:rFonts w:ascii="Arial" w:hAnsi="Arial"/>
          <w:b w:val="false"/>
          <w:i/>
          <w:color w:val="000000"/>
          <w:sz w:val="20"/>
        </w:rPr>
      </w:pPr>
      <w:r>
        <w:rPr>
          <w:rFonts w:ascii="Arial" w:hAnsi="Arial"/>
          <w:b w:val="false"/>
          <w:i/>
          <w:color w:val="000000"/>
          <w:sz w:val="20"/>
        </w:rPr>
        <w:t>Management Services Agreements</w:t>
      </w:r>
    </w:p>
    <w:p>
      <w:pPr>
        <w:pStyle w:val="TextBody"/>
        <w:bidi w:val="0"/>
        <w:spacing w:before="120" w:after="283"/>
        <w:jc w:val="both"/>
        <w:rPr>
          <w:rFonts w:ascii="Arial" w:hAnsi="Arial"/>
          <w:color w:val="000000"/>
          <w:sz w:val="20"/>
        </w:rPr>
      </w:pPr>
      <w:r>
        <w:rPr>
          <w:rFonts w:ascii="Arial" w:hAnsi="Arial"/>
          <w:color w:val="000000"/>
          <w:sz w:val="20"/>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June 30, 2026, the Company did not have material contractual commitments with respect to these arrangements.</w:t>
      </w:r>
    </w:p>
    <w:p>
      <w:pPr>
        <w:pStyle w:val="Heading2"/>
        <w:bidi w:val="0"/>
        <w:spacing w:before="360" w:after="120"/>
        <w:jc w:val="both"/>
        <w:rPr>
          <w:rFonts w:ascii="Arial" w:hAnsi="Arial"/>
          <w:b w:val="false"/>
          <w:i/>
          <w:color w:val="000000"/>
          <w:sz w:val="20"/>
        </w:rPr>
      </w:pPr>
      <w:r>
        <w:rPr>
          <w:rFonts w:ascii="Arial" w:hAnsi="Arial"/>
          <w:b w:val="false"/>
          <w:i/>
          <w:color w:val="000000"/>
          <w:sz w:val="20"/>
        </w:rPr>
        <w:t>Contingencies</w:t>
      </w:r>
    </w:p>
    <w:p>
      <w:pPr>
        <w:pStyle w:val="TextBody"/>
        <w:bidi w:val="0"/>
        <w:spacing w:before="120" w:after="283"/>
        <w:jc w:val="both"/>
        <w:rPr>
          <w:rFonts w:ascii="Times New Roman" w:hAnsi="Times New Roman"/>
          <w:sz w:val="20"/>
        </w:rPr>
      </w:pPr>
      <w:r>
        <w:rPr>
          <w:rFonts w:ascii="Arial" w:hAnsi="Arial"/>
          <w:color w:val="000000"/>
          <w:sz w:val="20"/>
        </w:rPr>
        <w:t>From time to time, the Company may have certain contingent liabilities that arise in the ordinary course of business. The Company accrues a liability for such matters when it is probable that future expenditures will be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made, and such expenditures can be reasonably estimated. For all periods presented, the Company was not a party to any pending material litigation or other material legal proceedings.</w:t>
      </w:r>
    </w:p>
    <w:p>
      <w:pPr>
        <w:pStyle w:val="Heading2"/>
        <w:bidi w:val="0"/>
        <w:spacing w:before="360" w:after="120"/>
        <w:jc w:val="both"/>
        <w:rPr>
          <w:rFonts w:ascii="Arial" w:hAnsi="Arial"/>
          <w:b w:val="false"/>
          <w:i/>
          <w:color w:val="000000"/>
          <w:sz w:val="20"/>
        </w:rPr>
      </w:pPr>
      <w:r>
        <w:rPr>
          <w:rFonts w:ascii="Arial" w:hAnsi="Arial"/>
          <w:b w:val="false"/>
          <w:i/>
          <w:color w:val="000000"/>
          <w:sz w:val="20"/>
        </w:rPr>
        <w:t>Indemnification Agreements</w:t>
      </w:r>
    </w:p>
    <w:p>
      <w:pPr>
        <w:pStyle w:val="TextBody"/>
        <w:bidi w:val="0"/>
        <w:spacing w:before="120" w:after="283"/>
        <w:jc w:val="both"/>
        <w:rPr>
          <w:rFonts w:ascii="Arial" w:hAnsi="Arial"/>
          <w:color w:val="000000"/>
          <w:sz w:val="20"/>
        </w:rPr>
      </w:pPr>
      <w:r>
        <w:rPr>
          <w:rFonts w:ascii="Arial" w:hAnsi="Arial"/>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June 30, 2026, the Company had not incurred any material costs as a result of such indemnifications.</w:t>
      </w:r>
    </w:p>
    <w:p>
      <w:pPr>
        <w:pStyle w:val="TextBody"/>
        <w:bidi w:val="0"/>
        <w:spacing w:before="240" w:after="283"/>
        <w:jc w:val="left"/>
        <w:rPr>
          <w:rFonts w:ascii="Arial" w:hAnsi="Arial"/>
          <w:b/>
          <w:color w:val="000000"/>
          <w:sz w:val="20"/>
        </w:rPr>
      </w:pPr>
      <w:r>
        <w:rPr>
          <w:rFonts w:ascii="Arial" w:hAnsi="Arial"/>
          <w:b/>
          <w:color w:val="000000"/>
          <w:sz w:val="20"/>
        </w:rPr>
        <w:t>11.</w:t>
      </w:r>
    </w:p>
    <w:p>
      <w:pPr>
        <w:pStyle w:val="TextBody"/>
        <w:bidi w:val="0"/>
        <w:spacing w:before="240" w:after="283"/>
        <w:jc w:val="left"/>
        <w:rPr>
          <w:rFonts w:ascii="Arial" w:hAnsi="Arial"/>
          <w:b/>
          <w:color w:val="000000"/>
          <w:sz w:val="20"/>
        </w:rPr>
      </w:pPr>
      <w:r>
        <w:rPr>
          <w:rFonts w:ascii="Arial" w:hAnsi="Arial"/>
          <w:b/>
          <w:color w:val="000000"/>
          <w:sz w:val="20"/>
        </w:rPr>
        <w:t>Long-term Borrowing</w:t>
      </w:r>
    </w:p>
    <w:p>
      <w:pPr>
        <w:pStyle w:val="TextBody"/>
        <w:bidi w:val="0"/>
        <w:spacing w:before="240" w:after="283"/>
        <w:jc w:val="both"/>
        <w:rPr>
          <w:rFonts w:ascii="Times New Roman" w:hAnsi="Times New Roman"/>
          <w:sz w:val="20"/>
        </w:rPr>
      </w:pPr>
      <w:r>
        <w:rPr>
          <w:rFonts w:ascii="Arial" w:hAnsi="Arial"/>
          <w:color w:val="000000"/>
          <w:sz w:val="20"/>
        </w:rPr>
        <w:t>On September 5, 2023, the Company entered into the Original Loan Agreement by and between the Company and the Bank. The Original Loan Agreement provided for a four-year</w:t>
      </w:r>
      <w:r>
        <w:rPr>
          <w:rFonts w:ascii="Times New Roman" w:hAnsi="Times New Roman"/>
          <w:color w:val="000000"/>
          <w:sz w:val="20"/>
        </w:rPr>
        <w:t xml:space="preserve"> </w:t>
      </w:r>
      <w:r>
        <w:rPr>
          <w:rFonts w:ascii="Arial" w:hAnsi="Arial"/>
          <w:color w:val="000000"/>
          <w:sz w:val="20"/>
        </w:rPr>
        <w:t>senior secured credit facility in an aggregate principal amount of up to $50.0</w:t>
      </w:r>
      <w:r>
        <w:rPr>
          <w:rFonts w:ascii="Times New Roman" w:hAnsi="Times New Roman"/>
          <w:color w:val="000000"/>
          <w:sz w:val="20"/>
        </w:rPr>
        <w:t xml:space="preserve"> </w:t>
      </w:r>
      <w:r>
        <w:rPr>
          <w:rFonts w:ascii="Arial" w:hAnsi="Arial"/>
          <w:color w:val="000000"/>
          <w:sz w:val="20"/>
        </w:rPr>
        <w:t>million (the "Original Credit Facility"), of which $25.0</w:t>
      </w:r>
      <w:r>
        <w:rPr>
          <w:rFonts w:ascii="Times New Roman" w:hAnsi="Times New Roman"/>
          <w:color w:val="000000"/>
          <w:sz w:val="20"/>
        </w:rPr>
        <w:t xml:space="preserve"> </w:t>
      </w:r>
      <w:r>
        <w:rPr>
          <w:rFonts w:ascii="Arial" w:hAnsi="Arial"/>
          <w:color w:val="000000"/>
          <w:sz w:val="20"/>
        </w:rPr>
        <w:t>million became available upon the closing of a private placement and the issuance of our common stock to selected institutional and accredited investors pursuant to a securities purchase agreement in September 2023 ("Term Loan A"), and the remaining $25.0</w:t>
      </w:r>
      <w:r>
        <w:rPr>
          <w:rFonts w:ascii="Times New Roman" w:hAnsi="Times New Roman"/>
          <w:color w:val="000000"/>
          <w:sz w:val="20"/>
        </w:rPr>
        <w:t xml:space="preserve"> </w:t>
      </w:r>
      <w:r>
        <w:rPr>
          <w:rFonts w:ascii="Arial" w:hAnsi="Arial"/>
          <w:color w:val="000000"/>
          <w:sz w:val="20"/>
        </w:rPr>
        <w:t>million could have been made available upon approval of the Bank in its discretion. The Original Credit Facility was scheduled to mature on August 1, 2027</w:t>
      </w:r>
      <w:r>
        <w:rPr>
          <w:rFonts w:ascii="Times New Roman" w:hAnsi="Times New Roman"/>
          <w:color w:val="000000"/>
          <w:sz w:val="20"/>
        </w:rPr>
        <w:t xml:space="preserve"> </w:t>
      </w:r>
      <w:r>
        <w:rPr>
          <w:rFonts w:ascii="Arial" w:hAnsi="Arial"/>
          <w:color w:val="000000"/>
          <w:sz w:val="20"/>
        </w:rPr>
        <w:t>(the "Original Maturity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June 28, 2024, the Company entered into the First Amendment, which, among other things, (i) increased the aggregate principal amount of the Original Credit Facility from up to $50.0</w:t>
      </w:r>
      <w:r>
        <w:rPr>
          <w:rFonts w:ascii="Times New Roman" w:hAnsi="Times New Roman"/>
          <w:color w:val="000000"/>
          <w:sz w:val="20"/>
        </w:rPr>
        <w:t xml:space="preserve"> </w:t>
      </w:r>
      <w:r>
        <w:rPr>
          <w:rFonts w:ascii="Arial" w:hAnsi="Arial"/>
          <w:color w:val="000000"/>
          <w:sz w:val="20"/>
        </w:rPr>
        <w:t>million to up to $100.0</w:t>
      </w:r>
      <w:r>
        <w:rPr>
          <w:rFonts w:ascii="Times New Roman" w:hAnsi="Times New Roman"/>
          <w:color w:val="000000"/>
          <w:sz w:val="20"/>
        </w:rPr>
        <w:t xml:space="preserve"> </w:t>
      </w:r>
      <w:r>
        <w:rPr>
          <w:rFonts w:ascii="Arial" w:hAnsi="Arial"/>
          <w:color w:val="000000"/>
          <w:sz w:val="20"/>
        </w:rPr>
        <w:t>million (the "Credit Facility"), of which the Term Loan A of $25.0</w:t>
      </w:r>
      <w:r>
        <w:rPr>
          <w:rFonts w:ascii="Times New Roman" w:hAnsi="Times New Roman"/>
          <w:color w:val="000000"/>
          <w:sz w:val="20"/>
        </w:rPr>
        <w:t xml:space="preserve"> </w:t>
      </w:r>
      <w:r>
        <w:rPr>
          <w:rFonts w:ascii="Arial" w:hAnsi="Arial"/>
          <w:color w:val="000000"/>
          <w:sz w:val="20"/>
        </w:rPr>
        <w:t>million was immediately available, an additional $25.0</w:t>
      </w:r>
      <w:r>
        <w:rPr>
          <w:rFonts w:ascii="Times New Roman" w:hAnsi="Times New Roman"/>
          <w:color w:val="000000"/>
          <w:sz w:val="20"/>
        </w:rPr>
        <w:t xml:space="preserve"> </w:t>
      </w:r>
      <w:r>
        <w:rPr>
          <w:rFonts w:ascii="Arial" w:hAnsi="Arial"/>
          <w:color w:val="000000"/>
          <w:sz w:val="20"/>
        </w:rPr>
        <w:t>million became available upon the Company achieving certain milestones related to the execution of a first line pivotal Phase 3 clinical trial of palazestrant in combination with ribociclib ("Term Loan B"), and an additional $50.0</w:t>
      </w:r>
      <w:r>
        <w:rPr>
          <w:rFonts w:ascii="Times New Roman" w:hAnsi="Times New Roman"/>
          <w:color w:val="000000"/>
          <w:sz w:val="20"/>
        </w:rPr>
        <w:t xml:space="preserve"> </w:t>
      </w:r>
      <w:r>
        <w:rPr>
          <w:rFonts w:ascii="Arial" w:hAnsi="Arial"/>
          <w:color w:val="000000"/>
          <w:sz w:val="20"/>
        </w:rPr>
        <w:t>million which may be made available upon the approval of the Bank in its discretion ("Term Loan C"), and (ii) extended the Original Maturity Date to July 1, 2028.</w:t>
      </w:r>
    </w:p>
    <w:p>
      <w:pPr>
        <w:pStyle w:val="TextBody"/>
        <w:bidi w:val="0"/>
        <w:spacing w:before="240" w:after="283"/>
        <w:jc w:val="both"/>
        <w:rPr>
          <w:rFonts w:ascii="Times New Roman" w:hAnsi="Times New Roman"/>
          <w:sz w:val="20"/>
        </w:rPr>
      </w:pPr>
      <w:r>
        <w:rPr>
          <w:rFonts w:ascii="Arial" w:hAnsi="Arial"/>
          <w:color w:val="000000"/>
          <w:sz w:val="20"/>
        </w:rPr>
        <w:t>On June 27, 2025, the Company entered into the Second Amendment, which, among other things, (i) decreased the interest rate to a floating rate equal to the greater of 6.0% or the prime rate, and (ii) extended the draw period of the Term Loan A to January 15, 2026.</w:t>
      </w:r>
      <w:r>
        <w:rPr>
          <w:rFonts w:ascii="Times New Roman" w:hAnsi="Times New Roman"/>
          <w:color w:val="000000"/>
          <w:sz w:val="20"/>
        </w:rPr>
        <w:t xml:space="preserve"> </w:t>
      </w:r>
    </w:p>
    <w:p>
      <w:pPr>
        <w:pStyle w:val="TextBody"/>
        <w:bidi w:val="0"/>
        <w:spacing w:before="240" w:after="160"/>
        <w:jc w:val="both"/>
        <w:rPr>
          <w:rFonts w:ascii="Times New Roman" w:hAnsi="Times New Roman"/>
          <w:sz w:val="20"/>
        </w:rPr>
      </w:pPr>
      <w:r>
        <w:rPr>
          <w:rFonts w:ascii="Arial" w:hAnsi="Arial"/>
          <w:color w:val="000000"/>
          <w:sz w:val="20"/>
        </w:rPr>
        <w:t>On January 11, 2026, the Company entered into the Third Amendment, which, among other things, (i) extended the draw period of Term Loan A to January 31, 2027, (ii) extended the draw period of Term Loan B to January 31, 2027, (iii) extended the draw period of Term Loan C to January 31, 2027, and (iv) extended the maturity date to January 1, 2029</w:t>
      </w:r>
      <w:r>
        <w:rPr>
          <w:rFonts w:ascii="Times New Roman" w:hAnsi="Times New Roman"/>
          <w:color w:val="000000"/>
          <w:sz w:val="20"/>
        </w:rPr>
        <w:t xml:space="preserve"> </w:t>
      </w:r>
      <w:r>
        <w:rPr>
          <w:rFonts w:ascii="Arial" w:hAnsi="Arial"/>
          <w:color w:val="000000"/>
          <w:sz w:val="20"/>
        </w:rPr>
        <w:t>("Maturity Date").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may be further extended to July 1, 2029.</w:t>
      </w:r>
    </w:p>
    <w:p>
      <w:pPr>
        <w:pStyle w:val="TextBody"/>
        <w:bidi w:val="0"/>
        <w:spacing w:before="80" w:after="160"/>
        <w:jc w:val="both"/>
        <w:rPr>
          <w:rFonts w:ascii="Arial" w:hAnsi="Arial"/>
          <w:color w:val="000000"/>
          <w:sz w:val="20"/>
        </w:rPr>
      </w:pPr>
      <w:r>
        <w:rPr>
          <w:rFonts w:ascii="Arial" w:hAnsi="Arial"/>
          <w:color w:val="000000"/>
          <w:sz w:val="20"/>
        </w:rPr>
        <w:t>On July 1, 2026, the Company entered into the Fourth Amendment, which, among other things, added Olema Oncology International Limited as a secured guarantor under the Loan Agreement.</w:t>
      </w:r>
    </w:p>
    <w:p>
      <w:pPr>
        <w:pStyle w:val="TextBody"/>
        <w:bidi w:val="0"/>
        <w:spacing w:before="80" w:after="283"/>
        <w:jc w:val="both"/>
        <w:rPr>
          <w:rFonts w:ascii="Times New Roman" w:hAnsi="Times New Roman"/>
          <w:sz w:val="20"/>
        </w:rPr>
      </w:pPr>
      <w:r>
        <w:rPr>
          <w:rFonts w:ascii="Arial" w:hAnsi="Arial"/>
          <w:color w:val="000000"/>
          <w:sz w:val="20"/>
        </w:rPr>
        <w:t>The obligations under the Loan Agreement are secured by substantially all of the assets of the Company, subject to limited exceptions.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term of the Credit Facility, interest will accrue on any outstanding balance due under the Credit Facility at a floating rate per annum equal to the greater of (i) 6.0% and (ii) the prime rate. During an event of default, any outstanding amount under the Credit Facility will bear interest at a rate of 3.0% in excess of the otherwise applicable rate of interest. The Company will pay certain fees with respect to the Credit Facility,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including a prepayment fee on any amount advanced under the Credit Facility to the extent paid prior to the Maturity Date, a final payment fee on the amount advanced under the Credit Facility.</w:t>
      </w:r>
    </w:p>
    <w:p>
      <w:pPr>
        <w:pStyle w:val="TextBody"/>
        <w:bidi w:val="0"/>
        <w:spacing w:before="240" w:after="283"/>
        <w:jc w:val="both"/>
        <w:rPr>
          <w:rFonts w:ascii="Arial" w:hAnsi="Arial"/>
          <w:color w:val="000000"/>
          <w:sz w:val="20"/>
        </w:rPr>
      </w:pPr>
      <w:r>
        <w:rPr>
          <w:rFonts w:ascii="Arial" w:hAnsi="Arial"/>
          <w:color w:val="000000"/>
          <w:sz w:val="20"/>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pStyle w:val="TextBody"/>
        <w:bidi w:val="0"/>
        <w:spacing w:before="240" w:after="283"/>
        <w:jc w:val="both"/>
        <w:rPr>
          <w:rFonts w:ascii="Arial" w:hAnsi="Arial"/>
          <w:color w:val="000000"/>
          <w:sz w:val="20"/>
        </w:rPr>
      </w:pPr>
      <w:r>
        <w:rPr>
          <w:rFonts w:ascii="Arial" w:hAnsi="Arial"/>
          <w:color w:val="000000"/>
          <w:sz w:val="20"/>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pStyle w:val="TextBody"/>
        <w:bidi w:val="0"/>
        <w:spacing w:before="240" w:after="283"/>
        <w:jc w:val="both"/>
        <w:rPr>
          <w:rFonts w:ascii="Times New Roman" w:hAnsi="Times New Roman"/>
          <w:sz w:val="20"/>
        </w:rPr>
      </w:pPr>
      <w:r>
        <w:rPr>
          <w:rFonts w:ascii="Arial" w:hAnsi="Arial"/>
          <w:color w:val="000000"/>
          <w:sz w:val="20"/>
        </w:rPr>
        <w:t>As of June 30, 2026, the Company had drawn</w:t>
      </w:r>
      <w:r>
        <w:rPr>
          <w:rFonts w:ascii="Times New Roman" w:hAnsi="Times New Roman"/>
          <w:color w:val="000000"/>
          <w:sz w:val="20"/>
        </w:rPr>
        <w:t xml:space="preserve"> </w:t>
      </w:r>
      <w:r>
        <w:rPr>
          <w:rFonts w:ascii="Arial" w:hAnsi="Arial"/>
          <w:color w:val="000000"/>
          <w:sz w:val="20"/>
        </w:rPr>
        <w:t>$3.0</w:t>
      </w:r>
      <w:r>
        <w:rPr>
          <w:rFonts w:ascii="Times New Roman" w:hAnsi="Times New Roman"/>
          <w:color w:val="000000"/>
          <w:sz w:val="20"/>
        </w:rPr>
        <w:t xml:space="preserve"> </w:t>
      </w:r>
      <w:r>
        <w:rPr>
          <w:rFonts w:ascii="Arial" w:hAnsi="Arial"/>
          <w:color w:val="000000"/>
          <w:sz w:val="20"/>
        </w:rPr>
        <w:t>million from the Credit Facility which was recorded at cost and presented as long-term borrowing on the consolidated balance sheet. The interest expense amounted to $0.1</w:t>
      </w:r>
      <w:r>
        <w:rPr>
          <w:rFonts w:ascii="Times New Roman" w:hAnsi="Times New Roman"/>
          <w:color w:val="000000"/>
          <w:sz w:val="20"/>
        </w:rPr>
        <w:t xml:space="preserve"> </w:t>
      </w:r>
      <w:r>
        <w:rPr>
          <w:rFonts w:ascii="Arial" w:hAnsi="Arial"/>
          <w:color w:val="000000"/>
          <w:sz w:val="20"/>
        </w:rPr>
        <w:t>million for the six months ended June 30, 2026, which was included in other income on the condensed consolidated statement of operations and comprehensive loss. As of June 30, 2026, the carrying amount of the borrowing approximated fair value, as the interest rate is variable and resets periodically based on market rates.</w:t>
      </w:r>
    </w:p>
    <w:p>
      <w:pPr>
        <w:pStyle w:val="TextBody"/>
        <w:bidi w:val="0"/>
        <w:jc w:val="left"/>
        <w:rPr/>
      </w:pPr>
      <w:r>
        <w:rPr/>
        <w:t> </w:t>
      </w:r>
    </w:p>
    <w:p>
      <w:pPr>
        <w:pStyle w:val="TextBody"/>
        <w:bidi w:val="0"/>
        <w:spacing w:before="240" w:after="283"/>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12.</w:t>
      </w:r>
    </w:p>
    <w:p>
      <w:pPr>
        <w:pStyle w:val="TextBody"/>
        <w:bidi w:val="0"/>
        <w:spacing w:before="120" w:after="283"/>
        <w:jc w:val="left"/>
        <w:rPr>
          <w:rFonts w:ascii="Arial" w:hAnsi="Arial"/>
          <w:b/>
          <w:color w:val="000000"/>
          <w:sz w:val="20"/>
        </w:rPr>
      </w:pPr>
      <w:r>
        <w:rPr>
          <w:rFonts w:ascii="Arial" w:hAnsi="Arial"/>
          <w:b/>
          <w:color w:val="000000"/>
          <w:sz w:val="20"/>
        </w:rPr>
        <w:t>Pre-Funded Warrants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Company accounts for the pre-funded warrants as a freestanding equity-linked financial instrument that met the criteria for equity classification pursuant to ASC 480 and ASC 815. Accordingly, the Company recorded the pre-funded warrants as a component of stockholders' equity within additional paid-in capital.</w:t>
      </w:r>
      <w:r>
        <w:rPr>
          <w:rFonts w:ascii="Times New Roman" w:hAnsi="Times New Roman"/>
          <w:color w:val="000000"/>
          <w:sz w:val="20"/>
        </w:rPr>
        <w:t xml:space="preserve"> </w:t>
      </w:r>
      <w:r>
        <w:rPr>
          <w:rFonts w:ascii="Arial" w:hAnsi="Arial"/>
          <w:color w:val="000000"/>
          <w:sz w:val="20"/>
        </w:rPr>
        <w:t>During the six months ended June 30, 2026, partial pre-funded warrants were exercised in exchange for 3.5</w:t>
      </w:r>
      <w:r>
        <w:rPr>
          <w:rFonts w:ascii="Times New Roman" w:hAnsi="Times New Roman"/>
          <w:color w:val="000000"/>
          <w:sz w:val="20"/>
        </w:rPr>
        <w:t xml:space="preserve"> </w:t>
      </w:r>
      <w:r>
        <w:rPr>
          <w:rFonts w:ascii="Arial" w:hAnsi="Arial"/>
          <w:color w:val="000000"/>
          <w:sz w:val="20"/>
        </w:rPr>
        <w:t>million shares of the Company's common shares. The following table summarizes the pre-funded warrants issued and outstanding as of June 30, 2026:</w:t>
      </w:r>
    </w:p>
    <w:p>
      <w:pPr>
        <w:pStyle w:val="TextBody"/>
        <w:bidi w:val="0"/>
        <w:jc w:val="left"/>
        <w:rPr/>
      </w:pPr>
      <w:r>
        <w:rPr/>
        <w:t> </w:t>
      </w:r>
    </w:p>
    <w:tbl>
      <w:tblPr>
        <w:tblW w:w="9357" w:type="dxa"/>
        <w:jc w:val="left"/>
        <w:tblInd w:w="0" w:type="dxa"/>
        <w:tblLayout w:type="fixed"/>
        <w:tblCellMar>
          <w:top w:w="28" w:type="dxa"/>
          <w:left w:w="28" w:type="dxa"/>
          <w:bottom w:w="28" w:type="dxa"/>
          <w:right w:w="28" w:type="dxa"/>
        </w:tblCellMar>
      </w:tblPr>
      <w:tblGrid>
        <w:gridCol w:w="3316"/>
        <w:gridCol w:w="146"/>
        <w:gridCol w:w="1321"/>
        <w:gridCol w:w="146"/>
        <w:gridCol w:w="280"/>
        <w:gridCol w:w="920"/>
        <w:gridCol w:w="146"/>
        <w:gridCol w:w="146"/>
        <w:gridCol w:w="330"/>
        <w:gridCol w:w="2415"/>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4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Issued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Warrants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2024</w:t>
            </w:r>
            <w:r>
              <w:rPr>
                <w:rFonts w:ascii="Times New Roman" w:hAnsi="Times New Roman"/>
                <w:color w:val="000000"/>
                <w:sz w:val="20"/>
              </w:rPr>
              <w:t> </w:t>
            </w:r>
            <w:r>
              <w:rPr>
                <w:rFonts w:ascii="Arial" w:hAnsi="Arial"/>
                <w:color w:val="000000"/>
                <w:sz w:val="20"/>
              </w:rPr>
              <w:t>(Private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4,104,149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2024</w:t>
            </w:r>
            <w:r>
              <w:rPr>
                <w:rFonts w:ascii="Times New Roman" w:hAnsi="Times New Roman"/>
                <w:color w:val="000000"/>
                <w:sz w:val="20"/>
              </w:rPr>
              <w:t> </w:t>
            </w:r>
            <w:r>
              <w:rPr>
                <w:rFonts w:ascii="Arial" w:hAnsi="Arial"/>
                <w:color w:val="000000"/>
                <w:sz w:val="20"/>
              </w:rPr>
              <w:t>(Warrant Exchange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2025</w:t>
            </w:r>
            <w:r>
              <w:rPr>
                <w:rFonts w:ascii="Times New Roman" w:hAnsi="Times New Roman"/>
                <w:color w:val="000000"/>
                <w:sz w:val="20"/>
              </w:rPr>
              <w:t> </w:t>
            </w:r>
            <w:r>
              <w:rPr>
                <w:rFonts w:ascii="Arial" w:hAnsi="Arial"/>
                <w:color w:val="000000"/>
                <w:sz w:val="20"/>
              </w:rPr>
              <w:t>(Warrant Exchange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13,594,149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jc w:val="both"/>
        <w:rPr>
          <w:rFonts w:ascii="Arial" w:hAnsi="Arial"/>
          <w:color w:val="000000"/>
          <w:sz w:val="20"/>
        </w:rPr>
      </w:pPr>
      <w:bookmarkStart w:id="10" w:name="item2managementsdiscussionandanalysisoff"/>
      <w:bookmarkEnd w:id="10"/>
      <w:r>
        <w:rPr>
          <w:rFonts w:ascii="Arial" w:hAnsi="Arial"/>
          <w:color w:val="000000"/>
          <w:sz w:val="20"/>
        </w:rPr>
        <w:t>Item 2. Management’s Discussion and Analysis of Financial Condition and Results of Operations.</w:t>
      </w:r>
    </w:p>
    <w:p>
      <w:pPr>
        <w:pStyle w:val="TextBody"/>
        <w:bidi w:val="0"/>
        <w:spacing w:before="240" w:after="283"/>
        <w:jc w:val="both"/>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the unaudited condensed consolidated financial statements and related notes that are included elsewhere in this Quarterly Report on Form 10</w:t>
        <w:noBreakHyphen/>
        <w:t>Q, or Quarterly Report, and the audited financial statements and related notes that are included in our Annual Report on Form 10</w:t>
        <w:noBreakHyphen/>
        <w:t>K for the fiscal year ended December 31, 2025, filed with the U.S. Securities and Exchange Commission, or the SEC, on March 16, 2026, or our Annual Report.</w:t>
      </w:r>
    </w:p>
    <w:p>
      <w:pPr>
        <w:pStyle w:val="TextBody"/>
        <w:bidi w:val="0"/>
        <w:spacing w:before="240" w:after="283"/>
        <w:jc w:val="both"/>
        <w:rPr>
          <w:rFonts w:ascii="Times New Roman" w:hAnsi="Times New Roman"/>
          <w:sz w:val="20"/>
        </w:rPr>
      </w:pPr>
      <w:r>
        <w:rPr>
          <w:rFonts w:ascii="Arial" w:hAnsi="Arial"/>
          <w:i/>
          <w:color w:val="000000"/>
          <w:sz w:val="20"/>
        </w:rPr>
        <w:t>This Quarterly Report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Arial" w:hAnsi="Arial"/>
          <w:color w:val="000000"/>
          <w:sz w:val="20"/>
        </w:rPr>
      </w:pPr>
      <w:r>
        <w:rPr>
          <w:rFonts w:ascii="Arial" w:hAnsi="Arial"/>
          <w:color w:val="000000"/>
          <w:sz w:val="20"/>
        </w:rPr>
        <w:t>Olema is a clinical-stage biopharmaceutical company focused on the discovery, development, and commercialization of next-generation targeted therapies for breast cancer and beyond. We are advancing our pipeline of novel therapies by leveraging our deep understanding of endocrine-driven cancers, nuclear receptors, and mechanisms of acquired resistance.</w:t>
      </w:r>
    </w:p>
    <w:p>
      <w:pPr>
        <w:pStyle w:val="TextBody"/>
        <w:bidi w:val="0"/>
        <w:spacing w:before="240" w:after="283"/>
        <w:jc w:val="both"/>
        <w:rPr>
          <w:rFonts w:ascii="Arial" w:hAnsi="Arial"/>
          <w:color w:val="000000"/>
          <w:sz w:val="20"/>
        </w:rPr>
      </w:pPr>
      <w:r>
        <w:rPr>
          <w:rFonts w:ascii="Arial" w:hAnsi="Arial"/>
          <w:color w:val="000000"/>
          <w:sz w:val="20"/>
        </w:rPr>
        <w:t>Our lead product candidate, palazestrant, is a novel, orally-available small molecule with dual activity as both a complete estrogen receptor (ER) antagonist (CERAN) and selective ER degrader (SERD), currently being investigated in patients with recurrent, locally advanced or metastatic ER positive (ER+), human epidermal growth factor receptor 2 negative (HER2-) breast cancer. In pre-clinical models, palazestrant binds and completely blocks ER-driven transcriptional activity in both wild-type and mutant forms of ER+ metastatic breast cancer (MBC). In clinical studies across more than 400 patients, palazestrant has demonstrated strong anti-tumor activity, attractive pharmacokinetics and prolonged drug exposure, favorable tolerability, and combinability with cyclin dependent kinase 4/6 (CDK4/6) inhibitors with no significant drug-drug interaction. Based on the clinical results we have achieved to date, we are advancing palazestrant through late-stage clinical development both as a monotherapy and in combination with other targeted agents.</w:t>
      </w:r>
    </w:p>
    <w:p>
      <w:pPr>
        <w:pStyle w:val="TextBody"/>
        <w:bidi w:val="0"/>
        <w:spacing w:before="240" w:after="283"/>
        <w:jc w:val="both"/>
        <w:rPr>
          <w:rFonts w:ascii="Arial" w:hAnsi="Arial"/>
          <w:color w:val="000000"/>
          <w:sz w:val="20"/>
        </w:rPr>
      </w:pPr>
      <w:r>
        <w:rPr>
          <w:rFonts w:ascii="Arial" w:hAnsi="Arial"/>
          <w:color w:val="000000"/>
          <w:sz w:val="20"/>
        </w:rPr>
        <w:t>In November 2023, we initiated OPERA-01, our pivotal Phase 3 clinical trial of palazestrant as a monotherapy in second/third-line ER+/HER2- MBC. We have completed enrollment and anticipate top-line results for this trial in the first quarter of 2027, expect to submit the new drug application (NDA) in 2027, and, if successful, anticipate potential U.S. Food and Drug Administration (FDA) approval and commercial launch in 2028.</w:t>
      </w:r>
    </w:p>
    <w:p>
      <w:pPr>
        <w:pStyle w:val="TextBody"/>
        <w:bidi w:val="0"/>
        <w:spacing w:before="240" w:after="283"/>
        <w:jc w:val="both"/>
        <w:rPr>
          <w:rFonts w:ascii="Times New Roman" w:hAnsi="Times New Roman"/>
          <w:sz w:val="20"/>
        </w:rPr>
      </w:pPr>
      <w:r>
        <w:rPr>
          <w:rFonts w:ascii="Arial" w:hAnsi="Arial"/>
          <w:color w:val="000000"/>
          <w:sz w:val="20"/>
        </w:rPr>
        <w:t>In addition, we are investigating palazestrant in multiple Phase 1/2 studies in combination with CDK4/6 inhibitors (palbociclib or ribociclib), a phosphatidylinositol-3-kinase alpha (PI3Ka) inhibitor (alpelisib), with an mTOR inhibitor (everolimus), and a CDK4 inhibitor (atirmociclib). The Phase 1b/2 study investigating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palazestrant in combination with atirmociclib has completed enrollment. In October 2025, at the European Society for Medical Oncology (ESMO) Annual Meeting, we presented updated results from the ongoing Phase 1b/2 clinical trial of palazestrant in combination with ribociclib in patients with ER+/HER2- MBC. This data further support our thesis that palazestrant possesses key characteristics to make it a potential backbone endocrine therapy of preference for ER+/HER2- breast cancer, while also supporting the ongoing pivotal Phase 3 clinical trial of palazestrant in combination with ribociclib in frontline ER+/HER2- MBC, called OPERA-02. The execution of OPERA-02 is supported by our clinical trial collaboration and supply agreement with Novartis Pharma AG (Novartis), which was announced in December 2024. Under the terms of the agreement, Novartis is providing Olema with ribociclib drug supply for the OPERA-02 trial, which initiated in 2025 and is currently enrolling patients.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second product candidate in clinical development, called OP-3136, is a novel, orally-available small molecule that potently and selectively inhibits KAT6, an epigenetic target that is dysregulated in breast and other cancers. The Investigational New Drug (IND) application for OP-3136 was cleared by the FDA in late 2024 and the Phase 1 study is enrolling patients. In preclinical studies, OP-3136 has demonstrated anti-tumor activity in prostate, ovarian, and non-small cell lung cancer models and is combinable and synergistic with endocrine therapies, including palazestrant and CDK4/6 inhibitors, in breast cancer models. At the American Association for Cancer Research (AACR) Annual Meeting in April 2026, we presented additional preclinical data demonstrating that OP-3136, in combination with palazestrant, exhibited synergistic anti-tumor activity in ER+/HER2- breast cancer models driven by suppression of cell-cycle and estrogen receptor-driven oncogenic signaling.</w:t>
      </w:r>
    </w:p>
    <w:p>
      <w:pPr>
        <w:pStyle w:val="TextBody"/>
        <w:bidi w:val="0"/>
        <w:spacing w:before="240" w:after="283"/>
        <w:jc w:val="both"/>
        <w:rPr>
          <w:rFonts w:ascii="Times New Roman" w:hAnsi="Times New Roman"/>
          <w:sz w:val="20"/>
        </w:rPr>
      </w:pPr>
      <w:r>
        <w:rPr>
          <w:rFonts w:ascii="Arial" w:hAnsi="Arial"/>
          <w:color w:val="000000"/>
          <w:sz w:val="20"/>
        </w:rPr>
        <w:t>At the 2026 American Society of Clinical Oncology (ASCO) Annual Meeting, we presented encouraging initial clinical data from the monotherapy arm of the OP-3136 Phase 1 study. These data showed OP-3136 monotherapy was well-tolerated, with no dose-limiting toxicities observed and no discontinuations due to treatment-related adverse events, and showed evidence of anti-tumor activity across multiple solid tumor types at multiple dose levels. We anticipate presenting initial combination data from the Phase 1 clinical study of OP-3136 in combination with fulvestrant or palazestrant in mid-2027. Furthermore, in May 2026, we announced a clinical trial collaboration and supply agreement with Bayer AG (Bayer) to evaluate the safety, tolerability, and preliminary anti-tumor activity OP-3136 in combination with NUBEQA</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(darolutamide), Bayer’s androgen receptor inhibitor, in approximately 36 patients with metastatic castration-resistant prostate cancer. This new combination arm in the ongoing OP-3136 Phase 1 study is expected to initiate in the fourth quarter of 2026.</w:t>
      </w:r>
    </w:p>
    <w:p>
      <w:pPr>
        <w:pStyle w:val="TextBody"/>
        <w:bidi w:val="0"/>
        <w:spacing w:before="240" w:after="240"/>
        <w:jc w:val="both"/>
        <w:rPr>
          <w:rFonts w:ascii="Arial" w:hAnsi="Arial"/>
          <w:color w:val="000000"/>
          <w:sz w:val="20"/>
        </w:rPr>
      </w:pPr>
      <w:r>
        <w:rPr>
          <w:rFonts w:ascii="Arial" w:hAnsi="Arial"/>
          <w:color w:val="000000"/>
          <w:sz w:val="20"/>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bidi w:val="0"/>
        <w:jc w:val="both"/>
        <w:rPr>
          <w:rFonts w:ascii="Arial" w:hAnsi="Arial"/>
          <w:color w:val="000000"/>
          <w:sz w:val="20"/>
        </w:rPr>
      </w:pPr>
      <w:r>
        <w:rPr>
          <w:rFonts w:ascii="Arial" w:hAnsi="Arial"/>
          <w:color w:val="000000"/>
          <w:sz w:val="20"/>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240" w:after="283"/>
        <w:jc w:val="both"/>
        <w:rPr>
          <w:rFonts w:ascii="Times New Roman" w:hAnsi="Times New Roman"/>
          <w:sz w:val="20"/>
        </w:rPr>
      </w:pPr>
      <w:r>
        <w:rPr>
          <w:rFonts w:ascii="Arial" w:hAnsi="Arial"/>
          <w:color w:val="000000"/>
          <w:sz w:val="20"/>
        </w:rPr>
        <w:t>We have incurred significant operating losses since the commencement of our operations. Our net losses were $116.3 million and $74.2 million for the six months ended June 30, 2026 and 2025, respectively. We expect to incur significant and increasing losses for the foreseeable future as we continue to advance our product candidates, make potential milestone payments to our licensors, and continue to operate as a public company. Our net losses may fluctuate significantly from period to period, depending on the timing of expenditures on our research and development activities. As of June 30, 2026, we had an accumulated deficit of $713.8 million. Our primary use of cash is to fund operating expenses, which consist primarily of research and development expenditures and general and administrative expenditures. Cash used to fund operating expenses is impacted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by the timing of when we pay these expenses, as reflected in the change in our outstanding accounts payable and other current liabilities.</w:t>
      </w:r>
    </w:p>
    <w:p>
      <w:pPr>
        <w:pStyle w:val="TextBody"/>
        <w:bidi w:val="0"/>
        <w:spacing w:before="240" w:after="283"/>
        <w:jc w:val="both"/>
        <w:rPr>
          <w:rFonts w:ascii="Arial" w:hAnsi="Arial"/>
          <w:color w:val="000000"/>
          <w:sz w:val="20"/>
        </w:rPr>
      </w:pPr>
      <w:r>
        <w:rPr>
          <w:rFonts w:ascii="Arial" w:hAnsi="Arial"/>
          <w:color w:val="000000"/>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our ongoing and planned research and development of our lead product candidate, palazestrant, for the treatment of ER+/HER2- breast cancer;</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to enroll patients in the Phase 1 study for OP-3136 and any additional product candidates that we may pursue in the future;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to discover and develop additional product candidates and further expand our clinical product pipeline;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regulatory approvals for any product candidates that successfully complete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to scale up external manufacturing capacity with the aim of securing sufficient quantities to meet our capacity requirements for clinical trials and potential commercialization;</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 a sales, marketing and distribution infrastructure to commercialize any approved product candidates and related additional commercial manufacturing costs;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 maintain, expand, protect and enforce our intellectual property portfolio, including patents, trade secrets and know how;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acquire or in-license other product candidates and technologies;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attract, hire and retain additional clinical, scientific, quality control, and manufacturing management and administrative personnel;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add clinical, operational, financial and management information systems and personnel, including personnel to support our product development and planned future commercialization efforts;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expand our operations in the United States and in other geographies;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incur additional legal, accounting, investor relations, and other expenses associated with operating as a public company.</w:t>
      </w:r>
    </w:p>
    <w:p>
      <w:pPr>
        <w:pStyle w:val="TextBody"/>
        <w:bidi w:val="0"/>
        <w:spacing w:before="240" w:after="283"/>
        <w:jc w:val="both"/>
        <w:rPr>
          <w:rFonts w:ascii="Arial" w:hAnsi="Arial"/>
          <w:color w:val="000000"/>
          <w:sz w:val="20"/>
        </w:rPr>
      </w:pPr>
      <w:r>
        <w:rPr>
          <w:rFonts w:ascii="Arial" w:hAnsi="Arial"/>
          <w:color w:val="000000"/>
          <w:sz w:val="20"/>
        </w:rPr>
        <w:t>Our net losses may fluctuate significantly from quarter-to-quarter and year-to-year, depending on the timing of our clinical trials, potential milestone payments to our licensors, and our expenditures on other research and development activities.</w:t>
      </w:r>
    </w:p>
    <w:p>
      <w:pPr>
        <w:pStyle w:val="TextBody"/>
        <w:bidi w:val="0"/>
        <w:spacing w:before="240" w:after="283"/>
        <w:jc w:val="both"/>
        <w:rPr>
          <w:rFonts w:ascii="Arial" w:hAnsi="Arial"/>
          <w:color w:val="000000"/>
          <w:sz w:val="20"/>
        </w:rPr>
      </w:pPr>
      <w:r>
        <w:rPr>
          <w:rFonts w:ascii="Arial" w:hAnsi="Arial"/>
          <w:color w:val="000000"/>
          <w:sz w:val="20"/>
        </w:rPr>
        <w:t xml:space="preserve">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geopolitical uncertainty,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revenue or positive cash flow from operating activities.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uncertainty due to the geopolitical and macroeconomic environment, generally, including economic and geopolitical uncertainty, market volatility, labor shortages, evolving trade and tariffs policies, including related legal challenges, trade tensions, and retaliatory measures by other countries, supply chain disruptions, military conflicts, as well as any related political or economic responses or counter-responses by various global actors, inflationary pressures, monetary supply shifts, increased recession risk, and related financial instability.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pStyle w:val="TextBody"/>
        <w:bidi w:val="0"/>
        <w:spacing w:before="240" w:after="283"/>
        <w:jc w:val="both"/>
        <w:rPr>
          <w:rFonts w:ascii="Arial" w:hAnsi="Arial"/>
          <w:b/>
          <w:color w:val="000000"/>
          <w:sz w:val="20"/>
        </w:rPr>
      </w:pPr>
      <w:r>
        <w:rPr>
          <w:rFonts w:ascii="Arial" w:hAnsi="Arial"/>
          <w:b/>
          <w:color w:val="000000"/>
          <w:sz w:val="20"/>
        </w:rPr>
        <w:t>Components of our results of operations</w:t>
      </w:r>
    </w:p>
    <w:p>
      <w:pPr>
        <w:pStyle w:val="TextBody"/>
        <w:bidi w:val="0"/>
        <w:spacing w:before="240" w:after="283"/>
        <w:jc w:val="both"/>
        <w:rPr>
          <w:rFonts w:ascii="Arial" w:hAnsi="Arial"/>
          <w:b/>
          <w:i/>
          <w:color w:val="000000"/>
          <w:sz w:val="20"/>
        </w:rPr>
      </w:pPr>
      <w:r>
        <w:rPr>
          <w:rFonts w:ascii="Arial" w:hAnsi="Arial"/>
          <w:b/>
          <w:i/>
          <w:color w:val="000000"/>
          <w:sz w:val="20"/>
        </w:rPr>
        <w:t>Revenue</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and do not expect to generate any revenue from the sale of products for the foreseeable future.</w:t>
      </w:r>
    </w:p>
    <w:p>
      <w:pPr>
        <w:pStyle w:val="TextBody"/>
        <w:bidi w:val="0"/>
        <w:spacing w:before="240" w:after="283"/>
        <w:jc w:val="both"/>
        <w:rPr>
          <w:rFonts w:ascii="Arial" w:hAnsi="Arial"/>
          <w:b/>
          <w:i/>
          <w:color w:val="000000"/>
          <w:sz w:val="20"/>
        </w:rPr>
      </w:pPr>
      <w:r>
        <w:rPr>
          <w:rFonts w:ascii="Arial" w:hAnsi="Arial"/>
          <w:b/>
          <w:i/>
          <w:color w:val="000000"/>
          <w:sz w:val="20"/>
        </w:rPr>
        <w:t>Operating expenses</w:t>
      </w:r>
    </w:p>
    <w:p>
      <w:pPr>
        <w:pStyle w:val="Heading2"/>
        <w:bidi w:val="0"/>
        <w:spacing w:before="240" w:after="283"/>
        <w:jc w:val="both"/>
        <w:rPr>
          <w:rFonts w:ascii="Arial" w:hAnsi="Arial"/>
          <w:b w:val="false"/>
          <w:i/>
          <w:color w:val="000000"/>
          <w:sz w:val="20"/>
        </w:rPr>
      </w:pPr>
      <w:r>
        <w:rPr>
          <w:rFonts w:ascii="Arial" w:hAnsi="Arial"/>
          <w:b w:val="false"/>
          <w:i/>
          <w:color w:val="000000"/>
          <w:sz w:val="20"/>
        </w:rPr>
        <w:t>Research and development</w:t>
      </w:r>
    </w:p>
    <w:p>
      <w:pPr>
        <w:pStyle w:val="TextBody"/>
        <w:bidi w:val="0"/>
        <w:spacing w:before="240" w:after="283"/>
        <w:jc w:val="both"/>
        <w:rPr>
          <w:rFonts w:ascii="Arial" w:hAnsi="Arial"/>
          <w:color w:val="000000"/>
          <w:sz w:val="20"/>
        </w:rPr>
      </w:pPr>
      <w:r>
        <w:rPr>
          <w:rFonts w:ascii="Arial" w:hAnsi="Arial"/>
          <w:color w:val="000000"/>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240" w:after="283"/>
        <w:jc w:val="both"/>
        <w:rPr>
          <w:rFonts w:ascii="Arial" w:hAnsi="Arial"/>
          <w:color w:val="000000"/>
          <w:sz w:val="20"/>
        </w:rPr>
      </w:pPr>
      <w:r>
        <w:rPr>
          <w:rFonts w:ascii="Arial" w:hAnsi="Arial"/>
          <w:color w:val="000000"/>
          <w:sz w:val="20"/>
        </w:rPr>
        <w:t>External expenses include: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expenses incurred in connection with the discovery efforts and non-clinical and clinical development of our product candidates, including under agreements with third parties, such as consultants and contract research organizations (CROs);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costs of manufacturing products for use in our non-clinical studies and clinical trials, including payments to contract manufacturing organizations (CMOs), and consultants;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funding research performed by third parties;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purchasing lab supplies and non-capital equipment used in designing, developing and manufacturing non-clinical study and clinical trial materials;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associated with consultants for chemistry, manufacturing and controls development, regulatory, statistics and other services;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expenses related to regulatory activities, including filing fees paid to regulatory agencies;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allocated facility-related costs, which include rent, depreciation and maintenance expenses, and other operating costs; and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costs to continue to enhance our clinical, operational, financial and information systems and expand our personnel to support ongoing product development and planned future commercialization efforts.</w:t>
      </w:r>
    </w:p>
    <w:p>
      <w:pPr>
        <w:pStyle w:val="TextBody"/>
        <w:bidi w:val="0"/>
        <w:spacing w:before="240" w:after="283"/>
        <w:jc w:val="both"/>
        <w:rPr>
          <w:rFonts w:ascii="Arial" w:hAnsi="Arial"/>
          <w:color w:val="000000"/>
          <w:sz w:val="20"/>
        </w:rPr>
      </w:pPr>
      <w:r>
        <w:rPr>
          <w:rFonts w:ascii="Arial" w:hAnsi="Arial"/>
          <w:color w:val="000000"/>
          <w:sz w:val="20"/>
        </w:rPr>
        <w:t>Internal expenses include employee and personnel-related costs and expenses, including salaries, benefits and stock-based compensation expense for employees and personnel engaged in research and development functions.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expenses in the periods in which they are incurred. Costs for certain activities, such as manufacturing, non-clinical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Arial" w:hAnsi="Arial"/>
          <w:color w:val="000000"/>
          <w:sz w:val="20"/>
        </w:rPr>
      </w:pPr>
      <w:r>
        <w:rPr>
          <w:rFonts w:ascii="Arial" w:hAnsi="Arial"/>
          <w:color w:val="000000"/>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bidi w:val="0"/>
        <w:spacing w:before="240" w:after="283"/>
        <w:jc w:val="both"/>
        <w:rPr>
          <w:rFonts w:ascii="Arial" w:hAnsi="Arial"/>
          <w:color w:val="000000"/>
          <w:sz w:val="20"/>
        </w:rPr>
      </w:pPr>
      <w:r>
        <w:rPr>
          <w:rFonts w:ascii="Arial" w:hAnsi="Arial"/>
          <w:color w:val="000000"/>
          <w:sz w:val="20"/>
        </w:rPr>
        <w:t>While our research and development expenses may fluctuate from period to period, we generally expect our research and development expenses to increase substantially in absolute dollars for the foreseeable future as we advance palazestrant, OP-3136, or any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clinical trials, and development of our product candidates will depend on a variety of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and progress of non-clinical and clinical development activities;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number and scope of non-clinical and clinical programs we decide to pursue;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maintain our current research and development programs and to establish new ones;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an appropriate safety profile with investigational new drug-enabling toxicology studies;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successful patient enrollment in, and the initiation and completion of, clinical trials;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successful completion of clinical trials with safety, tolerability and efficacy profiles that are satisfactory to the FDA or any comparable foreign regulatory authority;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commercial manufacturing capabilities or making arrangements with third-party manufacturers;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receipt of regulatory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receipt and terms of any marketing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establish licensing or collaboration arrangements;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performance of our future collaborators, if any;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development and timely delivery of commercial-grade product formulations that can be used in our planned clinical trials and for commercial launch;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commercializing the product candidates, if approved, whether alone or in collaboration with others;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and maintaining patent and trade secret protection and regulatory exclusivity for our product candidates;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maintaining, defending and enforcing patent claims and other intellectual property rights;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maintaining continued acceptable safety profiles of our products following approval;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obtaining and retaining key research and development personnel.</w:t>
      </w:r>
    </w:p>
    <w:p>
      <w:pPr>
        <w:pStyle w:val="TextBody"/>
        <w:bidi w:val="0"/>
        <w:spacing w:before="240" w:after="283"/>
        <w:jc w:val="both"/>
        <w:rPr>
          <w:rFonts w:ascii="Arial" w:hAnsi="Arial"/>
          <w:color w:val="000000"/>
          <w:sz w:val="20"/>
        </w:rPr>
      </w:pPr>
      <w:r>
        <w:rPr>
          <w:rFonts w:ascii="Arial" w:hAnsi="Arial"/>
          <w:color w:val="000000"/>
          <w:sz w:val="20"/>
        </w:rPr>
        <w:t>Any changes in the outcome of any of these factors could significantly impact the costs, timing and viability associated with the development of our product candidates.</w:t>
      </w:r>
    </w:p>
    <w:p>
      <w:pPr>
        <w:pStyle w:val="Heading2"/>
        <w:bidi w:val="0"/>
        <w:spacing w:before="240" w:after="283"/>
        <w:jc w:val="both"/>
        <w:rPr>
          <w:rFonts w:ascii="Arial" w:hAnsi="Arial"/>
          <w:b w:val="false"/>
          <w:i/>
          <w:color w:val="000000"/>
          <w:sz w:val="20"/>
        </w:rPr>
      </w:pPr>
      <w:r>
        <w:rPr>
          <w:rFonts w:ascii="Arial" w:hAnsi="Arial"/>
          <w:b w:val="false"/>
          <w:i/>
          <w:color w:val="000000"/>
          <w:sz w:val="20"/>
        </w:rPr>
        <w:t>General and administrative</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consist primarily of personnel expenses, including salaries, benefits and stock-based compensation expenses, for personnel in executive, finance, accounting, business development, communications and investor relations, commercialization, legal, human resources, information technology (IT), and administrative functions. General and administrative expenses also include costs not otherwise included in research and development expenses, including corporate facility costs, depreciation and other expenses, which include rent and maintenance of facilities and insurance, and professional fees for legal, patent and consulting services.</w:t>
      </w:r>
    </w:p>
    <w:p>
      <w:pPr>
        <w:pStyle w:val="TextBody"/>
        <w:bidi w:val="0"/>
        <w:spacing w:before="240" w:after="283"/>
        <w:jc w:val="both"/>
        <w:rPr>
          <w:rFonts w:ascii="Arial" w:hAnsi="Arial"/>
          <w:color w:val="000000"/>
          <w:sz w:val="20"/>
        </w:rPr>
      </w:pPr>
      <w:r>
        <w:rPr>
          <w:rFonts w:ascii="Arial" w:hAnsi="Arial"/>
          <w:color w:val="000000"/>
          <w:sz w:val="20"/>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the potential future commercialization of our product candidates, and the growth of our business. We also anticipate incurring additional expenses associated with operating as a public company, including increased expenses related to the building and improving of our IT infrastructure, such as cybersecurity monitoring, legal, regulatory and compliance, director and officer insurance, investor and public relations, and tax-related services associated with maintaining compliance with the rules and regulations of the SEC and the standards applicable to companies listed on a national securities exchange, as well as additional insurance expenses and other administrative and professional services.</w:t>
      </w:r>
    </w:p>
    <w:p>
      <w:pPr>
        <w:pStyle w:val="TextBody"/>
        <w:bidi w:val="0"/>
        <w:spacing w:before="0" w:after="240"/>
        <w:jc w:val="both"/>
        <w:rPr/>
      </w:pPr>
      <w:r>
        <w:rPr/>
        <w:t> </w:t>
      </w:r>
    </w:p>
    <w:p>
      <w:pPr>
        <w:pStyle w:val="TextBody"/>
        <w:bidi w:val="0"/>
        <w:jc w:val="both"/>
        <w:rPr>
          <w:rFonts w:ascii="Arial" w:hAnsi="Arial"/>
          <w:b/>
          <w:i/>
          <w:color w:val="000000"/>
          <w:sz w:val="20"/>
        </w:rPr>
      </w:pPr>
      <w:r>
        <w:rPr>
          <w:rFonts w:ascii="Arial" w:hAnsi="Arial"/>
          <w:b/>
          <w:i/>
          <w:color w:val="000000"/>
          <w:sz w:val="20"/>
        </w:rPr>
        <w:t>Total other income</w:t>
      </w:r>
    </w:p>
    <w:p>
      <w:pPr>
        <w:pStyle w:val="TextBody"/>
        <w:bidi w:val="0"/>
        <w:spacing w:before="240" w:after="283"/>
        <w:jc w:val="both"/>
        <w:rPr>
          <w:rFonts w:ascii="Arial" w:hAnsi="Arial"/>
          <w:color w:val="000000"/>
          <w:sz w:val="20"/>
        </w:rPr>
      </w:pPr>
      <w:r>
        <w:rPr>
          <w:rFonts w:ascii="Arial" w:hAnsi="Arial"/>
          <w:color w:val="000000"/>
          <w:sz w:val="20"/>
        </w:rPr>
        <w:t>Total other income consists of interest income and other income or loss. Interest income primarily consists of interest earned from our cash equivalents and marketable securities. Other income or loss primarily consists of realized and unrealized foreign currency remeasurement gain (loss), interest expense, and other miscellaneous income (expense) not related to operating activities.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Heading2"/>
        <w:bidi w:val="0"/>
        <w:spacing w:before="240" w:after="283"/>
        <w:jc w:val="both"/>
        <w:rPr>
          <w:rFonts w:ascii="Arial" w:hAnsi="Arial"/>
          <w:i/>
          <w:color w:val="000000"/>
          <w:sz w:val="20"/>
        </w:rPr>
      </w:pPr>
      <w:r>
        <w:rPr>
          <w:rFonts w:ascii="Arial" w:hAnsi="Arial"/>
          <w:i/>
          <w:color w:val="000000"/>
          <w:sz w:val="20"/>
        </w:rPr>
        <w:t>Comparison of the three months ended June 30, 2026 and 2025</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three months ended June 30, 2026 and 2025:</w:t>
      </w:r>
    </w:p>
    <w:p>
      <w:pPr>
        <w:pStyle w:val="TextBody"/>
        <w:bidi w:val="0"/>
        <w:spacing w:before="240" w:after="283"/>
        <w:jc w:val="both"/>
        <w:rPr/>
      </w:pPr>
      <w:r>
        <w:rPr/>
        <w:t> </w:t>
      </w:r>
    </w:p>
    <w:tbl>
      <w:tblPr>
        <w:tblW w:w="7475" w:type="dxa"/>
        <w:jc w:val="left"/>
        <w:tblInd w:w="0" w:type="dxa"/>
        <w:tblLayout w:type="fixed"/>
        <w:tblCellMar>
          <w:top w:w="28" w:type="dxa"/>
          <w:left w:w="28" w:type="dxa"/>
          <w:bottom w:w="28" w:type="dxa"/>
          <w:right w:w="28" w:type="dxa"/>
        </w:tblCellMar>
      </w:tblPr>
      <w:tblGrid>
        <w:gridCol w:w="2631"/>
        <w:gridCol w:w="146"/>
        <w:gridCol w:w="211"/>
        <w:gridCol w:w="1008"/>
        <w:gridCol w:w="181"/>
        <w:gridCol w:w="262"/>
        <w:gridCol w:w="1008"/>
        <w:gridCol w:w="211"/>
        <w:gridCol w:w="856"/>
        <w:gridCol w:w="96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9"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13,883</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32%</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5,432</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137%</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19,315</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(19,315)</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12%</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*NM</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2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(19,416)</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240" w:after="283"/>
        <w:jc w:val="both"/>
        <w:rPr>
          <w:rFonts w:ascii="Arial" w:hAnsi="Arial"/>
          <w:b w:val="false"/>
          <w:i/>
          <w:color w:val="000000"/>
          <w:sz w:val="20"/>
        </w:rPr>
      </w:pPr>
      <w:r>
        <w:rPr>
          <w:rFonts w:ascii="Arial" w:hAnsi="Arial"/>
          <w:b w:val="false"/>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three months ended June 30, 2026 and 2025:</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774"/>
        <w:gridCol w:w="146"/>
        <w:gridCol w:w="211"/>
        <w:gridCol w:w="158"/>
        <w:gridCol w:w="751"/>
        <w:gridCol w:w="158"/>
        <w:gridCol w:w="158"/>
        <w:gridCol w:w="229"/>
        <w:gridCol w:w="158"/>
        <w:gridCol w:w="751"/>
        <w:gridCol w:w="146"/>
        <w:gridCol w:w="211"/>
        <w:gridCol w:w="146"/>
        <w:gridCol w:w="751"/>
        <w:gridCol w:w="166"/>
        <w:gridCol w:w="213"/>
        <w:gridCol w:w="703"/>
        <w:gridCol w:w="375"/>
      </w:tblGrid>
      <w:tr>
        <w:trPr/>
        <w:tc>
          <w:tcPr>
            <w:tcW w:w="4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47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63" w:type="dxa"/>
            <w:gridSpan w:val="7"/>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 Change</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 and other clinical development related third-party vendor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29,066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Milestone payment owed to Aurigene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57,785</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color w:val="000000"/>
          <w:sz w:val="20"/>
        </w:rPr>
      </w:pPr>
      <w:r>
        <w:rPr>
          <w:rFonts w:ascii="Arial" w:hAnsi="Arial"/>
          <w:color w:val="000000"/>
          <w:sz w:val="20"/>
        </w:rPr>
        <w:t>Research and development expenses for the three months ended June 30, 2026 increased by $13.9 million, or 32%, compared to the same period in 2025. The increase primarily reflects (i) the continued execution of our clinical development strategy, including ongoing activities supporting our pivotal Phase 3 OPERA-01 and OPERA-02 trials for palazestrant, continued advancement of our Phase 1 OP-3136 clinical program, and increased manufacturing and clinical supply activities supporting these programs, and (ii) increased personnel-related costs, including higher non-cash stock-based compensation expense associated with equity awards granted at higher market prices and increased headcount to support our expanding development activities. These increases were partially offset by the $10.0 million milestone expense related to Aurigene that was recognized in the same period in 2025.</w:t>
      </w:r>
    </w:p>
    <w:p>
      <w:pPr>
        <w:pStyle w:val="Heading2"/>
        <w:bidi w:val="0"/>
        <w:spacing w:before="240" w:after="283"/>
        <w:jc w:val="both"/>
        <w:rPr>
          <w:rFonts w:ascii="Arial" w:hAnsi="Arial"/>
          <w:b w:val="false"/>
          <w:i/>
          <w:color w:val="000000"/>
          <w:sz w:val="20"/>
        </w:rPr>
      </w:pPr>
      <w:r>
        <w:rPr>
          <w:rFonts w:ascii="Arial" w:hAnsi="Arial"/>
          <w:b w:val="false"/>
          <w:i/>
          <w:color w:val="000000"/>
          <w:sz w:val="20"/>
        </w:rPr>
        <w:t>General and administrative expenses</w:t>
      </w:r>
    </w:p>
    <w:p>
      <w:pPr>
        <w:pStyle w:val="TextBody"/>
        <w:bidi w:val="0"/>
        <w:spacing w:before="240" w:after="283"/>
        <w:jc w:val="both"/>
        <w:rPr>
          <w:rFonts w:ascii="Times New Roman" w:hAnsi="Times New Roman"/>
          <w:sz w:val="20"/>
        </w:rPr>
      </w:pPr>
      <w:r>
        <w:rPr>
          <w:rFonts w:ascii="Arial" w:hAnsi="Arial"/>
          <w:color w:val="000000"/>
          <w:sz w:val="20"/>
        </w:rPr>
        <w:t>General and administrative expenses for the three months ended June 30, 2026 increased by $5.4 million, or 137%, compared to the same period in 2025. The increase primarily reflects the continued investment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personnel and corporate infrastructure to support our expanding late-stage clinical development activities and anticipated future commercial operations, including higher non-cash stock-based compensation of $3.0 million associated with equity awards granted at higher market prices, and increased professional fees of $1.8 million.</w:t>
      </w:r>
    </w:p>
    <w:p>
      <w:pPr>
        <w:pStyle w:val="Heading2"/>
        <w:bidi w:val="0"/>
        <w:spacing w:before="240" w:after="283"/>
        <w:jc w:val="both"/>
        <w:rPr>
          <w:rFonts w:ascii="Arial" w:hAnsi="Arial"/>
          <w:b w:val="false"/>
          <w:i/>
          <w:color w:val="000000"/>
          <w:sz w:val="20"/>
        </w:rPr>
      </w:pPr>
      <w:r>
        <w:rPr>
          <w:rFonts w:ascii="Arial" w:hAnsi="Arial"/>
          <w:b w:val="false"/>
          <w:i/>
          <w:color w:val="000000"/>
          <w:sz w:val="20"/>
        </w:rPr>
        <w:t>Other loss</w:t>
      </w:r>
    </w:p>
    <w:p>
      <w:pPr>
        <w:pStyle w:val="TextBody"/>
        <w:bidi w:val="0"/>
        <w:spacing w:before="240" w:after="240"/>
        <w:jc w:val="both"/>
        <w:rPr>
          <w:rFonts w:ascii="Times New Roman" w:hAnsi="Times New Roman"/>
          <w:sz w:val="20"/>
        </w:rPr>
      </w:pPr>
      <w:r>
        <w:rPr>
          <w:rFonts w:ascii="Arial" w:hAnsi="Arial"/>
          <w:color w:val="000000"/>
          <w:sz w:val="20"/>
        </w:rPr>
        <w:t>Other loss for the three months ended June 30, 2026 was primarily attributable to unfavorable foreign currency exchange rate fluctuations.</w:t>
      </w:r>
      <w:r>
        <w:rPr>
          <w:rFonts w:ascii="Times New Roman" w:hAnsi="Times New Roman"/>
          <w:color w:val="000000"/>
          <w:sz w:val="20"/>
        </w:rPr>
        <w:t xml:space="preserve"> </w:t>
      </w:r>
    </w:p>
    <w:p>
      <w:pPr>
        <w:pStyle w:val="TextBody"/>
        <w:bidi w:val="0"/>
        <w:spacing w:before="0" w:after="240"/>
        <w:jc w:val="both"/>
        <w:rPr>
          <w:rFonts w:ascii="Arial" w:hAnsi="Arial"/>
          <w:b/>
          <w:i/>
          <w:color w:val="000000"/>
          <w:sz w:val="20"/>
        </w:rPr>
      </w:pPr>
      <w:r>
        <w:rPr>
          <w:rFonts w:ascii="Arial" w:hAnsi="Arial"/>
          <w:b/>
          <w:i/>
          <w:color w:val="000000"/>
          <w:sz w:val="20"/>
        </w:rPr>
        <w:t>Comparison of the six months ended June 30, 2026 and 2025</w:t>
      </w:r>
    </w:p>
    <w:p>
      <w:pPr>
        <w:pStyle w:val="TextBody"/>
        <w:bidi w:val="0"/>
        <w:spacing w:before="0" w:after="240"/>
        <w:jc w:val="both"/>
        <w:rPr>
          <w:rFonts w:ascii="Arial" w:hAnsi="Arial"/>
          <w:color w:val="000000"/>
          <w:sz w:val="20"/>
        </w:rPr>
      </w:pPr>
      <w:r>
        <w:rPr>
          <w:rFonts w:ascii="Arial" w:hAnsi="Arial"/>
          <w:color w:val="000000"/>
          <w:sz w:val="20"/>
        </w:rPr>
        <w:t>The following table summarizes our results of operations for the six months ended June 30, 2026 and 2025:</w:t>
      </w:r>
    </w:p>
    <w:tbl>
      <w:tblPr>
        <w:tblW w:w="7264" w:type="dxa"/>
        <w:jc w:val="left"/>
        <w:tblInd w:w="0" w:type="dxa"/>
        <w:tblLayout w:type="fixed"/>
        <w:tblCellMar>
          <w:top w:w="28" w:type="dxa"/>
          <w:left w:w="28" w:type="dxa"/>
          <w:bottom w:w="28" w:type="dxa"/>
          <w:right w:w="28" w:type="dxa"/>
        </w:tblCellMar>
      </w:tblPr>
      <w:tblGrid>
        <w:gridCol w:w="2631"/>
        <w:gridCol w:w="146"/>
        <w:gridCol w:w="211"/>
        <w:gridCol w:w="989"/>
        <w:gridCol w:w="157"/>
        <w:gridCol w:w="227"/>
        <w:gridCol w:w="875"/>
        <w:gridCol w:w="211"/>
        <w:gridCol w:w="856"/>
        <w:gridCol w:w="96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48"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32,491</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44%</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18,148</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9,937</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121%</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125,165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42,428</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(125,165)</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(42,428)</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8%</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right"/>
              <w:rPr>
                <w:rFonts w:ascii="Arial" w:hAnsi="Arial"/>
                <w:color w:val="000000"/>
                <w:sz w:val="20"/>
              </w:rPr>
            </w:pPr>
            <w:r>
              <w:rPr>
                <w:rFonts w:ascii="Arial" w:hAnsi="Arial"/>
                <w:color w:val="000000"/>
                <w:sz w:val="20"/>
              </w:rPr>
              <w:t>*NM</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8,876</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2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(116,289)</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(42,116)</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six months ended June 30, 2026 and 2025:</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857"/>
        <w:gridCol w:w="146"/>
        <w:gridCol w:w="211"/>
        <w:gridCol w:w="146"/>
        <w:gridCol w:w="796"/>
        <w:gridCol w:w="146"/>
        <w:gridCol w:w="146"/>
        <w:gridCol w:w="211"/>
        <w:gridCol w:w="146"/>
        <w:gridCol w:w="691"/>
        <w:gridCol w:w="146"/>
        <w:gridCol w:w="211"/>
        <w:gridCol w:w="146"/>
        <w:gridCol w:w="751"/>
        <w:gridCol w:w="166"/>
        <w:gridCol w:w="213"/>
        <w:gridCol w:w="703"/>
        <w:gridCol w:w="373"/>
      </w:tblGrid>
      <w:tr>
        <w:trPr/>
        <w:tc>
          <w:tcPr>
            <w:tcW w:w="4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85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8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1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 Change</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 and other clinical development related third-party vendor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Milestone payment owed to Aurigene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Research and development expenses for the six months ended June 30, 2026 increased by $32.5 million, or 44%, compared to the same period in 2025. The increase was primarily attributable to (i) the increased spending on clinical development-related activities as we continued to advance palazestrant through late-stage clinical trials and OP-3136 in early-stage clinical studies, as well as (ii) the increased personnel-related costs, including higher non-cash stock-based compensation expense associated with equity awards granted at higher market prices and increased headcount to support our expanding development activities. These increases were partially offset by the absence of $10.0 million of milestone expense related to Aurigene in 2026 that was recognized in the same period in 2025.</w:t>
      </w:r>
    </w:p>
    <w:p>
      <w:pPr>
        <w:pStyle w:val="Heading2"/>
        <w:bidi w:val="0"/>
        <w:spacing w:before="240" w:after="283"/>
        <w:jc w:val="both"/>
        <w:rPr>
          <w:rFonts w:ascii="Arial" w:hAnsi="Arial"/>
          <w:b w:val="false"/>
          <w:i/>
          <w:color w:val="000000"/>
          <w:sz w:val="20"/>
        </w:rPr>
      </w:pPr>
      <w:r>
        <w:rPr>
          <w:rFonts w:ascii="Arial" w:hAnsi="Arial"/>
          <w:b w:val="false"/>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six months ended June 30, 2026 increased by $9.9 million, or 121%, compared to the same period in 2025. The increase was primarily attributable to (i) a $5.5 million increase in non-cash stock based compensation expense associated with equity awards granted at higher market prices, (ii) a $2.8 million increase in professional fees associated with build-out of our corporate infrastructure to support the continued growth, and (iii) a $1.1 million increase in payroll related costs related to increased headcount.</w:t>
      </w:r>
    </w:p>
    <w:p>
      <w:pPr>
        <w:pStyle w:val="Heading2"/>
        <w:bidi w:val="0"/>
        <w:spacing w:before="240" w:after="283"/>
        <w:jc w:val="both"/>
        <w:rPr>
          <w:rFonts w:ascii="Arial" w:hAnsi="Arial"/>
          <w:b w:val="false"/>
          <w:i/>
          <w:color w:val="000000"/>
          <w:sz w:val="20"/>
        </w:rPr>
      </w:pPr>
      <w:r>
        <w:rPr>
          <w:rFonts w:ascii="Arial" w:hAnsi="Arial"/>
          <w:b w:val="false"/>
          <w:i/>
          <w:color w:val="000000"/>
          <w:sz w:val="20"/>
        </w:rPr>
        <w:t>Other loss</w:t>
      </w:r>
    </w:p>
    <w:p>
      <w:pPr>
        <w:pStyle w:val="TextBody"/>
        <w:bidi w:val="0"/>
        <w:spacing w:before="240" w:after="240"/>
        <w:jc w:val="both"/>
        <w:rPr>
          <w:rFonts w:ascii="Arial" w:hAnsi="Arial"/>
          <w:color w:val="000000"/>
          <w:sz w:val="20"/>
        </w:rPr>
      </w:pPr>
      <w:r>
        <w:rPr>
          <w:rFonts w:ascii="Arial" w:hAnsi="Arial"/>
          <w:color w:val="000000"/>
          <w:sz w:val="20"/>
        </w:rPr>
        <w:t>Other loss for the six months ended June 30, 2026 was primarily attributable to unfavorable foreign currency exchange rate fluctuations.</w:t>
      </w:r>
    </w:p>
    <w:p>
      <w:pPr>
        <w:pStyle w:val="TextBody"/>
        <w:bidi w:val="0"/>
        <w:jc w:val="both"/>
        <w:rPr>
          <w:rFonts w:ascii="Arial" w:hAnsi="Arial"/>
          <w:b/>
          <w:color w:val="000000"/>
          <w:sz w:val="20"/>
        </w:rPr>
      </w:pPr>
      <w:r>
        <w:rPr>
          <w:rFonts w:ascii="Arial" w:hAnsi="Arial"/>
          <w:b/>
          <w:color w:val="000000"/>
          <w:sz w:val="20"/>
        </w:rPr>
        <w:t>Liquidity and capital resources</w:t>
      </w:r>
    </w:p>
    <w:p>
      <w:pPr>
        <w:pStyle w:val="Heading2"/>
        <w:bidi w:val="0"/>
        <w:spacing w:before="240" w:after="283"/>
        <w:jc w:val="both"/>
        <w:rPr>
          <w:rFonts w:ascii="Arial" w:hAnsi="Arial"/>
          <w:b w:val="false"/>
          <w:i/>
          <w:color w:val="000000"/>
          <w:sz w:val="20"/>
        </w:rPr>
      </w:pPr>
      <w:r>
        <w:rPr>
          <w:rFonts w:ascii="Arial" w:hAnsi="Arial"/>
          <w:b w:val="false"/>
          <w:i/>
          <w:color w:val="000000"/>
          <w:sz w:val="20"/>
        </w:rPr>
        <w:t>Sources of liquidity</w:t>
      </w:r>
    </w:p>
    <w:p>
      <w:pPr>
        <w:pStyle w:val="TextBody"/>
        <w:bidi w:val="0"/>
        <w:spacing w:before="240" w:after="283"/>
        <w:jc w:val="both"/>
        <w:rPr>
          <w:rFonts w:ascii="Arial" w:hAnsi="Arial"/>
          <w:color w:val="000000"/>
          <w:sz w:val="20"/>
        </w:rPr>
      </w:pPr>
      <w:r>
        <w:rPr>
          <w:rFonts w:ascii="Arial" w:hAnsi="Arial"/>
          <w:color w:val="000000"/>
          <w:sz w:val="20"/>
        </w:rPr>
        <w:t>Since our inception, we have not generated any revenue from product sales and have incurred significant operating losses and negative cash flows from our operations. Our net losses were $116.3 million and $74.2 million for the six months ended June 30, 2026 and 2025, respectively. From our inception through June 30, 2026, we had received aggregate net proceeds of $1.1 billion from sales of our common stock, convertible preferred stock and issuance of convertible promissory notes, stock option exercises, sale of stock through the Company’s 2020 Employee Stock Purchase Plan (ESPP), and borrowings under our Credit Facility, as defined below.</w:t>
      </w:r>
    </w:p>
    <w:p>
      <w:pPr>
        <w:pStyle w:val="TextBody"/>
        <w:bidi w:val="0"/>
        <w:spacing w:before="240" w:after="283"/>
        <w:jc w:val="both"/>
        <w:rPr>
          <w:rFonts w:ascii="Times New Roman" w:hAnsi="Times New Roman"/>
          <w:sz w:val="20"/>
        </w:rPr>
      </w:pPr>
      <w:r>
        <w:rPr>
          <w:rFonts w:ascii="Arial" w:hAnsi="Arial"/>
          <w:color w:val="000000"/>
          <w:sz w:val="20"/>
        </w:rPr>
        <w:t>As of June 30, 2026, we had $461.1 million in cash, cash equivalents and marketable securities and accumulated deficit of $713.8 million.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of which $25.0 million became available in September 2023 (Term Loan A) upon the closing of a private placement and the issuance of our common stock to selected institutional and accredited investors pursuant to a securities purchase agreement, and the remaining $25.0 million could have been made available upon approval of the Bank in its discretion. The Original Credit Facility was scheduled to mature on August 1, 2027. On June 28, 2024, we entered into the First Amendment to Loan and Security Agreement (the First Amendment) with the Bank, which, among other things, (i) increased the aggregate principal amount of the Original Credit Facility from up to $50.0 million to up to $100.0 million (the Credit Facility) of which the Term Loan A of $25.0 million was immediately available, an additional $25.0 million became available upon achieving certain milestones related to the execution of a first-line pivotal Phase 3 clinical trial of palazestrant in combination with ribociclib (Term Loan B), and an additional $50.0 million which may be made available upon the approval of the Bank in its discretion (Term Loan C), and (ii) extended the maturity date to July 1, 2028. On June 27, 2025, we entered into a Second Amendment to Loan and Security Agreement (the Second Amendment) with the Bank, which, among other things, (i) decreased the interest rate to a floating rate equal to the greater of 6.0% or the prime rate, and (ii) extended the draw period of Term Loan A to January 15, 2026. As of June 30, 2026, we had an outstanding liability of $3.0 million under the Credit Facility, representing the full amount drawn to date. On January 11, 2026, we entered into the Third Amendment to Loan and Security Agreement (the Third Amendment), which, among other things, (i) extended the draw period of Term Loan A to January 31, 2027, (ii) extended the draw period of Term Loan B to January 31, 2027, (iii) extended the draw period of Term Loan C to January 31, 2027, and (iv) extended the Maturity Date to January 1, 2029 (Maturity Date).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may be further extended to July 1, 2029. On July 1, 2026, the Company entered into the Fourth Amendment to Loan and Security Agreement (the Fourth Amendment, together with the Original Loan Agreement, as amended by the First Amendment, the Second Amendment, and the Third Amendment, the Loan Agreement), which, among other things, added Olema Oncology International Limited as a secured guarantor under the Loan Agreement.</w:t>
      </w:r>
    </w:p>
    <w:p>
      <w:pPr>
        <w:pStyle w:val="TextBody"/>
        <w:bidi w:val="0"/>
        <w:spacing w:before="240" w:after="283"/>
        <w:jc w:val="both"/>
        <w:rPr>
          <w:rFonts w:ascii="Times New Roman" w:hAnsi="Times New Roman"/>
          <w:sz w:val="20"/>
        </w:rPr>
      </w:pPr>
      <w:r>
        <w:rPr>
          <w:rFonts w:ascii="Arial" w:hAnsi="Arial"/>
          <w:color w:val="000000"/>
          <w:sz w:val="20"/>
        </w:rPr>
        <w:t>On November 29, 2024, we entered into a securities purchase agreement for a private placement of (i) 19,928,875 shares of our common stock at a price of $9.08 per share and (ii) pre-funded warrants to purchase up to an aggregate of 7,604,163 shares of our common stock at a price of $9.0799 per pre-funded warrant, which represents the per share purchase price of the common stock sold in the private placement less the $0.0001 per share exercise price for each pre-funded warrant to selected institutional and accredited investors (the 2024 Private Placement). The aggregate gross proceeds for the 2024 Private Placement were approximately $250.0 million. After deducting offering expenses related to the 2024 Private Placement of approximately $13.0 million, the net proceeds to us from the 2024 Private Placement were approximately $237.0 million. Of the $13.0 million issuance costs, $6.5 million was paid in the fourth quarter of 2024 and $6.5 million was paid in the first quarter of 2025. Concurrently, on November 29, 2024, we entered in an exchange agreement with an investor and issued to such investor pre-funded warrants to purchase up to 3,420,000 shares of our common stock at an exercise price of $0.0001 per share, in exchange for 3,420,000 shares of our common stock previously outstanding and held by such investor. Thereafter, on January 10, 2025, we entered into exchange agreements with certain investors pursuant to which we issued pre-funded warrants to purchase up to 6,070,000 shares of our common stock at an exercise price of $0.0001 per share, in exchange for 6,070,000 shares of our common stock previously outstanding and held by such investors (Exchange Transactions). Certain holders of pre-funded warrants (together with such holder’s affiliates and other attribution parties) may not exercise pre-funded warrants held by them to the extent that immediately prior to or after giving effect to such exercise such holder would own more than 9.99% of our outstanding common stock immediately after exercise, which percentage may be changed at the holder’s election to a lower or higher percentage not in excess of 19.99% upon 61 days’ notice to us, subject to the terms of the pre-funded warrants. Refer to Note 12 of our notes to the condensed consolidated financial statements contained in this Quarterly Report for further information regarding the Exchange Transactions.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On January 6, 2025, we entered into a sales agreement (the Original 2025 Sales Agreement) with TD Securities (USA) LLC (TD Cowen), as sales agent, pursuant to which the Company may offer and sell, from time to time, shares of the Company's common stock, having an aggregate offering price of up to $150.0 million (the Original 2025 ATM Shares). The sales of the Original 2025 ATM Shares could be made by any method permitted that is deemed to be an ATM equity offering as defined in Rule 415(a)(4) promulgated under the Securities Act, including sales made directly on or through the Nasdaq Global Select Market. We agreed to pay TD Cowen a commission of up to 3.0% of the aggregate gross proceeds from any 2025 ATM Shares sold by TD Cowen. On December 11, 2025, we entered into amendment no. 1 to the sales agreement (together with the Original 2025 Sales Agreement, the 2025 Sales Agreement), which increased the maximum aggregate offering price under the ATM program to $200.0 million (the 2025 ATM Shares). During the six months ended June 30, 2026, we issued 1,712,739 shares of our common stock under the 2025 Sales Agreement at a weighted-average price of $24.92 for net proceeds of $41.9 million after deducting related issuance costs.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November 19, 2025, we completed a follow-on public offering pursuant to which we sold 11,500,000 shares of common stock at a public offering price of $19.00 per share, including 1,500,000 shares sold pursuant to the underwriters’ full exercise of their option to purchase additional shares, resulting in aggregate net proceeds of $204.8 million, after deducting underwriting discounts and commissions and estimated offering costs. Sales of our common stock were made under our shelf registration on Form S-3, which we initially filed with the SEC on January 6, 2025 and that was declared effective by the SEC on January 15, 2025.</w:t>
      </w:r>
    </w:p>
    <w:p>
      <w:pPr>
        <w:pStyle w:val="TextBody"/>
        <w:bidi w:val="0"/>
        <w:spacing w:before="240" w:after="283"/>
        <w:jc w:val="both"/>
        <w:rPr>
          <w:rFonts w:ascii="Arial" w:hAnsi="Arial"/>
          <w:color w:val="000000"/>
          <w:sz w:val="20"/>
        </w:rPr>
      </w:pPr>
      <w:r>
        <w:rPr>
          <w:rFonts w:ascii="Arial" w:hAnsi="Arial"/>
          <w:color w:val="000000"/>
          <w:sz w:val="20"/>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developing our commercialization capabilities,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240" w:after="283"/>
        <w:jc w:val="both"/>
        <w:rPr>
          <w:rFonts w:ascii="Times New Roman" w:hAnsi="Times New Roman"/>
          <w:sz w:val="20"/>
        </w:rPr>
      </w:pPr>
      <w:r>
        <w:rPr>
          <w:rFonts w:ascii="Arial" w:hAnsi="Arial"/>
          <w:color w:val="000000"/>
          <w:sz w:val="20"/>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Other than as noted above, we currently have no financing commitments, such as lines of credit or guarantees, that are expected to affect our liquidity over the next five years.</w:t>
      </w:r>
    </w:p>
    <w:p>
      <w:pPr>
        <w:pStyle w:val="Heading2"/>
        <w:bidi w:val="0"/>
        <w:spacing w:before="240" w:after="283"/>
        <w:jc w:val="both"/>
        <w:rPr>
          <w:rFonts w:ascii="Arial" w:hAnsi="Arial"/>
          <w:b w:val="false"/>
          <w:i/>
          <w:color w:val="000000"/>
          <w:sz w:val="20"/>
        </w:rPr>
      </w:pPr>
      <w:r>
        <w:rPr>
          <w:rFonts w:ascii="Arial" w:hAnsi="Arial"/>
          <w:b w:val="false"/>
          <w:i/>
          <w:color w:val="000000"/>
          <w:sz w:val="20"/>
        </w:rPr>
        <w:t>Future funding and material cash requirements</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pStyle w:val="TextBody"/>
        <w:bidi w:val="0"/>
        <w:spacing w:before="240" w:after="283"/>
        <w:jc w:val="both"/>
        <w:rPr>
          <w:rFonts w:ascii="Arial" w:hAnsi="Arial"/>
          <w:color w:val="000000"/>
          <w:sz w:val="20"/>
        </w:rPr>
      </w:pPr>
      <w:r>
        <w:rPr>
          <w:rFonts w:ascii="Arial" w:hAnsi="Arial"/>
          <w:color w:val="000000"/>
          <w:sz w:val="20"/>
        </w:rPr>
        <w:t>We expect our cash, cash equivalents, and marketable securities as of June 30, 2026, as well as the available balance under the Credit Facility, will enable us to fund our current operating plan through mid-2028. We have based this estimate of cash runway on assumptions that may prove to be wrong, and we could utilize our available capital resources sooner than we expect.</w:t>
      </w:r>
    </w:p>
    <w:p>
      <w:pPr>
        <w:pStyle w:val="TextBody"/>
        <w:bidi w:val="0"/>
        <w:spacing w:before="240" w:after="283"/>
        <w:jc w:val="both"/>
        <w:rPr>
          <w:rFonts w:ascii="Times New Roman" w:hAnsi="Times New Roman"/>
          <w:sz w:val="20"/>
        </w:rPr>
      </w:pPr>
      <w:r>
        <w:rPr>
          <w:rFonts w:ascii="Arial" w:hAnsi="Arial"/>
          <w:color w:val="000000"/>
          <w:sz w:val="20"/>
        </w:rPr>
        <w:t>Refer to Notes 9, 10 and 11 of our notes to the condensed consolidated financial statements contained in this Quarterly Report for further information regarding our material cash requirements. Other than as set forth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therein, there have been no material changes outside the ordinary course of business during the six months ended June 30, 2026 to our commitments and contingencies disclosed in “Management’s Discussion and Analysis of Financial Condition and Results of Operations” included in our Annual Report.</w:t>
      </w:r>
    </w:p>
    <w:p>
      <w:pPr>
        <w:pStyle w:val="TextBody"/>
        <w:bidi w:val="0"/>
        <w:spacing w:before="240" w:after="283"/>
        <w:jc w:val="both"/>
        <w:rPr>
          <w:rFonts w:ascii="Arial" w:hAnsi="Arial"/>
          <w:color w:val="000000"/>
          <w:sz w:val="20"/>
        </w:rPr>
      </w:pPr>
      <w:r>
        <w:rPr>
          <w:rFonts w:ascii="Arial" w:hAnsi="Arial"/>
          <w:color w:val="000000"/>
          <w:sz w:val="20"/>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progress, results and costs of product discovery, non-clinical studies and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prioritization and number of our research and development programs;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timing and outcome of regulatory review of our product candidates;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our ability to establish and maintain collaborations on favorable terms, if at all;</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achievement of milestones or occurrence of other developments that trigger payments under any collaboration agreements we enter into;</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are obligated to reimburse, or entitled to reimbursement of, clinical trial costs under collaboration agreements, if any;</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acquire or in-license other product candidates and technologies;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scaling manufacturing capabilities to support late-stage development, regulatory submissions and potential commercialization; and</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establishing or contracting for sales and marketing capabilities if we obtain regulatory approvals to market our product candidates.</w:t>
      </w:r>
    </w:p>
    <w:p>
      <w:pPr>
        <w:pStyle w:val="TextBody"/>
        <w:bidi w:val="0"/>
        <w:spacing w:before="240" w:after="283"/>
        <w:jc w:val="both"/>
        <w:rPr>
          <w:rFonts w:ascii="Arial" w:hAnsi="Arial"/>
          <w:color w:val="000000"/>
          <w:sz w:val="20"/>
        </w:rPr>
      </w:pPr>
      <w:r>
        <w:rPr>
          <w:rFonts w:ascii="Arial" w:hAnsi="Arial"/>
          <w:color w:val="000000"/>
          <w:sz w:val="20"/>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240" w:after="283"/>
        <w:jc w:val="both"/>
        <w:rPr>
          <w:rFonts w:ascii="Times New Roman" w:hAnsi="Times New Roman"/>
          <w:sz w:val="20"/>
        </w:rPr>
      </w:pPr>
      <w:r>
        <w:rPr>
          <w:rFonts w:ascii="Arial" w:hAnsi="Arial"/>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For example, our Loan Agreement includes covenants limiting our ability to, among other things, fund future acquisitions, make dividend payments, or obtain additional financing.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terminate our product development or future commercialization efforts or grant rights to develop and market product candidates that we would otherwise prefer to develop and market ourselves.</w:t>
      </w:r>
    </w:p>
    <w:p>
      <w:pPr>
        <w:pStyle w:val="Heading2"/>
        <w:bidi w:val="0"/>
        <w:spacing w:before="240" w:after="283"/>
        <w:jc w:val="both"/>
        <w:rPr>
          <w:rFonts w:ascii="Arial" w:hAnsi="Arial"/>
          <w:b w:val="false"/>
          <w:i/>
          <w:color w:val="000000"/>
          <w:sz w:val="20"/>
        </w:rPr>
      </w:pPr>
      <w:r>
        <w:rPr>
          <w:rFonts w:ascii="Arial" w:hAnsi="Arial"/>
          <w:b w:val="false"/>
          <w:i/>
          <w:color w:val="000000"/>
          <w:sz w:val="20"/>
        </w:rPr>
        <w:t>Cash flows</w:t>
      </w:r>
    </w:p>
    <w:p>
      <w:pPr>
        <w:pStyle w:val="TextBody"/>
        <w:bidi w:val="0"/>
        <w:spacing w:before="240" w:after="283"/>
        <w:jc w:val="both"/>
        <w:rPr>
          <w:rFonts w:ascii="Arial" w:hAnsi="Arial"/>
          <w:color w:val="000000"/>
          <w:sz w:val="20"/>
        </w:rPr>
      </w:pPr>
      <w:r>
        <w:rPr>
          <w:rFonts w:ascii="Arial" w:hAnsi="Arial"/>
          <w:color w:val="000000"/>
          <w:sz w:val="20"/>
        </w:rPr>
        <w:t>The following table shows a summary of our cash flows for each of the periods presented:</w:t>
      </w:r>
    </w:p>
    <w:p>
      <w:pPr>
        <w:pStyle w:val="TextBody"/>
        <w:bidi w:val="0"/>
        <w:jc w:val="both"/>
        <w:rPr/>
      </w:pPr>
      <w:r>
        <w:rPr/>
        <w:t> </w:t>
      </w:r>
    </w:p>
    <w:tbl>
      <w:tblPr>
        <w:tblW w:w="7195" w:type="dxa"/>
        <w:jc w:val="left"/>
        <w:tblInd w:w="0" w:type="dxa"/>
        <w:tblLayout w:type="fixed"/>
        <w:tblCellMar>
          <w:top w:w="28" w:type="dxa"/>
          <w:left w:w="28" w:type="dxa"/>
          <w:bottom w:w="28" w:type="dxa"/>
          <w:right w:w="28" w:type="dxa"/>
        </w:tblCellMar>
      </w:tblPr>
      <w:tblGrid>
        <w:gridCol w:w="4456"/>
        <w:gridCol w:w="211"/>
        <w:gridCol w:w="146"/>
        <w:gridCol w:w="751"/>
        <w:gridCol w:w="166"/>
        <w:gridCol w:w="146"/>
        <w:gridCol w:w="211"/>
        <w:gridCol w:w="146"/>
        <w:gridCol w:w="751"/>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17"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provided by (used in)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change in cash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Heading2"/>
        <w:bidi w:val="0"/>
        <w:spacing w:before="40" w:after="283"/>
        <w:jc w:val="both"/>
        <w:rPr>
          <w:rFonts w:ascii="Arial" w:hAnsi="Arial"/>
          <w:b w:val="false"/>
          <w:i/>
          <w:color w:val="000000"/>
          <w:sz w:val="20"/>
        </w:rPr>
      </w:pPr>
      <w:r>
        <w:rPr>
          <w:rFonts w:ascii="Arial" w:hAnsi="Arial"/>
          <w:b w:val="false"/>
          <w:i/>
          <w:color w:val="000000"/>
          <w:sz w:val="20"/>
        </w:rPr>
        <w:t>Operating activities</w:t>
      </w:r>
    </w:p>
    <w:p>
      <w:pPr>
        <w:pStyle w:val="Heading2"/>
        <w:bidi w:val="0"/>
        <w:spacing w:before="40" w:after="283"/>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Net cash used in operating activities during the six months ended June 30, 2026 consisted primarily of our net loss of $116.3 million, partially offset by $21.4 million of net non-cash adjustments, consisted primarily of $23.1 million of stock-based compensation expense, and by changes in working capital. The increase in other current liabilities of $9.3 million was mainly attributable to the timing of research and developmental expenditures, while the decrease in accounts payable of $7.6 million reflected the timing of vendor invoicing and related payments. The decrease in prepaid expenses and other assets of $2.7 million primarily reflected the timing of payments and a non-cash reclassification related to security deposits</w:t>
      </w:r>
      <w:r>
        <w:rPr>
          <w:rFonts w:ascii="Roboto;sans-serif" w:hAnsi="Roboto;sans-serif"/>
          <w:color w:val="2B333D"/>
          <w:sz w:val="18"/>
        </w:rPr>
        <w:t>.</w:t>
      </w:r>
    </w:p>
    <w:p>
      <w:pPr>
        <w:pStyle w:val="TextBody"/>
        <w:bidi w:val="0"/>
        <w:spacing w:before="0" w:after="240"/>
        <w:jc w:val="both"/>
        <w:rPr>
          <w:rFonts w:ascii="Arial" w:hAnsi="Arial"/>
          <w:color w:val="000000"/>
          <w:sz w:val="20"/>
        </w:rPr>
      </w:pPr>
      <w:r>
        <w:rPr>
          <w:rFonts w:ascii="Arial" w:hAnsi="Arial"/>
          <w:color w:val="000000"/>
          <w:sz w:val="20"/>
        </w:rPr>
        <w:t>Net cash used in operating activities during the six months ended June 30, 2025 consisted primarily of our net loss of $74.2 million, non-cash interest income on our marketable securities of $3.8 million and net decrease in operating assets and liabilities of $5.2 million, offset by non-cash charges of $9.3 million. The net loss consisted primarily of $74.5 million in research and development expenses and $8.2 million in general and administrative expenses. The non-cash charges consisted primarily of stock-based compensation expense of $9.1 million, depreciation and amortization expenses of $0.3 million, and non-cash lease expense of less than $0.1 million, net of cash payments of $0.6 million. The net decrease in operating assets and liabilities was primarily due to (i) a decrease of $3.6 million in accounts payable, which is primarily related to timing of invoicing by vendors and related payments, (ii) an increase of other assets and long-term deposits of $1.7 million due to project deposits paid to CROs as we advance OP-3136 and prepare initiation activities for OPERA-02, and (iii) an increase in prepaid expenses and other current assets of $1.3 million. The changes are partially offset by an increase of $1.5 million in accrued and other current liabilities</w:t>
      </w:r>
    </w:p>
    <w:p>
      <w:pPr>
        <w:pStyle w:val="Heading2"/>
        <w:bidi w:val="0"/>
        <w:jc w:val="both"/>
        <w:rPr>
          <w:rFonts w:ascii="Arial" w:hAnsi="Arial"/>
          <w:b w:val="false"/>
          <w:i/>
          <w:color w:val="000000"/>
          <w:sz w:val="20"/>
        </w:rPr>
      </w:pPr>
      <w:r>
        <w:rPr>
          <w:rFonts w:ascii="Arial" w:hAnsi="Arial"/>
          <w:b w:val="false"/>
          <w:i/>
          <w:color w:val="000000"/>
          <w:sz w:val="20"/>
        </w:rPr>
        <w:t>Investing activities</w:t>
      </w:r>
    </w:p>
    <w:p>
      <w:pPr>
        <w:pStyle w:val="TextBody"/>
        <w:bidi w:val="0"/>
        <w:spacing w:before="240" w:after="283"/>
        <w:jc w:val="both"/>
        <w:rPr>
          <w:rFonts w:ascii="Times New Roman" w:hAnsi="Times New Roman"/>
          <w:sz w:val="20"/>
        </w:rPr>
      </w:pPr>
      <w:r>
        <w:rPr>
          <w:rFonts w:ascii="Arial" w:hAnsi="Arial"/>
          <w:color w:val="000000"/>
          <w:sz w:val="20"/>
        </w:rPr>
        <w:t>Net cash provided by investing activities during the six months ended June 30, 2026 was predominantly due to proceeds from maturities of marketable securities, partially offset by purchases of marketable securities and purchases of equipment.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Arial" w:hAnsi="Arial"/>
          <w:color w:val="000000"/>
          <w:sz w:val="20"/>
        </w:rPr>
        <w:t>Net cash used in investing activities during the six months ended June 30, 2025 was predominantly due to purchases of marketable securities which were partially offset by maturities of marketable securities.</w:t>
      </w:r>
      <w:r>
        <w:rPr>
          <w:rFonts w:ascii="Times New Roman" w:hAnsi="Times New Roman"/>
          <w:color w:val="000000"/>
          <w:sz w:val="20"/>
        </w:rPr>
        <w:t xml:space="preserve"> </w:t>
      </w:r>
    </w:p>
    <w:p>
      <w:pPr>
        <w:pStyle w:val="TextBody"/>
        <w:bidi w:val="0"/>
        <w:jc w:val="both"/>
        <w:rPr>
          <w:rFonts w:ascii="Arial" w:hAnsi="Arial"/>
          <w:i/>
          <w:color w:val="000000"/>
          <w:sz w:val="20"/>
        </w:rPr>
      </w:pPr>
      <w:r>
        <w:rPr>
          <w:rFonts w:ascii="Arial" w:hAnsi="Arial"/>
          <w:i/>
          <w:color w:val="000000"/>
          <w:sz w:val="20"/>
        </w:rPr>
        <w:t>Financing activities</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six months ended June 30, 2026 consists primarily of $41.9 million of net proceeds from the issuance of shares under the at-the-market offering, $4.2 million of proceeds from the exercise of stock options and $0.7 million of proceeds from the issuance of common stock under the employee stock purchase plan.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Net cash used in financing activities during the six months ended June 30, 2025 was predominately due to the $6.5 million payment of issuance costs related to the 2024 Private Placement, partially offset by $3.0 million draw down under our Credit Facility, $0.7 million from the sale of our common stock under the ESPP, and $0.5 million from the exercise of stock options.</w:t>
      </w:r>
    </w:p>
    <w:p>
      <w:pPr>
        <w:pStyle w:val="TextBody"/>
        <w:bidi w:val="0"/>
        <w:jc w:val="both"/>
        <w:rPr>
          <w:rFonts w:ascii="Arial" w:hAnsi="Arial"/>
          <w:b/>
          <w:color w:val="000000"/>
          <w:sz w:val="20"/>
        </w:rPr>
      </w:pPr>
      <w:r>
        <w:rPr>
          <w:rFonts w:ascii="Arial" w:hAnsi="Arial"/>
          <w:b/>
          <w:color w:val="000000"/>
          <w:sz w:val="20"/>
        </w:rPr>
        <w:t>Critical accounting policies and significant judgments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are based on our condensed consolidated financial statements, which have been prepared in accordance with U.S. generally accepted accounting principles.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sz w:val="20"/>
        </w:rPr>
      </w:pPr>
      <w:r>
        <w:rPr>
          <w:rFonts w:ascii="Arial" w:hAnsi="Arial"/>
          <w:color w:val="000000"/>
          <w:sz w:val="20"/>
        </w:rPr>
        <w:t>During the six months ended June 30, 2026, there were no material changes to our critical accounting policies and estimates as reported in our Annual Report.</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1" w:name="item3quantitative"/>
      <w:bookmarkEnd w:id="11"/>
      <w:r>
        <w:rPr>
          <w:rFonts w:ascii="Arial" w:hAnsi="Arial"/>
          <w:b/>
          <w:color w:val="000000"/>
          <w:sz w:val="20"/>
        </w:rPr>
        <w:t>Item 3.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During the six months ended June 30, 2026, there were no material changes to our market risk disclosures reported in our Annual Report.</w:t>
      </w:r>
    </w:p>
    <w:p>
      <w:pPr>
        <w:pStyle w:val="Heading1"/>
        <w:bidi w:val="0"/>
        <w:spacing w:before="240" w:after="283"/>
        <w:jc w:val="both"/>
        <w:rPr>
          <w:rFonts w:ascii="Arial" w:hAnsi="Arial"/>
          <w:color w:val="000000"/>
          <w:sz w:val="20"/>
        </w:rPr>
      </w:pPr>
      <w:bookmarkStart w:id="12" w:name="item4controlsandprocedures"/>
      <w:bookmarkEnd w:id="12"/>
      <w:r>
        <w:rPr>
          <w:rFonts w:ascii="Arial" w:hAnsi="Arial"/>
          <w:color w:val="000000"/>
          <w:sz w:val="20"/>
        </w:rPr>
        <w:t>Item 4. Controls and Procedures.</w:t>
      </w:r>
    </w:p>
    <w:p>
      <w:pPr>
        <w:pStyle w:val="TextBody"/>
        <w:bidi w:val="0"/>
        <w:spacing w:before="240" w:after="283"/>
        <w:jc w:val="both"/>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As of June 30, 2026, management, with the participation of our Chief Executive Officer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required disclosures.</w:t>
      </w:r>
    </w:p>
    <w:p>
      <w:pPr>
        <w:pStyle w:val="TextBody"/>
        <w:bidi w:val="0"/>
        <w:spacing w:before="240" w:after="283"/>
        <w:jc w:val="both"/>
        <w:rPr>
          <w:rFonts w:ascii="Arial" w:hAnsi="Arial"/>
          <w:color w:val="000000"/>
          <w:sz w:val="20"/>
        </w:rPr>
      </w:pPr>
      <w:r>
        <w:rPr>
          <w:rFonts w:ascii="Arial" w:hAnsi="Arial"/>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June 30, 2026, the design and operation of our disclosure controls and procedures were effective at a reasonable assurance level.</w:t>
      </w:r>
    </w:p>
    <w:p>
      <w:pPr>
        <w:pStyle w:val="TextBody"/>
        <w:bidi w:val="0"/>
        <w:spacing w:before="240" w:after="283"/>
        <w:jc w:val="both"/>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Rules 13a-15(d) and 15d-15(d) of the Exchange Act that occurred during the fiscal quarter ended June 30, 2026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13" w:name="partiiotherinformation_169197"/>
      <w:bookmarkEnd w:id="13"/>
      <w:r>
        <w:rPr>
          <w:rFonts w:ascii="Arial" w:hAnsi="Arial"/>
          <w:b/>
          <w:color w:val="000000"/>
          <w:sz w:val="20"/>
        </w:rPr>
        <w:t>PART II-OTHER INFORMATION</w:t>
      </w:r>
    </w:p>
    <w:p>
      <w:pPr>
        <w:pStyle w:val="Heading1"/>
        <w:bidi w:val="0"/>
        <w:spacing w:before="0" w:after="240"/>
        <w:jc w:val="left"/>
        <w:rPr>
          <w:rFonts w:ascii="Arial" w:hAnsi="Arial"/>
          <w:color w:val="000000"/>
          <w:sz w:val="20"/>
        </w:rPr>
      </w:pPr>
      <w:bookmarkStart w:id="14" w:name="item1legalproceedings_105808"/>
      <w:bookmarkEnd w:id="14"/>
      <w:r>
        <w:rPr>
          <w:rFonts w:ascii="Arial" w:hAnsi="Arial"/>
          <w:color w:val="000000"/>
          <w:sz w:val="20"/>
        </w:rPr>
        <w:t>Item 1. Legal Proceedings.</w:t>
      </w:r>
    </w:p>
    <w:p>
      <w:pPr>
        <w:pStyle w:val="TextBody"/>
        <w:bidi w:val="0"/>
        <w:spacing w:before="0" w:after="240"/>
        <w:jc w:val="both"/>
        <w:rPr>
          <w:rFonts w:ascii="Arial" w:hAnsi="Arial"/>
          <w:color w:val="000000"/>
          <w:sz w:val="20"/>
        </w:rPr>
      </w:pPr>
      <w:r>
        <w:rPr>
          <w:rFonts w:ascii="Arial" w:hAnsi="Arial"/>
          <w:color w:val="000000"/>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Heading1"/>
        <w:bidi w:val="0"/>
        <w:spacing w:before="0" w:after="240"/>
        <w:jc w:val="left"/>
        <w:rPr>
          <w:rFonts w:ascii="Times New Roman" w:hAnsi="Times New Roman"/>
          <w:sz w:val="20"/>
        </w:rPr>
      </w:pPr>
      <w:bookmarkStart w:id="15" w:name="item_1a_risk_factors"/>
      <w:bookmarkEnd w:id="15"/>
      <w:r>
        <w:rPr>
          <w:rFonts w:ascii="Arial" w:hAnsi="Arial"/>
          <w:color w:val="000000"/>
          <w:sz w:val="20"/>
        </w:rPr>
        <w:t>Item 1A. Risk Factors.</w:t>
      </w:r>
      <w:r>
        <w:rPr>
          <w:rFonts w:ascii="Times New Roman" w:hAnsi="Times New Roman"/>
          <w:color w:val="000000"/>
          <w:sz w:val="20"/>
        </w:rPr>
        <w:t xml:space="preserve"> </w:t>
      </w:r>
    </w:p>
    <w:p>
      <w:pPr>
        <w:pStyle w:val="TextBody"/>
        <w:bidi w:val="0"/>
        <w:spacing w:before="0" w:after="240"/>
        <w:jc w:val="both"/>
        <w:rPr>
          <w:rFonts w:ascii="Arial" w:hAnsi="Arial"/>
          <w:i/>
          <w:color w:val="000000"/>
          <w:sz w:val="20"/>
        </w:rPr>
      </w:pPr>
      <w:r>
        <w:rPr>
          <w:rFonts w:ascii="Arial" w:hAnsi="Arial"/>
          <w:i/>
          <w:color w:val="000000"/>
          <w:sz w:val="20"/>
        </w:rPr>
        <w:t>Our business involves significant risks, some of which are described below. You should carefully consider the following risks,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jc w:val="center"/>
        <w:rPr>
          <w:rFonts w:ascii="Arial" w:hAnsi="Arial"/>
          <w:b/>
          <w:color w:val="000000"/>
          <w:sz w:val="20"/>
        </w:rPr>
      </w:pPr>
      <w:r>
        <w:rPr>
          <w:rFonts w:ascii="Arial" w:hAnsi="Arial"/>
          <w:b/>
          <w:color w:val="000000"/>
          <w:sz w:val="20"/>
        </w:rPr>
        <w:t>RISK FACTOR SUMMARY</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Investing in our common stock involves numerous risks, including the risks described in “Part II, Item 1A. Risk Factors” of this Quarterly Report. Below are some of these risks, any one of which could materially adversely affect our business, financial condition, results of operations, and prospects.</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have no products approved for commercial sale, which may make it difficult for you to evaluate our current business and predict our future success and viability.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have incurred net losses since inception, and we expect to continue to incur net losses for the foreseeable future. In addition, we may be unable to continue as a going concern over the long term.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an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palazestrant or OP-3136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face significant competition, and if our competitors develop and market technologies or products more rapidly than we do, or that are more effective, safer, or less expensive than palazestrant, OP-3136, or any future product candidates we may develop, our commercial opportunities will be negatively impacted.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obtain U.S. or foreign regulatory approvals and, as a result, may be unable to commercialize palazestrant, OP-3136, or any future product candidates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Unfavorable U.S. and global macroeconomic and geopolitical conditions could adversely affect our business, financial condition, results of operations, and prospects.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 order to successfully implement our plans and strategies, we will need to grow the size of our organization, and we may experience difficulties in managing this growth.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If our information technology systems, our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 as long as we qualify as a “smaller reporting company” within the meaning of the Exchange Act, we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b/>
          <w:color w:val="000000"/>
          <w:sz w:val="20"/>
        </w:rPr>
      </w:pPr>
      <w:r>
        <w:rPr>
          <w:rFonts w:ascii="Arial" w:hAnsi="Arial"/>
          <w:b/>
          <w:color w:val="000000"/>
          <w:sz w:val="20"/>
        </w:rPr>
        <w:t>Risks related to our financial position and the need for additional capital</w:t>
      </w:r>
    </w:p>
    <w:p>
      <w:pPr>
        <w:pStyle w:val="TextBody"/>
        <w:bidi w:val="0"/>
        <w:spacing w:before="0" w:after="240"/>
        <w:jc w:val="both"/>
        <w:rPr>
          <w:rFonts w:ascii="Arial" w:hAnsi="Arial"/>
          <w:b/>
          <w:i/>
          <w:color w:val="000000"/>
          <w:sz w:val="20"/>
        </w:rPr>
      </w:pPr>
      <w:r>
        <w:rPr>
          <w:rFonts w:ascii="Arial" w:hAnsi="Arial"/>
          <w:b/>
          <w:i/>
          <w:color w:val="000000"/>
          <w:sz w:val="20"/>
        </w:rPr>
        <w:t>We have no products approved for commercial sale, which may make it difficult for you to evaluate our current business and predict our future success and viability.</w:t>
      </w:r>
    </w:p>
    <w:p>
      <w:pPr>
        <w:pStyle w:val="TextBody"/>
        <w:bidi w:val="0"/>
        <w:spacing w:before="0" w:after="240"/>
        <w:jc w:val="both"/>
        <w:rPr>
          <w:rFonts w:ascii="Arial" w:hAnsi="Arial"/>
          <w:color w:val="000000"/>
          <w:sz w:val="20"/>
        </w:rPr>
      </w:pPr>
      <w:r>
        <w:rPr>
          <w:rFonts w:ascii="Arial" w:hAnsi="Arial"/>
          <w:color w:val="000000"/>
          <w:sz w:val="20"/>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securing related intellectual property rights, conducting non-clinical studies and clinical trials, including conducting multiple Phase 1/2 studies of palazestrant, initiating and conducting Phase 3 clinical trials of palazestrant, conducting non-clinical studies of OP-3136, and conducting a Phase 1 study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would be if we had a longer operating history.</w:t>
      </w:r>
    </w:p>
    <w:p>
      <w:pPr>
        <w:pStyle w:val="TextBody"/>
        <w:bidi w:val="0"/>
        <w:spacing w:before="0" w:after="240"/>
        <w:jc w:val="both"/>
        <w:rPr>
          <w:rFonts w:ascii="Arial" w:hAnsi="Arial"/>
          <w:color w:val="000000"/>
          <w:sz w:val="20"/>
        </w:rPr>
      </w:pPr>
      <w:r>
        <w:rPr>
          <w:rFonts w:ascii="Arial" w:hAnsi="Arial"/>
          <w:color w:val="000000"/>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approved. If we do not adequately address these risks and difficulties or successfully make such a transition,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pStyle w:val="TextBody"/>
        <w:bidi w:val="0"/>
        <w:spacing w:before="0" w:after="240"/>
        <w:jc w:val="both"/>
        <w:rPr>
          <w:rFonts w:ascii="Times New Roman" w:hAnsi="Times New Roman"/>
          <w:sz w:val="20"/>
        </w:rPr>
      </w:pPr>
      <w:r>
        <w:rPr>
          <w:rFonts w:ascii="Arial" w:hAnsi="Arial"/>
          <w:color w:val="000000"/>
          <w:sz w:val="20"/>
        </w:rPr>
        <w:t>Developing pharmaceutical products, including conducting non-clinical studies and clinical trials, is a very time-consuming, expensive and uncertain process that takes years to complete. Our operations have consumed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(EMA), or other regulatory authorities to perform clinical trials or non-clinical studies in addition to those that we currently anticipate. Other unanticipated costs may also arise. In addition, if we obtain marketing approval for palazestrant, OP-3136, or any future product candidates we may develop, we expect to incur significant commercialization expenses related to drug sales, marketing, manufacturing and distribution. Our estimates as to how long until we are able to commercialize one or more of our product candidates are based on assumptions that may prove to be wrong, and we may require more time and resources than we currently anticipate, and may exhaust our available capital resources before we are able to generate any revenue from product sales. In addition,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pStyle w:val="TextBody"/>
        <w:bidi w:val="0"/>
        <w:spacing w:before="0" w:after="240"/>
        <w:jc w:val="both"/>
        <w:rPr>
          <w:rFonts w:ascii="Arial" w:hAnsi="Arial"/>
          <w:color w:val="000000"/>
          <w:sz w:val="20"/>
        </w:rPr>
      </w:pPr>
      <w:r>
        <w:rPr>
          <w:rFonts w:ascii="Arial" w:hAnsi="Arial"/>
          <w:color w:val="000000"/>
          <w:sz w:val="20"/>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and geopolitical uncertainty, market volatility, labor shortages, evolving trade and tariff policies, including related legal challenges, trade tensions, and retaliatory measures by other countries, supply chain disruptions, military conflicts, as well as any related political or economic responses or counter-responses by various global actors, inflationary pressures, monetary supply shifts, increased recession risk,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pStyle w:val="TextBody"/>
        <w:bidi w:val="0"/>
        <w:spacing w:before="0" w:after="240"/>
        <w:jc w:val="both"/>
        <w:rPr>
          <w:rFonts w:ascii="Times New Roman" w:hAnsi="Times New Roman"/>
          <w:sz w:val="20"/>
        </w:rPr>
      </w:pPr>
      <w:r>
        <w:rPr>
          <w:rFonts w:ascii="Arial" w:hAnsi="Arial"/>
          <w:color w:val="000000"/>
          <w:sz w:val="20"/>
        </w:rPr>
        <w:t>We will be required to obtain additional funding through public or private equity offerings, debt financings, collaborations, and licensing arrangements or other sources, which may dilute our stockholders,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in recent past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had previously raised, and may again raise in the future, interest rates in response to concerns about inflation, which, coupled with reduced government spending and volatility in financial markets, may have the effect of heightening these risks and further increasing economic uncertainty.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palazestrant, OP-3136, or any future product candidates we may develop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financial condition, results of operations, and prospects and cause the price of our common stock to decline.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have incurred net losses since inception, and we expect to continue to incur net losses for the foreseeable future. In addition, we may be unable to continue as a going concern over the long term.</w:t>
      </w:r>
    </w:p>
    <w:p>
      <w:pPr>
        <w:pStyle w:val="TextBody"/>
        <w:bidi w:val="0"/>
        <w:spacing w:before="0" w:after="240"/>
        <w:jc w:val="both"/>
        <w:rPr>
          <w:rFonts w:ascii="Arial" w:hAnsi="Arial"/>
          <w:color w:val="000000"/>
          <w:sz w:val="20"/>
        </w:rPr>
      </w:pPr>
      <w:r>
        <w:rPr>
          <w:rFonts w:ascii="Arial" w:hAnsi="Arial"/>
          <w:color w:val="000000"/>
          <w:sz w:val="20"/>
        </w:rPr>
        <w:t>We have incurred net losses in each reporting period since our inception, have not generated any revenue from product sales to date, and have financed our operations principally through sales of our equity securities, including sales of our common stock and pre-funded warrants to purchase our common stock to selected institutional and accredited investors in private placement transactions, at-the-market offerings, our initial public offering and other public offerings and private financings. We have incurred net losses of $63.2 million and $43.8 million for the three months ended June 30, 2026 and 2025, respectively. We had an accumulated deficit of $713.8 million as of June 30, 2026. Our losses have resulted principally from expenses incurred in research and development of palazestrant, OP-3136 and from management and administrative costs and other expenses that we have incurred while building our business infrastructure. Our lead product candidate, palazestrant, and OP-3136 are both in clinical trials. As a result, we expect that it will be several years, if ever, before we have a commercialized product and generate revenue from product sales. Even if we succeed in receiving marketing approval for palazestrant or OP-3136 in one of our lead indications and proceed to commercializing palazestrant or OP-3136, we expect that we will continue to incur substantial research and development and other expenses as we continue the clinical development programs for palazestrant in other indications or for OP-3136.</w:t>
      </w:r>
    </w:p>
    <w:p>
      <w:pPr>
        <w:pStyle w:val="TextBody"/>
        <w:bidi w:val="0"/>
        <w:spacing w:before="0" w:after="240"/>
        <w:jc w:val="both"/>
        <w:rPr>
          <w:rFonts w:ascii="Arial" w:hAnsi="Arial"/>
          <w:color w:val="000000"/>
          <w:sz w:val="20"/>
        </w:rPr>
      </w:pPr>
      <w:r>
        <w:rPr>
          <w:rFonts w:ascii="Arial" w:hAnsi="Arial"/>
          <w:color w:val="000000"/>
          <w:sz w:val="20"/>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0" w:after="240"/>
        <w:jc w:val="both"/>
        <w:rPr>
          <w:rFonts w:ascii="Arial" w:hAnsi="Arial"/>
          <w:color w:val="000000"/>
          <w:sz w:val="20"/>
        </w:rPr>
      </w:pPr>
      <w:r>
        <w:rPr>
          <w:rFonts w:ascii="Arial" w:hAnsi="Arial"/>
          <w:color w:val="000000"/>
          <w:sz w:val="20"/>
        </w:rPr>
        <w:t>In addition, our condensed consolidated financial statements for the six months ended June 30, 2026 and 2025 included elsewhere in this Quarterly Report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pStyle w:val="TextBody"/>
        <w:bidi w:val="0"/>
        <w:spacing w:before="0" w:after="240"/>
        <w:jc w:val="left"/>
        <w:rPr>
          <w:rFonts w:ascii="Arial" w:hAnsi="Arial"/>
          <w:b/>
          <w:i/>
          <w:color w:val="000000"/>
          <w:sz w:val="20"/>
        </w:rPr>
      </w:pPr>
      <w:r>
        <w:rPr>
          <w:rFonts w:ascii="Arial" w:hAnsi="Arial"/>
          <w:b/>
          <w:i/>
          <w:color w:val="000000"/>
          <w:sz w:val="20"/>
        </w:rPr>
        <w:t>We have never generated revenue from product sales and may never be profitable.</w:t>
      </w:r>
    </w:p>
    <w:p>
      <w:pPr>
        <w:pStyle w:val="TextBody"/>
        <w:bidi w:val="0"/>
        <w:spacing w:before="0" w:after="240"/>
        <w:jc w:val="both"/>
        <w:rPr>
          <w:rFonts w:ascii="Arial" w:hAnsi="Arial"/>
          <w:color w:val="000000"/>
          <w:sz w:val="20"/>
        </w:rPr>
      </w:pPr>
      <w:r>
        <w:rPr>
          <w:rFonts w:ascii="Arial" w:hAnsi="Arial"/>
          <w:color w:val="000000"/>
          <w:sz w:val="20"/>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pStyle w:val="TextBody"/>
        <w:bidi w:val="0"/>
        <w:spacing w:before="0" w:after="0"/>
        <w:jc w:val="both"/>
        <w:rPr>
          <w:color w:val="231F20"/>
        </w:rPr>
      </w:pPr>
      <w:r>
        <w:rPr>
          <w:color w:val="231F20"/>
        </w:rPr>
        <w:t>•</w:t>
      </w:r>
    </w:p>
    <w:p>
      <w:pPr>
        <w:pStyle w:val="TextBody"/>
        <w:bidi w:val="0"/>
        <w:spacing w:before="0" w:after="0"/>
        <w:jc w:val="both"/>
        <w:rPr>
          <w:rFonts w:ascii="Arial" w:hAnsi="Arial"/>
          <w:color w:val="231F20"/>
          <w:sz w:val="20"/>
        </w:rPr>
      </w:pPr>
      <w:r>
        <w:rPr>
          <w:rFonts w:ascii="Arial" w:hAnsi="Arial"/>
          <w:color w:val="231F20"/>
          <w:sz w:val="20"/>
        </w:rPr>
        <w:t>completing clinical and non-clinical development of our product candidates and programs and identifying and developing new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seeking and obtaining marketing approvals for any product candidates that we develop;</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achieving adequate access and reimbursement by government and third-party payors for product candidates that we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obtaining market acceptance of product candidates that we develop as viable treatment options;</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addressing any competing technological and market developments;</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negotiating favorable terms in any collaboration, licensing or other arrangements into which we may enter and performing our obligations in such collaborations;</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maintaining, protecting, enforcing and expanding our portfolio of intellectual property rights, including patents, trade secrets and know-how;</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defending against third-party interference, infringement or other intellectual property-related claims, if any; and</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attracting, hiring and retaining qualified personnel.</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candidates that we may develop are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jc w:val="both"/>
        <w:rPr>
          <w:rFonts w:ascii="Arial" w:hAnsi="Arial"/>
          <w:b/>
          <w:i/>
          <w:color w:val="000000"/>
          <w:sz w:val="20"/>
        </w:rPr>
      </w:pPr>
      <w:r>
        <w:rPr>
          <w:rFonts w:ascii="Arial" w:hAnsi="Arial"/>
          <w:b/>
          <w:i/>
          <w:color w:val="000000"/>
          <w:sz w:val="20"/>
        </w:rPr>
        <w:t>The terms of the Loan Agreement place restrictions on our operating and financial flexibility. If we raise additional capital through debt financing, the terms of any new debt could further restrict our ability to operate our business.</w:t>
      </w:r>
    </w:p>
    <w:p>
      <w:pPr>
        <w:pStyle w:val="TextBody"/>
        <w:bidi w:val="0"/>
        <w:spacing w:before="240" w:after="283"/>
        <w:jc w:val="both"/>
        <w:rPr>
          <w:rFonts w:ascii="Arial" w:hAnsi="Arial"/>
          <w:color w:val="000000"/>
          <w:sz w:val="20"/>
        </w:rPr>
      </w:pPr>
      <w:r>
        <w:rPr>
          <w:rFonts w:ascii="Arial" w:hAnsi="Arial"/>
          <w:color w:val="000000"/>
          <w:sz w:val="20"/>
        </w:rPr>
        <w:t>On September 5, 2023, we entered into the Original Loan Agreement with the Bank, which provided us with the Original Credit Facility, of which $25.0 million became available in September 2023 as Term Loan A upon the closing of a private placement and the issuance of our common stock to selected institutional and accredited investors pursuant to a securities purchase agreement, and the remaining $25.0 million could have been made available upon approval of the Bank in its discretion. The Original Credit Facility was scheduled to mature on August 1, 2027. On June 28, 2024, we entered into the First Amendment with the Bank, which, among other things, (i) increased the aggregate principal amount of the Original Credit Facility from up to $50.0 million to up to $100.0 million of which the Term Loan A of $25.0 million was immediately available, an additional $25.0 million as Term Loan B became available upon achieving certain milestones related to the execution of a first-line pivotal Phase 3 clinical trial of palazestrant in combination with ribociclib, and an additional $50.0 million as Term Loan C which may be made available upon the approval of the Bank in its discretion, and (ii) extended the maturity date to July 1, 2028. On June 27, 2025, we entered into the Second Amendment with the Bank, which, among other things, (i) decreased the interest rate to a floating rate equal to the greater of 6.0% or the prime rate, and (ii) extended the draw period of Term Loan A to January 15, 2026. As of December 31, 2025, we had an outstanding liability of $3.0 million under the Credit Facility, representing the full amount drawn to date. On January 11, 2026, we entered into the Third Amendment, which, among other things, (i) extended the draw period of Term Loan A to January 31, 2027, (ii) extended the draw period of Term Loan B to January 31, 2027, (iii) extended the draw period of Term Loan C to January 31, 2027, and (iv) extended the maturity date to January 1, 2029.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(as so extended) may be further extended to July 1, 2029. On July 1, 2026, the Company entered into the Fourth Amendment, which, among other things, added Olema Oncology International Limited as a secured guarantor under the Loan Agreement.</w:t>
      </w:r>
    </w:p>
    <w:p>
      <w:pPr>
        <w:pStyle w:val="TextBody"/>
        <w:bidi w:val="0"/>
        <w:spacing w:before="240" w:after="240"/>
        <w:jc w:val="both"/>
        <w:rPr>
          <w:rFonts w:ascii="Times New Roman" w:hAnsi="Times New Roman"/>
          <w:sz w:val="20"/>
        </w:rPr>
      </w:pPr>
      <w:r>
        <w:rPr>
          <w:rFonts w:ascii="Arial" w:hAnsi="Arial"/>
          <w:color w:val="000000"/>
          <w:sz w:val="20"/>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make dividend payments; and obtain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additional financing for working capital, to fund growth or for general corporate purposes, even when necessary to maintain adequate liquidity.</w:t>
      </w:r>
    </w:p>
    <w:p>
      <w:pPr>
        <w:pStyle w:val="TextBody"/>
        <w:bidi w:val="0"/>
        <w:spacing w:before="0" w:after="240"/>
        <w:jc w:val="both"/>
        <w:rPr>
          <w:rFonts w:ascii="Arial" w:hAnsi="Arial"/>
          <w:color w:val="000000"/>
          <w:sz w:val="20"/>
        </w:rPr>
      </w:pPr>
      <w:r>
        <w:rPr>
          <w:rFonts w:ascii="Arial" w:hAnsi="Arial"/>
          <w:color w:val="000000"/>
          <w:sz w:val="20"/>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occurrence of any material adverse change; delisting; and a material impairment in the Bank’s security interest. Upon the occurrence of an event of default (subject, in certain cases, to notice and grace periods), obligations under the Loan Agreement may be accelerated, thereby requiring us to repay the loan immediately. Any declaration by the Bank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spacing w:before="0" w:after="240"/>
        <w:jc w:val="both"/>
        <w:rPr>
          <w:rFonts w:ascii="Arial" w:hAnsi="Arial"/>
          <w:b/>
          <w:color w:val="000000"/>
          <w:sz w:val="20"/>
        </w:rPr>
      </w:pPr>
      <w:r>
        <w:rPr>
          <w:rFonts w:ascii="Arial" w:hAnsi="Arial"/>
          <w:b/>
          <w:color w:val="000000"/>
          <w:sz w:val="20"/>
        </w:rPr>
        <w:t>Risks related to the discovery, development and commercialization of our product candidates</w:t>
      </w:r>
    </w:p>
    <w:p>
      <w:pPr>
        <w:pStyle w:val="TextBody"/>
        <w:bidi w:val="0"/>
        <w:spacing w:before="0" w:after="240"/>
        <w:jc w:val="both"/>
        <w:rPr>
          <w:rFonts w:ascii="Arial" w:hAnsi="Arial"/>
          <w:b/>
          <w:i/>
          <w:color w:val="000000"/>
          <w:sz w:val="20"/>
        </w:rPr>
      </w:pPr>
      <w:r>
        <w:rPr>
          <w:rFonts w:ascii="Arial" w:hAnsi="Arial"/>
          <w:b/>
          <w:i/>
          <w:color w:val="000000"/>
          <w:sz w:val="20"/>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pStyle w:val="TextBody"/>
        <w:bidi w:val="0"/>
        <w:spacing w:before="0" w:after="240"/>
        <w:jc w:val="both"/>
        <w:rPr>
          <w:rFonts w:ascii="Arial" w:hAnsi="Arial"/>
          <w:color w:val="000000"/>
          <w:sz w:val="20"/>
        </w:rPr>
      </w:pPr>
      <w:r>
        <w:rPr>
          <w:rFonts w:ascii="Arial" w:hAnsi="Arial"/>
          <w:color w:val="000000"/>
          <w:sz w:val="20"/>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an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pStyle w:val="TextBody"/>
        <w:bidi w:val="0"/>
        <w:spacing w:before="0" w:after="240"/>
        <w:jc w:val="both"/>
        <w:rPr>
          <w:rFonts w:ascii="Times New Roman" w:hAnsi="Times New Roman"/>
          <w:sz w:val="20"/>
        </w:rPr>
      </w:pPr>
      <w:r>
        <w:rPr>
          <w:rFonts w:ascii="Arial" w:hAnsi="Arial"/>
          <w:color w:val="000000"/>
          <w:sz w:val="20"/>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results of subsequent clinical trials. We have a limited operating history and to date have not demonstrated our ability to complete large-scale clinical trials.</w:t>
      </w:r>
    </w:p>
    <w:p>
      <w:pPr>
        <w:pStyle w:val="TextBody"/>
        <w:bidi w:val="0"/>
        <w:spacing w:before="0" w:after="240"/>
        <w:jc w:val="both"/>
        <w:rPr>
          <w:rFonts w:ascii="Arial" w:hAnsi="Arial"/>
          <w:color w:val="000000"/>
          <w:sz w:val="20"/>
        </w:rPr>
      </w:pPr>
      <w:r>
        <w:rPr>
          <w:rFonts w:ascii="Arial" w:hAnsi="Arial"/>
          <w:color w:val="000000"/>
          <w:sz w:val="20"/>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a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pStyle w:val="TextBody"/>
        <w:bidi w:val="0"/>
        <w:spacing w:before="0" w:after="240"/>
        <w:jc w:val="both"/>
        <w:rPr>
          <w:rFonts w:ascii="Arial" w:hAnsi="Arial"/>
          <w:color w:val="000000"/>
          <w:sz w:val="20"/>
        </w:rPr>
      </w:pPr>
      <w:r>
        <w:rPr>
          <w:rFonts w:ascii="Arial" w:hAnsi="Arial"/>
          <w:color w:val="000000"/>
          <w:sz w:val="20"/>
        </w:rPr>
        <w:t>Our future clinical trials may not be successful. If any of our product candidates is found to be unsafe or lacking efficacy, we will not be able to obtain regulatory approval,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the composition of the patient populations, adherence to dosing regimens and other trial protocols and the dropout rate among clinical trial participants. Patients treated with palazestrant, OP-3136, or any future product candidates we may develop may also be undergoing surgical, radiation, and chemotherapy treatments and may be using other approved products or investigational new drugs, which can cause side effects or adverse events that are unrelated to palazestrant, OP-3136, or any future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We do not know whether our current clinical trials of palazestrant or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we may develop to market, our ability to create long-term stockholder value will be limited.</w:t>
      </w:r>
    </w:p>
    <w:p>
      <w:pPr>
        <w:pStyle w:val="TextBody"/>
        <w:bidi w:val="0"/>
        <w:spacing w:before="0" w:after="240"/>
        <w:jc w:val="both"/>
        <w:rPr>
          <w:rFonts w:ascii="Arial" w:hAnsi="Arial"/>
          <w:color w:val="000000"/>
          <w:sz w:val="20"/>
        </w:rPr>
      </w:pPr>
      <w:r>
        <w:rPr>
          <w:rFonts w:ascii="Arial" w:hAnsi="Arial"/>
          <w:color w:val="000000"/>
          <w:sz w:val="20"/>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to support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that results in adverse consequences to us, including by rendering our clinical data insufficient for approval, which may lead to the FDA, European Commission, or comparable foreign regulatory authorities delaying, limiting or denying approval of palazestrant or OP-3136, including any other indication we are seeking for approval under palazestrant or OP-3136.</w:t>
      </w:r>
    </w:p>
    <w:p>
      <w:pPr>
        <w:pStyle w:val="TextBody"/>
        <w:bidi w:val="0"/>
        <w:spacing w:before="0" w:after="240"/>
        <w:jc w:val="both"/>
        <w:rPr>
          <w:rFonts w:ascii="Arial" w:hAnsi="Arial"/>
          <w:b/>
          <w:i/>
          <w:color w:val="000000"/>
          <w:sz w:val="20"/>
        </w:rPr>
      </w:pPr>
      <w:r>
        <w:rPr>
          <w:rFonts w:ascii="Arial" w:hAnsi="Arial"/>
          <w:b/>
          <w:i/>
          <w:color w:val="000000"/>
          <w:sz w:val="20"/>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The time required to obtain approval by the FDA, European Commission, and comparable foreign authorities is unpredictable and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0" w:after="240"/>
        <w:jc w:val="both"/>
        <w:rPr>
          <w:rFonts w:ascii="Arial" w:hAnsi="Arial"/>
          <w:color w:val="000000"/>
          <w:sz w:val="20"/>
        </w:rPr>
      </w:pPr>
      <w:r>
        <w:rPr>
          <w:rFonts w:ascii="Arial" w:hAnsi="Arial"/>
          <w:color w:val="000000"/>
          <w:sz w:val="20"/>
        </w:rPr>
        <w:t>Applications for palazestrant or OP-3136 could fail to receive regulatory approval for many reasons,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the design, implementation or results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population studied in the clinical trial may not be sufficiently broad or representative to assure efficacy and safety in the full population for which we seek approval;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our interpretation of data from non-clinical studies or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data collected from clinical trials of palazestrant or OP-3136 may not be sufficient to support the submission of an NDA, or other submission or to obtain regulatory approval in the United States or elsewhere;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be unable to demonstrate to the FDA, European Commission, or other comparable foreign regulatory authorities that palazestrant's or OP-3136’s risk-benefit ratio for its proposed indication is acceptable;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 xml:space="preserve">the FDA, the European Commission, the competent authorities of the member states of the European Union (EU Member States), or other comparable foreign regulatory authorities may fail to approve the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231F20"/>
          <w:sz w:val="20"/>
        </w:rPr>
      </w:pPr>
      <w:r>
        <w:rPr>
          <w:rFonts w:ascii="Arial" w:hAnsi="Arial"/>
          <w:color w:val="231F20"/>
          <w:sz w:val="20"/>
        </w:rPr>
        <w:t>manufacturing processes, test procedures and specifications or facilities of third-party manufacturers with which we contract for clinical and commercial supplies;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approval policies or regulations of the FDA, European Commission, or other comparable foreign regulatory authorities may significantly change in a manner that results in adverse consequences to us, including by rendering our clinical data insufficient for approval.</w:t>
      </w:r>
    </w:p>
    <w:p>
      <w:pPr>
        <w:pStyle w:val="TextBody"/>
        <w:bidi w:val="0"/>
        <w:spacing w:before="0" w:after="240"/>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Delays in clinical trials are common and have many causes, and any delay could result in increased costs to us and jeopardize or delay our ability to obtain regulatory approval and commence product sales.</w:t>
      </w:r>
    </w:p>
    <w:p>
      <w:pPr>
        <w:pStyle w:val="TextBody"/>
        <w:bidi w:val="0"/>
        <w:spacing w:before="0" w:after="240"/>
        <w:jc w:val="both"/>
        <w:rPr>
          <w:rFonts w:ascii="Arial" w:hAnsi="Arial"/>
          <w:color w:val="000000"/>
          <w:sz w:val="20"/>
        </w:rPr>
      </w:pPr>
      <w:r>
        <w:rPr>
          <w:rFonts w:ascii="Arial" w:hAnsi="Arial"/>
          <w:color w:val="000000"/>
          <w:sz w:val="20"/>
        </w:rPr>
        <w:t>We may experience delays in clinical trials of palazestrant, OP-3136, or any future product candidates we may develop. Our planned clinical trials may not begin on time, have an effective design, enroll a sufficient number of patients, or be completed on schedule, if at all. Our clinical trials can be delayed for a variety of reasons, including delays related to:</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EMA, the European Commission, or comparable foreign regulatory authorities disagreeing as to the design or implementation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obtaining regulatory authorizations to commence a trial or reaching a consensus with regulatory authorities on trial design;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obtaining approval from one or more institutional review boards (IRBs), or positive Ethics Committee opinions;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to clinical trial protocol;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clinical sites deviating from trial protocol or dropping out of a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manufacturing sufficient quantities of product candidates or obtaining sufficient quantities of combination therapies for use in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subjects failing to enroll or remain in our trial at the rate we expect, or failing to return for post-treatment follow-up;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subjects choosing an alternative treatment for the indication for which we are developing palazestrant or OP-3136, or participating in competing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lack of adequate funding to continue the clinical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subjects experiencing severe or unexpected drug-related adverse effects;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authorities imposing a clinical hold;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disruptions at the FDA and other agencies or regulatory authorities, including as a result of legislative actions or a government shutdown;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occurrence of serious adverse events in trials of the same class of agents conducted by other companies;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selection of clinical end-points that require prolonged periods of clinical observation or analysis of the resulting data;</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shutdowns, either temporarily or permanently, of any facility manufacturing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or any of their components, including by order from the FDA, competent authorities of EU Member States, or comparable foreign regulatory authorities due to violations of current good manufacturing practice (cGMP) regulations or other applicable requirements, or infections or cross-contaminations of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in the manufacturing process;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changes to our manufacturing process that may be necessary or desired;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contractors not performing data collection or analysis in a timely or accurate manner; 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0" w:after="240"/>
        <w:jc w:val="both"/>
        <w:rPr>
          <w:rFonts w:ascii="Times New Roman" w:hAnsi="Times New Roman"/>
          <w:sz w:val="20"/>
        </w:rPr>
      </w:pPr>
      <w:r>
        <w:rPr>
          <w:rFonts w:ascii="Arial" w:hAnsi="Arial"/>
          <w:color w:val="000000"/>
          <w:sz w:val="20"/>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 xml:space="preserve">or comparable foreign regulatory authorities. Such authorities may impose such a suspension, variation or termination due to a number of factors, including failure to conduct the clinical trial in accordance with regulatory requirements or our clinical protocols, inspection of the clinical trial operations or trial site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pStyle w:val="TextBody"/>
        <w:bidi w:val="0"/>
        <w:spacing w:before="0" w:after="240"/>
        <w:jc w:val="both"/>
        <w:rPr>
          <w:rFonts w:ascii="Times New Roman" w:hAnsi="Times New Roman"/>
          <w:sz w:val="20"/>
        </w:rPr>
      </w:pPr>
      <w:r>
        <w:rPr>
          <w:rFonts w:ascii="Arial" w:hAnsi="Arial"/>
          <w:color w:val="000000"/>
          <w:sz w:val="20"/>
        </w:rPr>
        <w:t>Further, conducting clinical trials in foreign countries, as we may do for palazestrant, OP-3136, or any future product candidates we may develop,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associated with foreign regulatory schemes, as well as political and economic risks relevant to such foreign countries.</w:t>
      </w:r>
    </w:p>
    <w:p>
      <w:pPr>
        <w:pStyle w:val="TextBody"/>
        <w:bidi w:val="0"/>
        <w:spacing w:before="0" w:after="240"/>
        <w:jc w:val="both"/>
        <w:rPr>
          <w:rFonts w:ascii="Arial" w:hAnsi="Arial"/>
          <w:color w:val="000000"/>
          <w:sz w:val="20"/>
        </w:rPr>
      </w:pPr>
      <w:r>
        <w:rPr>
          <w:rFonts w:ascii="Arial" w:hAnsi="Arial"/>
          <w:color w:val="000000"/>
          <w:sz w:val="20"/>
        </w:rPr>
        <w:t>If we experience delays in the completion of, or termination of, any clinical trial of palazestrant, OP-3136, or any future product candidates we may develop, the commercial prospects of palazestrant, OP-3136, or any future product candidates we may develop will be harmed, and our ability to generate product revenues from palazestrant, OP-3136, or any future product candidates we may develop will be delayed. Moreover, any delays in completing our clinical trials will increase our costs, slow down palazestrant’s, OP-3136's, or the development and approval process of any future product candidates we may develop and jeopardize our ability to commence product sales and generate revenues.</w:t>
      </w:r>
    </w:p>
    <w:p>
      <w:pPr>
        <w:pStyle w:val="TextBody"/>
        <w:bidi w:val="0"/>
        <w:spacing w:before="0" w:after="240"/>
        <w:jc w:val="both"/>
        <w:rPr>
          <w:rFonts w:ascii="Arial" w:hAnsi="Arial"/>
          <w:color w:val="000000"/>
          <w:sz w:val="20"/>
        </w:rPr>
      </w:pPr>
      <w:r>
        <w:rPr>
          <w:rFonts w:ascii="Arial" w:hAnsi="Arial"/>
          <w:color w:val="000000"/>
          <w:sz w:val="20"/>
        </w:rPr>
        <w:t>In addition, many of the factors that cause, or lead to, termination, variation or suspension of, or a delay in the commencement or completion of, clinical trials may also ultimately lead to the denial of regulatory approval of palazestrant, OP-3136, or any future product candidates we may develop. Any delays in our clinical trials that occur as a result could shorten any period during which we may have the exclusive right to commercialize palazestrant, OP-3136, or any future product candidates we may develop, our competitors may be able to bring products to market before we do, and the commercial viability of palazestrant, OP-3136, or any future product candidates we may develop could be significantly reduced. Any of these occurrences may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pStyle w:val="TextBody"/>
        <w:bidi w:val="0"/>
        <w:spacing w:before="0" w:after="240"/>
        <w:jc w:val="both"/>
        <w:rPr>
          <w:rFonts w:ascii="Arial" w:hAnsi="Arial"/>
          <w:color w:val="000000"/>
          <w:sz w:val="20"/>
        </w:rPr>
      </w:pPr>
      <w:r>
        <w:rPr>
          <w:rFonts w:ascii="Arial" w:hAnsi="Arial"/>
          <w:color w:val="000000"/>
          <w:sz w:val="20"/>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0" w:after="240"/>
        <w:jc w:val="both"/>
        <w:rPr>
          <w:rFonts w:ascii="Arial" w:hAnsi="Arial"/>
          <w:b/>
          <w:i/>
          <w:color w:val="000000"/>
          <w:sz w:val="20"/>
        </w:rPr>
      </w:pPr>
      <w:r>
        <w:rPr>
          <w:rFonts w:ascii="Arial" w:hAnsi="Arial"/>
          <w:b/>
          <w:i/>
          <w:color w:val="000000"/>
          <w:sz w:val="20"/>
        </w:rPr>
        <w:t>Because we are pursuing a variety of target indications for palazestrant and OP-3136, we may expend our limited resources to pursue a particular indication and fail to capitalize on indications or additional product candidates that may be more profitable or for which there is a greater likelihood of success.</w:t>
      </w:r>
    </w:p>
    <w:p>
      <w:pPr>
        <w:pStyle w:val="TextBody"/>
        <w:bidi w:val="0"/>
        <w:spacing w:before="0" w:after="240"/>
        <w:jc w:val="both"/>
        <w:rPr>
          <w:rFonts w:ascii="Arial" w:hAnsi="Arial"/>
          <w:color w:val="000000"/>
          <w:sz w:val="20"/>
        </w:rPr>
      </w:pPr>
      <w:r>
        <w:rPr>
          <w:rFonts w:ascii="Arial" w:hAnsi="Arial"/>
          <w:color w:val="000000"/>
          <w:sz w:val="20"/>
        </w:rPr>
        <w:t>We are currently focused on pursuing a variety of target indications for palazestrant and OP-3136, and we have expended, and plan to continue to expend, significant resources to pursue these and other indications for palazestrant and OP-3136.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240"/>
        <w:jc w:val="both"/>
        <w:rPr>
          <w:rFonts w:ascii="Arial" w:hAnsi="Arial"/>
          <w:color w:val="000000"/>
          <w:sz w:val="20"/>
        </w:rPr>
      </w:pPr>
      <w:r>
        <w:rPr>
          <w:rFonts w:ascii="Arial" w:hAnsi="Arial"/>
          <w:color w:val="000000"/>
          <w:sz w:val="20"/>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Even if approved, palazestrant or OP-3136 may not achieve adequate market acceptance among physicians, patients, healthcare payors, and others in the medical community necessary for commercial success.</w:t>
      </w:r>
    </w:p>
    <w:p>
      <w:pPr>
        <w:pStyle w:val="TextBody"/>
        <w:bidi w:val="0"/>
        <w:spacing w:before="0" w:after="240"/>
        <w:jc w:val="both"/>
        <w:rPr>
          <w:rFonts w:ascii="Arial" w:hAnsi="Arial"/>
          <w:color w:val="000000"/>
          <w:sz w:val="20"/>
        </w:rPr>
      </w:pPr>
      <w:r>
        <w:rPr>
          <w:rFonts w:ascii="Arial" w:hAnsi="Arial"/>
          <w:color w:val="000000"/>
          <w:sz w:val="20"/>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efficacy and safety profile as demonstrated in clinical trials compared to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of market introduction of the product candidate as well as competitive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clinical indications for which the product candidate is approved;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restrictions on the use of palazestrant or OP-3136, such as boxed warnings or contraindications in labeling, or a REMS, or comparable foreign strategy, if any, which may not be required of alternative treatments and competitor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potential and perceived advantages of product candidates over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cost of treatment in relation to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pricing and the availability of coverage and adequate reimbursement by third-party payors, including government authorities;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 xml:space="preserve">the availability of palazestrant or </w:t>
      </w:r>
      <w:r>
        <w:rPr>
          <w:rFonts w:ascii="Arial" w:hAnsi="Arial"/>
          <w:color w:val="000000"/>
          <w:sz w:val="20"/>
        </w:rPr>
        <w:t xml:space="preserve">OP-3136 </w:t>
      </w:r>
      <w:r>
        <w:rPr>
          <w:rFonts w:ascii="Arial" w:hAnsi="Arial"/>
          <w:color w:val="231F20"/>
          <w:sz w:val="20"/>
        </w:rPr>
        <w:t>for use as a combination therapy;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relative convenience and ease of administration;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willingness of the target patient population to try new therapies and of physicians to prescribe these therapies;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effectiveness of sales and marketing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unfavorable publicity relating to palazestrant, OP-3136 or similar approved products or product candidates in development by third parties;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approval of other new therapies for the same indications.</w:t>
      </w:r>
    </w:p>
    <w:p>
      <w:pPr>
        <w:pStyle w:val="TextBody"/>
        <w:bidi w:val="0"/>
        <w:spacing w:before="0" w:after="240"/>
        <w:jc w:val="both"/>
        <w:rPr>
          <w:rFonts w:ascii="Arial" w:hAnsi="Arial"/>
          <w:color w:val="000000"/>
          <w:sz w:val="20"/>
        </w:rPr>
      </w:pPr>
      <w:r>
        <w:rPr>
          <w:rFonts w:ascii="Arial" w:hAnsi="Arial"/>
          <w:color w:val="000000"/>
          <w:sz w:val="20"/>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before="0" w:after="240"/>
        <w:jc w:val="both"/>
        <w:rPr>
          <w:rFonts w:ascii="Arial" w:hAnsi="Arial"/>
          <w:color w:val="000000"/>
          <w:sz w:val="20"/>
        </w:rPr>
      </w:pPr>
      <w:r>
        <w:rPr>
          <w:rFonts w:ascii="Arial" w:hAnsi="Arial"/>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candidates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Patient enrollment may also be affected if our competitors have ongoing clinical trials for product candidates that are under development for the same indications as palazestrant, OP-3136, or any future product candidates we may develop,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size and nature of the patient population;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severity of the disease under investigation;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availability and efficacy of approved drugs for the disease under investigation;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patient eligibility criteria for the trial in question as defined in the protocol;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perceived risks and benefits of the product candidate under study;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efforts to facilitate timely enrollment in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patient referral practices of physicians;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ability to monitor patients adequately during and after treatment;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proximity and availability of clinical trial sites for prospective patients;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continued enrollment of prospective patients by clinical trial sites;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risk that patients enrolled in clinical trials will drop out of the trials before completion or, because they may be late-stage cancer patients, will not survive the full terms of the clinical trials;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level of resources that clinical sites have to conduct a growing number of clinical studies.</w:t>
      </w:r>
    </w:p>
    <w:p>
      <w:pPr>
        <w:pStyle w:val="TextBody"/>
        <w:bidi w:val="0"/>
        <w:spacing w:before="0" w:after="240"/>
        <w:jc w:val="both"/>
        <w:rPr>
          <w:rFonts w:ascii="Arial" w:hAnsi="Arial"/>
          <w:color w:val="000000"/>
          <w:sz w:val="20"/>
        </w:rPr>
      </w:pPr>
      <w:r>
        <w:rPr>
          <w:rFonts w:ascii="Arial" w:hAnsi="Arial"/>
          <w:color w:val="000000"/>
          <w:sz w:val="20"/>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candidates we may develop and jeopardize our ability to obtain marketing approval for the sale of palazestrant, OP-3136, or any future product candidates we may develop. Furthermore, even if we are able to enroll a sufficient number of patients for our clinical trials, we may have difficulty maintaining enrollment of such patients in our clinical trials.</w:t>
      </w:r>
    </w:p>
    <w:p>
      <w:pPr>
        <w:pStyle w:val="TextBody"/>
        <w:bidi w:val="0"/>
        <w:spacing w:before="0" w:after="240"/>
        <w:jc w:val="both"/>
        <w:rPr>
          <w:rFonts w:ascii="Arial" w:hAnsi="Arial"/>
          <w:b/>
          <w:i/>
          <w:color w:val="000000"/>
          <w:sz w:val="20"/>
        </w:rPr>
      </w:pPr>
      <w:r>
        <w:rPr>
          <w:rFonts w:ascii="Arial" w:hAnsi="Arial"/>
          <w:b/>
          <w:i/>
          <w:color w:val="000000"/>
          <w:sz w:val="20"/>
        </w:rPr>
        <w:t>We are developing palazestrant and OP-3136 and may develop future product candidates, in combination with other therapies, which exposes us to additional risks.</w:t>
      </w:r>
    </w:p>
    <w:p>
      <w:pPr>
        <w:pStyle w:val="TextBody"/>
        <w:bidi w:val="0"/>
        <w:spacing w:before="0" w:after="240"/>
        <w:jc w:val="both"/>
        <w:rPr>
          <w:rFonts w:ascii="Arial" w:hAnsi="Arial"/>
          <w:color w:val="000000"/>
          <w:sz w:val="20"/>
        </w:rPr>
      </w:pPr>
      <w:r>
        <w:rPr>
          <w:rFonts w:ascii="Arial" w:hAnsi="Arial"/>
          <w:color w:val="000000"/>
          <w:sz w:val="20"/>
        </w:rPr>
        <w:t>We are developing palazestrant and OP-3136 and may develop future product candidates, in combination with one or more other approved or unapproved therapies to treat cancer or other diseases. For example, we have a Phase 1/2 study of palazestrant in a combination trial with a CDK4/6 inhibitor, an additional Phase 1/2 studies of palazestrant in combination with another CDK4/6 inhibitor and with a PI3Ka inhibitor, and a Phase 1b/2 study of palazestrant in combination with a CDK4 inhibitor. We have also initiated OPERA-02, a Phase 3 clinical trial of palazestrant in combination with a CDK4/6 inhibitor, ribociclib.</w:t>
      </w:r>
    </w:p>
    <w:p>
      <w:pPr>
        <w:pStyle w:val="TextBody"/>
        <w:bidi w:val="0"/>
        <w:spacing w:before="0" w:after="240"/>
        <w:jc w:val="both"/>
        <w:rPr>
          <w:rFonts w:ascii="Times New Roman" w:hAnsi="Times New Roman"/>
          <w:sz w:val="20"/>
        </w:rPr>
      </w:pPr>
      <w:r>
        <w:rPr>
          <w:rFonts w:ascii="Arial" w:hAnsi="Arial"/>
          <w:color w:val="000000"/>
          <w:sz w:val="20"/>
        </w:rPr>
        <w:t>Even if palazestrant, OP-3136, or any future product candidates we may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supply issues could arise with any of those existing therapies. If the therapies we use in combination with palazestrant, OP-3136, or any future product candidates we may develop, are replaced as the standard of care for the indications we choose for palazestrant, OP-3136, or any future product candidates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bidi w:val="0"/>
        <w:spacing w:before="0" w:after="240"/>
        <w:jc w:val="both"/>
        <w:rPr>
          <w:rFonts w:ascii="Arial" w:hAnsi="Arial"/>
          <w:color w:val="000000"/>
          <w:sz w:val="20"/>
        </w:rPr>
      </w:pPr>
      <w:r>
        <w:rPr>
          <w:rFonts w:ascii="Arial" w:hAnsi="Arial"/>
          <w:color w:val="000000"/>
          <w:sz w:val="20"/>
        </w:rPr>
        <w:t>We also may choose to evaluate palazestrant, OP-3136, or any future product candidates we may develop in combination with one or more cancer therapies that have not yet been approved for marketing by the FDA, European Commission, or comparable foreign regulatory authorities. We will not be able to market and sell palazestrant, OP-3136, or any future product candidates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such as the potential for serious adverse effects, delays in their clinical trials and potential failure to receive approval from the FDA, European Commission or comparable foreign regulatory authorities.</w:t>
      </w:r>
    </w:p>
    <w:p>
      <w:pPr>
        <w:pStyle w:val="TextBody"/>
        <w:bidi w:val="0"/>
        <w:spacing w:before="0" w:after="240"/>
        <w:jc w:val="both"/>
        <w:rPr>
          <w:rFonts w:ascii="Arial" w:hAnsi="Arial"/>
          <w:color w:val="000000"/>
          <w:sz w:val="20"/>
        </w:rPr>
      </w:pPr>
      <w:r>
        <w:rPr>
          <w:rFonts w:ascii="Arial" w:hAnsi="Arial"/>
          <w:color w:val="000000"/>
          <w:sz w:val="20"/>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pStyle w:val="TextBody"/>
        <w:bidi w:val="0"/>
        <w:spacing w:before="0" w:after="240"/>
        <w:jc w:val="both"/>
        <w:rPr>
          <w:rFonts w:ascii="Arial" w:hAnsi="Arial"/>
          <w:b/>
          <w:i/>
          <w:color w:val="000000"/>
          <w:sz w:val="20"/>
        </w:rPr>
      </w:pPr>
      <w:r>
        <w:rPr>
          <w:rFonts w:ascii="Arial" w:hAnsi="Arial"/>
          <w:b/>
          <w:i/>
          <w:color w:val="000000"/>
          <w:sz w:val="20"/>
        </w:rPr>
        <w:t>Risks associated with the in-licensing or acquisition of drug candidates could cause substantial delays in the pre-clinical and clinical development of our drug candidates.</w:t>
      </w:r>
    </w:p>
    <w:p>
      <w:pPr>
        <w:pStyle w:val="TextBody"/>
        <w:bidi w:val="0"/>
        <w:spacing w:before="0" w:after="240"/>
        <w:jc w:val="both"/>
        <w:rPr>
          <w:rFonts w:ascii="Times New Roman" w:hAnsi="Times New Roman"/>
          <w:sz w:val="20"/>
        </w:rPr>
      </w:pPr>
      <w:r>
        <w:rPr>
          <w:rFonts w:ascii="Arial" w:hAnsi="Arial"/>
          <w:color w:val="000000"/>
          <w:sz w:val="20"/>
        </w:rPr>
        <w:t>We have previously in-licensed product candidates, and we may acquire or in-license potential product candidates for in the future, as we continue to build our pipeline. Such arrangements with third parties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are subject to the continuation of and our compliance with the terms of any such agreements.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jc w:val="both"/>
        <w:rPr>
          <w:rFonts w:ascii="Arial" w:hAnsi="Arial"/>
          <w:b/>
          <w:i/>
          <w:color w:val="000000"/>
          <w:sz w:val="20"/>
        </w:rPr>
      </w:pPr>
      <w:r>
        <w:rPr>
          <w:rFonts w:ascii="Arial" w:hAnsi="Arial"/>
          <w:b/>
          <w:i/>
          <w:color w:val="000000"/>
          <w:sz w:val="20"/>
        </w:rPr>
        <w:t>The incidence and prevalence for target patient populations of palazestrant and OP-3136 are based on estimates and third-party sources. If the market opportunities for palazestrant, OP-3136, or any future product candidates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color w:val="000000"/>
          <w:sz w:val="20"/>
        </w:rPr>
      </w:pPr>
      <w:r>
        <w:rPr>
          <w:rFonts w:ascii="Arial" w:hAnsi="Arial"/>
          <w:color w:val="000000"/>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pStyle w:val="TextBody"/>
        <w:bidi w:val="0"/>
        <w:spacing w:before="0" w:after="240"/>
        <w:jc w:val="both"/>
        <w:rPr>
          <w:rFonts w:ascii="Times New Roman" w:hAnsi="Times New Roman"/>
          <w:sz w:val="20"/>
        </w:rPr>
      </w:pPr>
      <w:r>
        <w:rPr>
          <w:rFonts w:ascii="Arial" w:hAnsi="Arial"/>
          <w:color w:val="000000"/>
          <w:sz w:val="20"/>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drugs, or new patients may become increasingly difficult to identify or gain access to. If the market opportunities for palazestrant, OP-3136, or any future product candidates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b/>
          <w:i/>
          <w:color w:val="000000"/>
          <w:sz w:val="20"/>
        </w:rPr>
      </w:pPr>
      <w:r>
        <w:rPr>
          <w:rFonts w:ascii="Arial" w:hAnsi="Arial"/>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0" w:after="240"/>
        <w:jc w:val="both"/>
        <w:rPr>
          <w:rFonts w:ascii="Arial" w:hAnsi="Arial"/>
          <w:color w:val="000000"/>
          <w:sz w:val="20"/>
        </w:rPr>
      </w:pPr>
      <w:r>
        <w:rPr>
          <w:rFonts w:ascii="Arial" w:hAnsi="Arial"/>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bidi w:val="0"/>
        <w:spacing w:before="0" w:after="240"/>
        <w:jc w:val="both"/>
        <w:rPr>
          <w:rFonts w:ascii="Arial" w:hAnsi="Arial"/>
          <w:color w:val="000000"/>
          <w:sz w:val="20"/>
        </w:rPr>
      </w:pPr>
      <w:r>
        <w:rPr>
          <w:rFonts w:ascii="Arial" w:hAnsi="Arial"/>
          <w:color w:val="000000"/>
          <w:sz w:val="20"/>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jc w:val="both"/>
        <w:rPr>
          <w:rFonts w:ascii="Arial" w:hAnsi="Arial"/>
          <w:color w:val="000000"/>
          <w:sz w:val="20"/>
        </w:rPr>
      </w:pPr>
      <w:r>
        <w:rPr>
          <w:rFonts w:ascii="Arial" w:hAnsi="Arial"/>
          <w:color w:val="000000"/>
          <w:sz w:val="20"/>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palazestrant, OP-3136, or any future product candidates we may develop, our commercial opportunities will be negatively impacted.</w:t>
      </w:r>
    </w:p>
    <w:p>
      <w:pPr>
        <w:pStyle w:val="TextBody"/>
        <w:bidi w:val="0"/>
        <w:spacing w:before="0" w:after="240"/>
        <w:jc w:val="both"/>
        <w:rPr>
          <w:rFonts w:ascii="Times New Roman" w:hAnsi="Times New Roman"/>
          <w:sz w:val="20"/>
        </w:rPr>
      </w:pPr>
      <w:r>
        <w:rPr>
          <w:rFonts w:ascii="Arial" w:hAnsi="Arial"/>
          <w:color w:val="00000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which we seek approval. This may make it difficult for us to replace existing therapies with palazestrant, OP-3136, and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before="0" w:after="240"/>
        <w:jc w:val="both"/>
        <w:rPr>
          <w:rFonts w:ascii="Times New Roman" w:hAnsi="Times New Roman"/>
          <w:sz w:val="20"/>
        </w:rPr>
      </w:pPr>
      <w:r>
        <w:rPr>
          <w:rFonts w:ascii="Arial" w:hAnsi="Arial"/>
          <w:color w:val="000000"/>
          <w:sz w:val="20"/>
        </w:rPr>
        <w:t>For example, if we are successful in developing palazestrant, it may compete against existing products and product candidates in development, to the extent any such product candidates are approved, for the treatment of ER+ breast cancer, including fulvestrant, marketed as Faslodex® by AstraZeneca PLC and or any generic equivalents of Faslodex that are marketed or in development; elacestrant, marketed as ORSERDU</w:t>
      </w:r>
      <w:r>
        <w:rPr>
          <w:rFonts w:ascii="Arial" w:hAnsi="Arial"/>
          <w:color w:val="000000"/>
          <w:sz w:val="13"/>
        </w:rPr>
        <w:t xml:space="preserve">TM </w:t>
      </w:r>
      <w:r>
        <w:rPr>
          <w:rFonts w:ascii="Arial" w:hAnsi="Arial"/>
          <w:color w:val="000000"/>
          <w:sz w:val="20"/>
        </w:rPr>
        <w:t>by Stemline Therapeutics Inc.; giredestrant (GDC-9545), being developed by Roche Holding AG/Genentech, Inc.; camizestrant (AZD9833), being developed by AstraZeneca PLC; imlunestrant, marketed as Inluriyo</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by Eli Lilly and Co.; vepdegestrant (ARV-471), being developed by Arvinas, Inc. in partnership with Pfizer, Inc.; and lasofoxifene, being developed by LeonaBio, Inc. There are also a number of KAT6 inhibitor product candidates in development that may compete with OP-3136 including prifetrastat and PF-08032562, which are being developed by Pfizer, MEN2312, which is being developed by Stemline Therapeutics, and BG-75202 being developed by BeOne Medicines.</w:t>
      </w:r>
    </w:p>
    <w:p>
      <w:pPr>
        <w:pStyle w:val="TextBody"/>
        <w:bidi w:val="0"/>
        <w:spacing w:before="0" w:after="240"/>
        <w:jc w:val="both"/>
        <w:rPr>
          <w:rFonts w:ascii="Arial" w:hAnsi="Arial"/>
          <w:color w:val="000000"/>
          <w:sz w:val="20"/>
        </w:rPr>
      </w:pPr>
      <w:r>
        <w:rPr>
          <w:rFonts w:ascii="Arial" w:hAnsi="Arial"/>
          <w:color w:val="000000"/>
          <w:sz w:val="20"/>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pStyle w:val="TextBody"/>
        <w:bidi w:val="0"/>
        <w:spacing w:before="0" w:after="240"/>
        <w:jc w:val="both"/>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any future product candidates we may develop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and any future product candidates we may develop obsolete, less competitive, or not economical. If we are unable to compete effectively, our opportunity to generate revenue from the sale of any product we may develop, if approved, would be adversely affected.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Changes in methods of palazestrant and OP-3136 manufacturing or formulation may result in additional costs or delay.</w:t>
      </w:r>
    </w:p>
    <w:p>
      <w:pPr>
        <w:pStyle w:val="TextBody"/>
        <w:bidi w:val="0"/>
        <w:spacing w:before="0" w:after="240"/>
        <w:jc w:val="both"/>
        <w:rPr>
          <w:rFonts w:ascii="Arial" w:hAnsi="Arial"/>
          <w:color w:val="000000"/>
          <w:sz w:val="20"/>
        </w:rPr>
      </w:pPr>
      <w:r>
        <w:rPr>
          <w:rFonts w:ascii="Arial" w:hAnsi="Arial"/>
          <w:color w:val="000000"/>
          <w:sz w:val="20"/>
        </w:rPr>
        <w:t>As palazestrant and OP-3136 progress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and OP-3136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or OP-3136 and jeopardize our ability to commercialize palazestrant or OP-3136, if approved, and generate revenue.</w:t>
      </w:r>
    </w:p>
    <w:p>
      <w:pPr>
        <w:pStyle w:val="TextBody"/>
        <w:bidi w:val="0"/>
        <w:spacing w:before="0" w:after="240"/>
        <w:jc w:val="both"/>
        <w:rPr>
          <w:rFonts w:ascii="Arial" w:hAnsi="Arial"/>
          <w:b/>
          <w:i/>
          <w:color w:val="000000"/>
          <w:sz w:val="20"/>
        </w:rPr>
      </w:pPr>
      <w:r>
        <w:rPr>
          <w:rFonts w:ascii="Arial" w:hAnsi="Arial"/>
          <w:b/>
          <w:i/>
          <w:color w:val="000000"/>
          <w:sz w:val="20"/>
        </w:rPr>
        <w:t>Any product candidate we develop may become subject to unfavorable third-party coverage and reimbursement practices, as well as pricing regulations.</w:t>
      </w:r>
    </w:p>
    <w:p>
      <w:pPr>
        <w:pStyle w:val="TextBody"/>
        <w:bidi w:val="0"/>
        <w:spacing w:before="0" w:after="240"/>
        <w:jc w:val="both"/>
        <w:rPr>
          <w:rFonts w:ascii="Arial" w:hAnsi="Arial"/>
          <w:color w:val="000000"/>
          <w:sz w:val="20"/>
        </w:rPr>
      </w:pPr>
      <w:r>
        <w:rPr>
          <w:rFonts w:ascii="Arial" w:hAnsi="Arial"/>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for palazestrant, OP-3136, or any future product candidates we may develop, sales of such product will depend substantially, in the United States and internationally, on the extent to which the costs of the product are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0" w:after="240"/>
        <w:jc w:val="both"/>
        <w:rPr>
          <w:rFonts w:ascii="Arial" w:hAnsi="Arial"/>
          <w:color w:val="000000"/>
          <w:sz w:val="20"/>
        </w:rPr>
      </w:pPr>
      <w:r>
        <w:rPr>
          <w:rFonts w:ascii="Arial" w:hAnsi="Arial"/>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For example, HHS imposes rebates on many Medicare Part B and Medicare Part D products to penalize price increases that outpace inflation.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0" w:after="240"/>
        <w:jc w:val="both"/>
        <w:rPr>
          <w:rFonts w:ascii="Arial" w:hAnsi="Arial"/>
          <w:color w:val="000000"/>
          <w:sz w:val="20"/>
        </w:rPr>
      </w:pPr>
      <w:r>
        <w:rPr>
          <w:rFonts w:ascii="Arial" w:hAnsi="Arial"/>
          <w:color w:val="000000"/>
          <w:sz w:val="20"/>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including European Union (EU)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0" w:after="240"/>
        <w:jc w:val="both"/>
        <w:rPr>
          <w:rFonts w:ascii="Arial" w:hAnsi="Arial"/>
          <w:color w:val="000000"/>
          <w:sz w:val="20"/>
        </w:rPr>
      </w:pPr>
      <w:r>
        <w:rPr>
          <w:rFonts w:ascii="Arial" w:hAnsi="Arial"/>
          <w:color w:val="000000"/>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spacing w:before="0" w:after="240"/>
        <w:jc w:val="both"/>
        <w:rPr>
          <w:rFonts w:ascii="Arial" w:hAnsi="Arial"/>
          <w:b/>
          <w:i/>
          <w:color w:val="000000"/>
          <w:sz w:val="20"/>
        </w:rPr>
      </w:pPr>
      <w:r>
        <w:rPr>
          <w:rFonts w:ascii="Arial" w:hAnsi="Arial"/>
          <w:b/>
          <w:i/>
          <w:color w:val="000000"/>
          <w:sz w:val="20"/>
        </w:rPr>
        <w:t>Guidelines and recommendations published by various organizations can reduce the use of palazestrant, OP-3136, or any future product candidates we may develop.</w:t>
      </w:r>
    </w:p>
    <w:p>
      <w:pPr>
        <w:pStyle w:val="TextBody"/>
        <w:bidi w:val="0"/>
        <w:spacing w:before="0" w:after="240"/>
        <w:jc w:val="both"/>
        <w:rPr>
          <w:rFonts w:ascii="Times New Roman" w:hAnsi="Times New Roman"/>
          <w:sz w:val="20"/>
        </w:rPr>
      </w:pPr>
      <w:r>
        <w:rPr>
          <w:rFonts w:ascii="Arial" w:hAnsi="Arial"/>
          <w:color w:val="000000"/>
          <w:sz w:val="20"/>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providers could result in decreased use of palazestrant, OP-3136, or any future product candidates we may develop.</w:t>
      </w:r>
    </w:p>
    <w:p>
      <w:pPr>
        <w:pStyle w:val="TextBody"/>
        <w:bidi w:val="0"/>
        <w:spacing w:before="0" w:after="240"/>
        <w:jc w:val="left"/>
        <w:rPr>
          <w:rFonts w:ascii="Arial" w:hAnsi="Arial"/>
          <w:b/>
          <w:color w:val="000000"/>
          <w:sz w:val="20"/>
        </w:rPr>
      </w:pPr>
      <w:r>
        <w:rPr>
          <w:rFonts w:ascii="Arial" w:hAnsi="Arial"/>
          <w:b/>
          <w:color w:val="000000"/>
          <w:sz w:val="20"/>
        </w:rPr>
        <w:t>Risks related to regulatory approval and other legal compliance matters</w:t>
      </w:r>
    </w:p>
    <w:p>
      <w:pPr>
        <w:pStyle w:val="TextBody"/>
        <w:bidi w:val="0"/>
        <w:spacing w:before="0" w:after="240"/>
        <w:jc w:val="both"/>
        <w:rPr>
          <w:rFonts w:ascii="Arial" w:hAnsi="Arial"/>
          <w:b/>
          <w:i/>
          <w:color w:val="000000"/>
          <w:sz w:val="20"/>
        </w:rPr>
      </w:pPr>
      <w:r>
        <w:rPr>
          <w:rFonts w:ascii="Arial" w:hAnsi="Arial"/>
          <w:b/>
          <w:i/>
          <w:color w:val="000000"/>
          <w:sz w:val="20"/>
        </w:rPr>
        <w:t>We may be unable to obtain U.S. or foreign regulatory approvals and, as a result, may be unable to commercialize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Palazestrant and OP-3136 are, and any future product candidates we develop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future product candidates we may develop will progress through required clinical testing and obtain the regulatory approvals necessary for us to begin selling them.</w:t>
      </w:r>
    </w:p>
    <w:p>
      <w:pPr>
        <w:pStyle w:val="TextBody"/>
        <w:bidi w:val="0"/>
        <w:spacing w:before="0" w:after="240"/>
        <w:jc w:val="both"/>
        <w:rPr>
          <w:rFonts w:ascii="Arial" w:hAnsi="Arial"/>
          <w:color w:val="000000"/>
          <w:sz w:val="20"/>
        </w:rPr>
      </w:pPr>
      <w:r>
        <w:rPr>
          <w:rFonts w:ascii="Arial" w:hAnsi="Arial"/>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 change during drug development, which makes it difficult to predict with any certainty how they will be applied. We may also encounter unexpected delays or increased costs due to new government regulations or other actions,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pStyle w:val="TextBody"/>
        <w:bidi w:val="0"/>
        <w:spacing w:before="0" w:after="240"/>
        <w:jc w:val="both"/>
        <w:rPr>
          <w:rFonts w:ascii="Arial" w:hAnsi="Arial"/>
          <w:color w:val="000000"/>
          <w:sz w:val="20"/>
        </w:rPr>
      </w:pPr>
      <w:r>
        <w:rPr>
          <w:rFonts w:ascii="Arial" w:hAnsi="Arial"/>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240"/>
        <w:jc w:val="both"/>
        <w:rPr>
          <w:rFonts w:ascii="Arial" w:hAnsi="Arial"/>
          <w:color w:val="000000"/>
          <w:sz w:val="20"/>
        </w:rPr>
      </w:pPr>
      <w:r>
        <w:rPr>
          <w:rFonts w:ascii="Arial" w:hAnsi="Arial"/>
          <w:color w:val="000000"/>
          <w:sz w:val="20"/>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0" w:after="240"/>
        <w:jc w:val="both"/>
        <w:rPr>
          <w:rFonts w:ascii="Arial" w:hAnsi="Arial"/>
          <w:b/>
          <w:i/>
          <w:color w:val="000000"/>
          <w:sz w:val="20"/>
        </w:rPr>
      </w:pPr>
      <w:r>
        <w:rPr>
          <w:rFonts w:ascii="Arial" w:hAnsi="Arial"/>
          <w:b/>
          <w:i/>
          <w:color w:val="000000"/>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bidi w:val="0"/>
        <w:jc w:val="both"/>
        <w:rPr>
          <w:rFonts w:ascii="Times New Roman" w:hAnsi="Times New Roman"/>
          <w:sz w:val="20"/>
        </w:rPr>
      </w:pPr>
      <w:r>
        <w:rPr>
          <w:rFonts w:ascii="Arial" w:hAnsi="Arial"/>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are becoming increasingly expensive. As a result, we may be unable to obtain sufficient insurance at a reasonable cost to protect us against losses caused by any product liability claims that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Palazestrant, OP-3136, and any future product candidates we develop may cause significant adverse events, toxicities or other undesirable side effects when used alone or in combination with other approved products or investigational new drugs, which may result in a safety profile that could inhibit regulatory approval, prevent market acceptance, limit their commercial potential or result in significant negative consequences.</w:t>
      </w:r>
    </w:p>
    <w:p>
      <w:pPr>
        <w:pStyle w:val="TextBody"/>
        <w:bidi w:val="0"/>
        <w:jc w:val="both"/>
        <w:rPr>
          <w:rFonts w:ascii="Arial" w:hAnsi="Arial"/>
          <w:color w:val="000000"/>
          <w:sz w:val="20"/>
        </w:rPr>
      </w:pPr>
      <w:r>
        <w:rPr>
          <w:rFonts w:ascii="Arial" w:hAnsi="Arial"/>
          <w:color w:val="000000"/>
          <w:sz w:val="20"/>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For example, the most common side effects we have seen in patients treated with palazestrant in our clinical trials are nausea, fatigue, vomiting, constipation, headaches, and neutropenia.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Any of these occurrences may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many factors, including other therapies or medications that such patients may be using or due to the gravity of such patients’ illnesses.</w:t>
      </w:r>
    </w:p>
    <w:p>
      <w:pPr>
        <w:pStyle w:val="TextBody"/>
        <w:bidi w:val="0"/>
        <w:jc w:val="both"/>
        <w:rPr>
          <w:rFonts w:ascii="Times New Roman" w:hAnsi="Times New Roman"/>
          <w:sz w:val="20"/>
        </w:rPr>
      </w:pPr>
      <w:r>
        <w:rPr>
          <w:rFonts w:ascii="Arial" w:hAnsi="Arial"/>
          <w:color w:val="000000"/>
          <w:sz w:val="20"/>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231F20"/>
          <w:sz w:val="20"/>
        </w:rPr>
        <w:t>competent authorities of EU Member States</w:t>
      </w:r>
      <w:r>
        <w:rPr>
          <w:rFonts w:ascii="Arial" w:hAnsi="Arial"/>
          <w:color w:val="000000"/>
          <w:sz w:val="20"/>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including our potential collaboration, financing, or other business opportunities. Further, if palazestrant or OP-3136 obtains marketing approval, toxicities associated with palazestrant or OP-3136 that are not seen during clinical testing may develop after such approval and lead to a requirement to conduct additional clinical safety trials, additional contraindications, addition of warnings, and precautions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pStyle w:val="TextBody"/>
        <w:bidi w:val="0"/>
        <w:spacing w:before="0" w:after="240"/>
        <w:jc w:val="both"/>
        <w:rPr>
          <w:rFonts w:ascii="Arial" w:hAnsi="Arial"/>
          <w:b/>
          <w:i/>
          <w:color w:val="000000"/>
          <w:sz w:val="20"/>
        </w:rPr>
      </w:pPr>
      <w:r>
        <w:rPr>
          <w:rFonts w:ascii="Arial" w:hAnsi="Arial"/>
          <w:b/>
          <w:i/>
          <w:color w:val="000000"/>
          <w:sz w:val="20"/>
        </w:rPr>
        <w:t>The FDA, EMA, the European Commission, and other comparable foreign regulatory authorities may not accept data from trials conducted in locations outside of their jurisdiction.</w:t>
      </w:r>
    </w:p>
    <w:p>
      <w:pPr>
        <w:pStyle w:val="TextBody"/>
        <w:bidi w:val="0"/>
        <w:spacing w:before="0" w:after="240"/>
        <w:jc w:val="both"/>
        <w:rPr>
          <w:rFonts w:ascii="Arial" w:hAnsi="Arial"/>
          <w:color w:val="000000"/>
          <w:sz w:val="20"/>
        </w:rPr>
      </w:pPr>
      <w:r>
        <w:rPr>
          <w:rFonts w:ascii="Arial" w:hAnsi="Arial"/>
          <w:color w:val="000000"/>
          <w:sz w:val="20"/>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pStyle w:val="TextBody"/>
        <w:bidi w:val="0"/>
        <w:spacing w:before="0" w:after="240"/>
        <w:jc w:val="both"/>
        <w:rPr>
          <w:rFonts w:ascii="Arial" w:hAnsi="Arial"/>
          <w:color w:val="000000"/>
          <w:sz w:val="20"/>
        </w:rPr>
      </w:pPr>
      <w:r>
        <w:rPr>
          <w:rFonts w:ascii="Arial" w:hAnsi="Arial"/>
          <w:color w:val="000000"/>
          <w:sz w:val="20"/>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0" w:after="240"/>
        <w:jc w:val="both"/>
        <w:rPr>
          <w:rFonts w:ascii="Times New Roman" w:hAnsi="Times New Roman"/>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pStyle w:val="TextBody"/>
        <w:bidi w:val="0"/>
        <w:spacing w:before="0" w:after="240"/>
        <w:jc w:val="both"/>
        <w:rPr>
          <w:rFonts w:ascii="Arial" w:hAnsi="Arial"/>
          <w:b/>
          <w:i/>
          <w:color w:val="000000"/>
          <w:sz w:val="20"/>
        </w:rPr>
      </w:pPr>
      <w:r>
        <w:rPr>
          <w:rFonts w:ascii="Arial" w:hAnsi="Arial"/>
          <w:b/>
          <w:i/>
          <w:color w:val="000000"/>
          <w:sz w:val="20"/>
        </w:rPr>
        <w:t>Even if palazestrant, OP-3136, or any product candidate we develop in the future, receives regulatory approval, it will be subject to significant post-marketing regulatory requirements and oversight.</w:t>
      </w:r>
    </w:p>
    <w:p>
      <w:pPr>
        <w:pStyle w:val="TextBody"/>
        <w:bidi w:val="0"/>
        <w:jc w:val="both"/>
        <w:rPr>
          <w:rFonts w:ascii="Arial" w:hAnsi="Arial"/>
          <w:color w:val="000000"/>
          <w:sz w:val="20"/>
        </w:rPr>
      </w:pPr>
      <w:r>
        <w:rPr>
          <w:rFonts w:ascii="Arial" w:hAnsi="Arial"/>
          <w:color w:val="000000"/>
          <w:sz w:val="20"/>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 or applicable foreign regulatory authorities approve palazestrant, OP-3136, or any future product candidates we may develop, the manufacturing processes, labeling, packaging, distribution, adverse event reporting, storage, advertising, promotion, importation, exportation and recordkeeping for palazestrant, OP-3136, or any future product candidates we may develop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or other applicable foreign regulatory requirements may subject our company to administrative or judicially imposed sanctions,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delays in or the rejection of product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restrictions on our ability to conduct clinical trials, including full or partial clinical holds on ongoing or planned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restrictions on the products, manufacturers or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warning letters;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civil and criminal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injunctions;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suspension, variation or withdrawal of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product seizures, detentions or import bans;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voluntary or mandatory product recalls and publicity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total or partial suspension of production; and</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color w:val="231F20"/>
          <w:sz w:val="20"/>
        </w:rPr>
      </w:pPr>
      <w:r>
        <w:rPr>
          <w:rFonts w:ascii="Arial" w:hAnsi="Arial"/>
          <w:color w:val="231F20"/>
          <w:sz w:val="20"/>
        </w:rPr>
        <w:t>imposition of restrictions on operations, including costly new manufacturing requirements.</w:t>
      </w:r>
    </w:p>
    <w:p>
      <w:pPr>
        <w:pStyle w:val="TextBody"/>
        <w:bidi w:val="0"/>
        <w:spacing w:before="0" w:after="240"/>
        <w:jc w:val="both"/>
        <w:rPr>
          <w:rFonts w:ascii="Arial" w:hAnsi="Arial"/>
          <w:color w:val="000000"/>
          <w:sz w:val="20"/>
        </w:rPr>
      </w:pPr>
      <w:r>
        <w:rPr>
          <w:rFonts w:ascii="Arial" w:hAnsi="Arial"/>
          <w:color w:val="000000"/>
          <w:sz w:val="20"/>
        </w:rPr>
        <w:t>The occurrence of any event or penalty described above may inhibit our ability to commercialize palazestrant, OP-3136, or any future product candidates we may develop and to generate revenue, could require us to expend significant time and resources in response and could generate negative publicity.</w:t>
      </w:r>
    </w:p>
    <w:p>
      <w:pPr>
        <w:pStyle w:val="TextBody"/>
        <w:bidi w:val="0"/>
        <w:spacing w:before="0" w:after="240"/>
        <w:jc w:val="both"/>
        <w:rPr>
          <w:rFonts w:ascii="Times New Roman" w:hAnsi="Times New Roman"/>
          <w:sz w:val="20"/>
        </w:rPr>
      </w:pPr>
      <w:r>
        <w:rPr>
          <w:rFonts w:ascii="Arial" w:hAnsi="Arial"/>
          <w:color w:val="000000"/>
          <w:sz w:val="20"/>
        </w:rPr>
        <w:t>The FDA’s and other regulatory authorities’ policies may change, and additional government regulations may be enacted that could prevent, limit, or delay regulatory approval of palazestrant, OP-3136, or any future product candidates we may develop. If we are slow or unable to adapt to changes in existing requirements or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The FDA and other regulatory authorities actively enforce the laws and regulations prohibiting the promotion of off-label uses.</w:t>
      </w:r>
    </w:p>
    <w:p>
      <w:pPr>
        <w:pStyle w:val="TextBody"/>
        <w:bidi w:val="0"/>
        <w:spacing w:before="0" w:after="240"/>
        <w:jc w:val="both"/>
        <w:rPr>
          <w:rFonts w:ascii="Arial" w:hAnsi="Arial"/>
          <w:color w:val="000000"/>
          <w:sz w:val="20"/>
        </w:rPr>
      </w:pPr>
      <w:r>
        <w:rPr>
          <w:rFonts w:ascii="Arial" w:hAnsi="Arial"/>
          <w:color w:val="000000"/>
          <w:sz w:val="20"/>
        </w:rPr>
        <w:t>If palazestrant, OP-3136, or any future product candidates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pStyle w:val="TextBody"/>
        <w:bidi w:val="0"/>
        <w:jc w:val="both"/>
        <w:rPr>
          <w:rFonts w:ascii="Arial" w:hAnsi="Arial"/>
          <w:b/>
          <w:i/>
          <w:color w:val="000000"/>
          <w:sz w:val="20"/>
        </w:rPr>
      </w:pPr>
      <w:r>
        <w:rPr>
          <w:rFonts w:ascii="Arial" w:hAnsi="Arial"/>
          <w:b/>
          <w:i/>
          <w:color w:val="000000"/>
          <w:sz w:val="20"/>
        </w:rPr>
        <w:t>Disruptions at the FDA, EMA, the European Commission applicable foreign regulatory authorities, the SEC, and other government agencies and regulatory authorities caused by funding shortages, government shutdowns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The ability of the FDA, EMA, the European Commission or any applicable foreign regulatory authority to review and approve new products can be affected by a variety of factors, including, government budget and funding levels, ability to hire and retain key personnel, the acceptance and availability of user fee payments,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may continue to be delayed. In addition, government funding of the SEC and other government authorities on which our operations may rely, including those that fund research and development activities, is subject to the political process, which is inherently fluid and unpredictable. Any reduction, delay, or interruption in such funding, whether due to recent or future budgetary constraints, could adversely affect our ability to operate our business, comply with applicable regulatory requirements, or access the capital markets.</w:t>
      </w:r>
    </w:p>
    <w:p>
      <w:pPr>
        <w:pStyle w:val="TextBody"/>
        <w:bidi w:val="0"/>
        <w:jc w:val="both"/>
        <w:rPr>
          <w:rFonts w:ascii="Arial" w:hAnsi="Arial"/>
          <w:color w:val="000000"/>
          <w:sz w:val="20"/>
        </w:rPr>
      </w:pPr>
      <w:r>
        <w:rPr>
          <w:rFonts w:ascii="Arial" w:hAnsi="Arial"/>
          <w:color w:val="000000"/>
          <w:sz w:val="20"/>
        </w:rPr>
        <w:t>Disruptions at the FDA and other authorities may also slow the time necessary for new drugs to be reviewed and/or approved by necessary government authorities, which would adversely affect our business. For example, over the last several years, the U.S. government has shut down several times, including for 43 days beginning in October 2025, and certain regulatory agencies, such as the FDA, have had to furlough critical employees and stop critical activities. If a prolonged government shutdown occurs again,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b/>
          <w:i/>
          <w:color w:val="000000"/>
          <w:sz w:val="20"/>
        </w:rPr>
      </w:pPr>
      <w:r>
        <w:rPr>
          <w:rFonts w:ascii="Arial" w:hAnsi="Arial"/>
          <w:b/>
          <w:i/>
          <w:color w:val="000000"/>
          <w:sz w:val="20"/>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pStyle w:val="TextBody"/>
        <w:bidi w:val="0"/>
        <w:jc w:val="both"/>
        <w:rPr>
          <w:rFonts w:ascii="Arial" w:hAnsi="Arial"/>
          <w:color w:val="000000"/>
          <w:sz w:val="20"/>
        </w:rPr>
      </w:pPr>
      <w:r>
        <w:rPr>
          <w:rFonts w:ascii="Arial" w:hAnsi="Arial"/>
          <w:color w:val="000000"/>
          <w:sz w:val="20"/>
        </w:rPr>
        <w:t>We may in the future seek approval for palazestrant, OP-3136, or any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bidi w:val="0"/>
        <w:spacing w:before="0" w:after="240"/>
        <w:jc w:val="both"/>
        <w:rPr>
          <w:rFonts w:ascii="Arial" w:hAnsi="Arial"/>
          <w:color w:val="000000"/>
          <w:sz w:val="20"/>
        </w:rPr>
      </w:pPr>
      <w:r>
        <w:rPr>
          <w:rFonts w:ascii="Arial" w:hAnsi="Arial"/>
          <w:color w:val="000000"/>
          <w:sz w:val="20"/>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pStyle w:val="TextBody"/>
        <w:bidi w:val="0"/>
        <w:spacing w:before="0" w:after="240"/>
        <w:jc w:val="both"/>
        <w:rPr>
          <w:rFonts w:ascii="Arial" w:hAnsi="Arial"/>
          <w:b/>
          <w:i/>
          <w:color w:val="000000"/>
          <w:sz w:val="20"/>
        </w:rPr>
      </w:pPr>
      <w:r>
        <w:rPr>
          <w:rFonts w:ascii="Arial" w:hAnsi="Arial"/>
          <w:b/>
          <w:i/>
          <w:color w:val="000000"/>
          <w:sz w:val="20"/>
        </w:rPr>
        <w:t>We may face difficulties from changes to current regulations, policies, and future legislation.</w:t>
      </w:r>
    </w:p>
    <w:p>
      <w:pPr>
        <w:pStyle w:val="TextBody"/>
        <w:bidi w:val="0"/>
        <w:spacing w:before="0" w:after="240"/>
        <w:jc w:val="both"/>
        <w:rPr>
          <w:rFonts w:ascii="Arial" w:hAnsi="Arial"/>
          <w:color w:val="000000"/>
          <w:sz w:val="20"/>
        </w:rPr>
      </w:pPr>
      <w:r>
        <w:rPr>
          <w:rFonts w:ascii="Arial" w:hAnsi="Arial"/>
          <w:color w:val="000000"/>
          <w:sz w:val="20"/>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or other action that may arise from future legislative, judicial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or face challenges in achieving or sustaining profitability.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and amendments to certain aspects of the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It is unclear how any such challenges and the healthcare reform measures of the current administration will impact the ACA or our business.</w:t>
      </w:r>
    </w:p>
    <w:p>
      <w:pPr>
        <w:pStyle w:val="TextBody"/>
        <w:bidi w:val="0"/>
        <w:spacing w:before="0" w:after="240"/>
        <w:jc w:val="both"/>
        <w:rPr>
          <w:rFonts w:ascii="Arial" w:hAnsi="Arial"/>
          <w:color w:val="000000"/>
          <w:sz w:val="20"/>
        </w:rPr>
      </w:pPr>
      <w:r>
        <w:rPr>
          <w:rFonts w:ascii="Arial" w:hAnsi="Arial"/>
          <w:color w:val="000000"/>
          <w:sz w:val="20"/>
        </w:rPr>
        <w:t>In addition, other legislative changes have been proposed and adopted in the United States since the ACA was enacted. Such legislative changes also included aggregate reductions to Medicare payments to providers of 2% per fiscal year, effective April 1, 2013, which, due to subsequent legislative amendments,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These laws may result in additional reductions in Medicare and other healthcare funding, which could have a material adverse effect on potential customers for our drugs, if approved, and accordingly, on our business, financial condition, results of operations, and prospects.</w:t>
      </w:r>
    </w:p>
    <w:p>
      <w:pPr>
        <w:pStyle w:val="TextBody"/>
        <w:bidi w:val="0"/>
        <w:jc w:val="both"/>
        <w:rPr>
          <w:rFonts w:ascii="Times New Roman" w:hAnsi="Times New Roman"/>
          <w:sz w:val="20"/>
        </w:rPr>
      </w:pPr>
      <w:r>
        <w:rPr>
          <w:rFonts w:ascii="Arial" w:hAnsi="Arial"/>
          <w:color w:val="000000"/>
          <w:sz w:val="20"/>
        </w:rPr>
        <w:t xml:space="preserve">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major pharmaceutical companies that require the drug manufacturer to offer, through a direct-to-consumer platform </w:t>
      </w:r>
      <w:r>
        <w:rPr>
          <w:rFonts w:ascii="Arial" w:hAnsi="Arial"/>
          <w:color w:val="000000"/>
          <w:sz w:val="20"/>
          <w:u w:val="single"/>
        </w:rPr>
        <w:t>(</w:t>
      </w:r>
      <w:r>
        <w:rPr>
          <w:rFonts w:ascii="Arial" w:hAnsi="Arial"/>
          <w:color w:val="000000"/>
          <w:sz w:val="20"/>
        </w:rPr>
        <w:t>TrumpRx</w:t>
      </w:r>
      <w:r>
        <w:rPr>
          <w:rFonts w:ascii="Arial" w:hAnsi="Arial"/>
          <w:color w:val="000000"/>
          <w:sz w:val="20"/>
          <w:u w:val="single"/>
        </w:rPr>
        <w:t>)</w:t>
      </w:r>
      <w:r>
        <w:rPr>
          <w:rFonts w:ascii="Arial" w:hAnsi="Arial"/>
          <w:color w:val="000000"/>
          <w:sz w:val="20"/>
        </w:rPr>
        <w:t>, U.S. patients and Medicaid programs prescription drug Most-Favored Nation pricing equal to or lower than those paid in other developed nations, with additional mandates for direct-to-patient discounts and repatriation of foreign revenues. Other recent actions include, for example, directives to reduce agency workforce, program cuts, directing HHS to lower prescription drug costs for Medicare through a variety of initiatives, imposing tariffs on imported pharmaceutical products, and as part of the Make America Healthy Again, Commission’s recent Strategy Report,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operational costs and compliance risks.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In June 2024, in </w:t>
      </w:r>
      <w:r>
        <w:rPr>
          <w:rFonts w:ascii="Arial" w:hAnsi="Arial"/>
          <w:i/>
          <w:color w:val="000000"/>
          <w:sz w:val="20"/>
        </w:rPr>
        <w:t>Loper Bright Enterprises v. Raimondo</w:t>
      </w:r>
      <w:r>
        <w:rPr>
          <w:rFonts w:ascii="Arial" w:hAnsi="Arial"/>
          <w:color w:val="000000"/>
          <w:sz w:val="20"/>
        </w:rPr>
        <w:t>,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0" w:after="240"/>
        <w:jc w:val="both"/>
        <w:rPr>
          <w:rFonts w:ascii="Times New Roman" w:hAnsi="Times New Roman"/>
          <w:sz w:val="20"/>
        </w:rPr>
      </w:pPr>
      <w:r>
        <w:rPr>
          <w:rFonts w:ascii="Arial" w:hAnsi="Arial"/>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proposal to import certain drugs from Canada for specific state healthcare programs. It is unclear how this and Florida’s similar program, approved by the FDA in 2024, will be implemented and whether they will overcome potential legal,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regulatory, or industry challenges in the United States and/or Canada. Any such approved importation plans, when implemented, may result in lower drug prices for products covered by those programs.</w:t>
      </w:r>
    </w:p>
    <w:p>
      <w:pPr>
        <w:pStyle w:val="TextBody"/>
        <w:bidi w:val="0"/>
        <w:jc w:val="both"/>
        <w:rPr>
          <w:rFonts w:ascii="Arial" w:hAnsi="Arial"/>
          <w:color w:val="000000"/>
          <w:sz w:val="20"/>
        </w:rPr>
      </w:pPr>
      <w:r>
        <w:rPr>
          <w:rFonts w:ascii="Arial" w:hAnsi="Arial"/>
          <w:color w:val="000000"/>
          <w:sz w:val="20"/>
        </w:rPr>
        <w:t>The likelihood, nature or extent of government regulation that may arise from future legislation or administrative action, either in the United States or abroad, is uncertain. As an example, the regulatory landscape related to clinical trials in the EU has evolved. The EU Clinical Trials Regulation (CTR), which was adopted in April 2014 and repeals the EU Clinical Trials Directive (CTD),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are subject to the provisions of the CTR. Compliance with the CTR requirements by us and our third-party service providers, such as CROs, may impact our development plans.</w:t>
      </w:r>
    </w:p>
    <w:p>
      <w:pPr>
        <w:pStyle w:val="TextBody"/>
        <w:bidi w:val="0"/>
        <w:jc w:val="both"/>
        <w:rPr>
          <w:rFonts w:ascii="Arial" w:hAnsi="Arial"/>
          <w:color w:val="000000"/>
          <w:sz w:val="20"/>
        </w:rPr>
      </w:pPr>
      <w:r>
        <w:rPr>
          <w:rFonts w:ascii="Arial" w:hAnsi="Arial"/>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The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12, 2025, the HTA Regulation entered into application and has a phased implementation. The HTA Regulation is intended to boost cooperation among EU Member States in assessing health technologies, including new medicinal products, and established a framework for joint clinical assessments, joint scientific consultations, and the early identification of emerging health technologies. The HTA Regulation permits EU Member States to use common HTA tools, methodologies, and procedures across the EU and requires them to rely on EU level joint clinical assessment reports for the clinical components of their national HTA evaluations. Individual EU Member States continue to be responsible for assessing non-clinical (e.g., economic, social, ethical) aspects of health technologies, and making decisions on pricing and reimbursement.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light of the fact that the United Kingdom has left the EU, the HTA Regulation will not apply in the United Kingdom. However, the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 There can be no assurance that we will be able to obtain or sustain favorable pricing or reimbursement in the UK under these evolving frameworks, and any such inability could materially and adversely affect our anticipated revenues and growth prospects in that market.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Following a public consultation that began in 2022, the United Kingdom government has enacted new legislation to overhaul the clinical trials regulatory framework. In April 2025, the UK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CTR. The amendment became applicable on April 28, 2026 following a one-year transition period. While these changes introduce efficiencies and align with some principles of the CTR, divergence between the United Kingdom and EU regulatory systems remains. Any significant divergence could affect the cost and complexity of conducting clinical trials in the United Kingdom and may impact the acceptability of United Kingdom-based trial data for seeking marketing authorizations in the EU, and vice versa.</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Legislators, policymakers and healthcare insurance funds in the EU and the United Kingdom may continue to propose and implement cost-containing measures to keep healthcare costs down, particularly due to the financial strain that the COVID-19 pandemic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addition,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The new framework is expected to enter into force in 2026 and to be subject to transitional arrangements, with full applications not anticipated before 2028.</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left"/>
        <w:rPr>
          <w:rFonts w:ascii="Arial" w:hAnsi="Arial"/>
          <w:color w:val="000000"/>
          <w:sz w:val="20"/>
        </w:rPr>
      </w:pPr>
      <w:r>
        <w:rPr>
          <w:rFonts w:ascii="Arial" w:hAnsi="Arial"/>
          <w:color w:val="000000"/>
          <w:sz w:val="20"/>
        </w:rPr>
        <w:t>If we are slow or unable to adapt to changes in existing requirements or the adoption of new requirements or policies, our development, approval or commercialization plans may be adversely affected.</w:t>
      </w:r>
    </w:p>
    <w:p>
      <w:pPr>
        <w:pStyle w:val="TextBody"/>
        <w:bidi w:val="0"/>
        <w:spacing w:before="0" w:after="240"/>
        <w:jc w:val="both"/>
        <w:rPr>
          <w:rFonts w:ascii="Arial" w:hAnsi="Arial"/>
          <w:color w:val="000000"/>
          <w:sz w:val="20"/>
        </w:rPr>
      </w:pPr>
      <w:r>
        <w:rPr>
          <w:rFonts w:ascii="Arial" w:hAnsi="Arial"/>
          <w:color w:val="000000"/>
          <w:sz w:val="20"/>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if any, may be on the marketing approvals of palazestrant, OP-3136, or any future product candidates we may develop.</w:t>
      </w:r>
    </w:p>
    <w:p>
      <w:pPr>
        <w:pStyle w:val="TextBody"/>
        <w:bidi w:val="0"/>
        <w:spacing w:before="0" w:after="240"/>
        <w:jc w:val="both"/>
        <w:rPr>
          <w:rFonts w:ascii="Arial" w:hAnsi="Arial"/>
          <w:b/>
          <w:i/>
          <w:color w:val="000000"/>
          <w:sz w:val="20"/>
        </w:rPr>
      </w:pPr>
      <w:r>
        <w:rPr>
          <w:rFonts w:ascii="Arial" w:hAnsi="Arial"/>
          <w:b/>
          <w:i/>
          <w:color w:val="000000"/>
          <w:sz w:val="20"/>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240"/>
        <w:jc w:val="both"/>
        <w:rPr>
          <w:rFonts w:ascii="Times New Roman" w:hAnsi="Times New Roman"/>
          <w:sz w:val="20"/>
        </w:rPr>
      </w:pPr>
      <w:r>
        <w:rPr>
          <w:rFonts w:ascii="Arial" w:hAnsi="Arial"/>
          <w:color w:val="000000"/>
          <w:sz w:val="20"/>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for which we obtain marketing approval. Restrictions under applicable federal and state healthcare laws and regulations include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HIPAA, as amended by the Health Information Technology for Economic and Clinical Health Act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hAnsi="Arial"/>
          <w:color w:val="000000"/>
          <w:sz w:val="20"/>
        </w:rPr>
        <w:t>doctors, dentists, optometrists, podiatrists and chiropractors), other healthcare professionals (such as physician assistants and nurse practitioners),</w:t>
      </w:r>
      <w:r>
        <w:rPr>
          <w:color w:val="231F20"/>
        </w:rPr>
        <w:t xml:space="preserve"> </w:t>
      </w:r>
      <w:r>
        <w:rPr>
          <w:rFonts w:ascii="Arial" w:hAnsi="Arial"/>
          <w:color w:val="231F20"/>
          <w:sz w:val="20"/>
        </w:rPr>
        <w:t>and teaching hospitals, as well as information regarding ownership and investment interests held by such physicians and their immediate family members. The information reported is publicly available on a searchable website, with disclosure required annually;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analogous state and foreign laws and regulations, such as state and foreign anti-kickback and false claims laws, may apply to sales or marketing arrangements and claims involving healthcare items or services reimbursed by non-governmental third-party payors, including private insurers.</w:t>
      </w:r>
    </w:p>
    <w:p>
      <w:pPr>
        <w:pStyle w:val="TextBody"/>
        <w:bidi w:val="0"/>
        <w:jc w:val="both"/>
        <w:rPr>
          <w:rFonts w:ascii="Arial" w:hAnsi="Arial"/>
          <w:color w:val="000000"/>
          <w:sz w:val="20"/>
        </w:rPr>
      </w:pPr>
      <w:r>
        <w:rPr>
          <w:rFonts w:ascii="Arial" w:hAnsi="Arial"/>
          <w:color w:val="000000"/>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Some state and local laws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and/or the registration of pharmaceutical sales representatives in the jurisdiction. 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government-funded healthcare programs.</w:t>
      </w:r>
    </w:p>
    <w:p>
      <w:pPr>
        <w:pStyle w:val="TextBody"/>
        <w:bidi w:val="0"/>
        <w:spacing w:before="0" w:after="240"/>
        <w:jc w:val="both"/>
        <w:rPr>
          <w:rFonts w:ascii="Arial" w:hAnsi="Arial"/>
          <w:b/>
          <w:i/>
          <w:color w:val="000000"/>
          <w:sz w:val="20"/>
        </w:rPr>
      </w:pPr>
      <w:r>
        <w:rPr>
          <w:rFonts w:ascii="Arial" w:hAnsi="Arial"/>
          <w:b/>
          <w:i/>
          <w:color w:val="000000"/>
          <w:sz w:val="20"/>
        </w:rPr>
        <w:t>We and the third parties with whom we work are subject to stringent and evolving U.S. and foreign laws, regulations, rules, contractual obligations, policies and other obligations related to data privacy and security. Our (or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jc w:val="both"/>
        <w:rPr>
          <w:rFonts w:ascii="Times New Roman" w:hAnsi="Times New Roman"/>
          <w:sz w:val="20"/>
        </w:rPr>
      </w:pPr>
      <w:r>
        <w:rPr>
          <w:rFonts w:ascii="Arial" w:hAnsi="Arial"/>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Outside the United States, an increasing number of laws, regulations, and industry standards govern data privacy and security. For example, the GDPR imposes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In the ordinary course of business, we may transfer personal data from Europe and other jurisdictions to the United States or other countries. In the United States,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are considered ‘inadequate’. Other jurisdictions may adopt or have already adopted similarly stringent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and the UK Extension thereto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 Also in Europe,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Additionally, the California Privacy Rights Act (CPRA) significantly modified the CCPA, including by expanding consumers’ rights with respect to certain sensitive personal information. The CPRA also created a new state agency that will be vested with authority to implement and enforce the CCPA and the CPRA. In addition, numerous states have passed comprehensive privacy laws that have gone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bidi w:val="0"/>
        <w:jc w:val="both"/>
        <w:rPr>
          <w:rFonts w:ascii="Times New Roman" w:hAnsi="Times New Roman"/>
          <w:sz w:val="20"/>
        </w:rPr>
      </w:pPr>
      <w:r>
        <w:rPr>
          <w:rFonts w:ascii="Arial" w:hAnsi="Arial"/>
          <w:color w:val="000000"/>
          <w:sz w:val="20"/>
        </w:rPr>
        <w:t>We are also bound, and may in the future become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may at times fail, or be perceived to have failed, to comply with our data privacy and security obligations. Moreover, despite our efforts, our personnel or third parties on whom we rely may not fully comply with such obligations, which could negatively impact our business, financial condition, results of operations, and prospects.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Any actual or perceived failure by us or the third parties with whom we work to comply with these laws, regulations, or other obligations would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will cause us to incur substantial costs or require us to change our business practices and compliance procedures in a manner adverse to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Any inability, or perceived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an inability to process personal data or to operate in certain jurisdictions; limited ability to develop or commercialize our products; expenditure of time and resources to defend any claim or inquiry; adverse publicity; or substantial changes to our business model or operations. Although we seek to mitigate these risks, there can be no assurance that our privacy and security-related safeguards will protect us from all risks associated with the third-party processing, storage and transmission of such information.</w:t>
      </w:r>
    </w:p>
    <w:p>
      <w:pPr>
        <w:pStyle w:val="TextBody"/>
        <w:bidi w:val="0"/>
        <w:jc w:val="both"/>
        <w:rPr/>
      </w:pPr>
      <w:r>
        <w:rPr/>
        <w:t> </w:t>
      </w:r>
    </w:p>
    <w:p>
      <w:pPr>
        <w:pStyle w:val="TextBody"/>
        <w:bidi w:val="0"/>
        <w:spacing w:before="0" w:after="160"/>
        <w:jc w:val="both"/>
        <w:rPr>
          <w:rFonts w:ascii="Arial" w:hAnsi="Arial"/>
          <w:b/>
          <w:i/>
          <w:color w:val="000000"/>
          <w:sz w:val="20"/>
        </w:rPr>
      </w:pPr>
      <w:r>
        <w:rPr>
          <w:rFonts w:ascii="Arial" w:hAnsi="Arial"/>
          <w:b/>
          <w:i/>
          <w:color w:val="000000"/>
          <w:sz w:val="20"/>
        </w:rPr>
        <w:t>We use artificial intelligence in certain aspects of our business, and challenges with properly managing its use could adversely affect our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Our employees and personnel use artificial intelligence (AI), including generative AI, agentic AI and machine learning technologies to perform their work, and the disclosure and use of personal information in such technologies is subject to various privacy laws and other obligations. We incorporate AI technologies into certain aspects of our business, and applications of AI may become important in our operations over time. There are risks involved in developing and deploying AI, and there can be no assurance that the use of AI will enhance the development of our product candidates or be beneficial to our business, including our efficiency or profitability. Our competitors or other third parties may incorporate AI into their businesses more quickly or more successfully than us, which could impair our ability to compete effectively and adversely affect our results of operations. If we are unable to effectively use AI, it could make our business less efficient and result in competitive disadvantages.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Furthermore, governments have proposed, enacted, or are considering additional laws regulating AI, such as the EU AI Act and, in the U.S., the Colorado Artificial Intelligence Act, California Bot Disclosure Law, the Utah Artificial Intelligence Policy Act, and the CCPA regulations on automated decision-making technology. It remains uncertain how these and other laws will apply to AI-generated content and related activities. Our use of AI technologies could result in additional compliance costs, regulatory investigations and actions, and lawsuits, or other legal liability, ethical concerns, negative consumer perceptions as to AI, or other complications that could adversely affect our business, reputation, or financial results.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0" w:after="240"/>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0" w:after="240"/>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jc w:val="both"/>
        <w:rPr>
          <w:rFonts w:ascii="Arial" w:hAnsi="Arial"/>
          <w:b/>
          <w:i/>
          <w:color w:val="000000"/>
          <w:sz w:val="20"/>
        </w:rPr>
      </w:pPr>
      <w:r>
        <w:rPr>
          <w:rFonts w:ascii="Arial" w:hAnsi="Arial"/>
          <w:b/>
          <w:i/>
          <w:color w:val="000000"/>
          <w:sz w:val="20"/>
        </w:rPr>
        <w:t>Our research and development activities could be affected or delayed as a result of possible restrictions on animal testing.</w:t>
      </w:r>
    </w:p>
    <w:p>
      <w:pPr>
        <w:pStyle w:val="TextBody"/>
        <w:bidi w:val="0"/>
        <w:spacing w:before="0" w:after="240"/>
        <w:jc w:val="both"/>
        <w:rPr>
          <w:rFonts w:ascii="Arial" w:hAnsi="Arial"/>
          <w:color w:val="000000"/>
          <w:sz w:val="20"/>
        </w:rPr>
      </w:pPr>
      <w:r>
        <w:rPr>
          <w:rFonts w:ascii="Arial" w:hAnsi="Arial"/>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240"/>
        <w:jc w:val="both"/>
        <w:rPr>
          <w:rFonts w:ascii="Arial" w:hAnsi="Arial"/>
          <w:b/>
          <w:i/>
          <w:color w:val="000000"/>
          <w:sz w:val="20"/>
        </w:rPr>
      </w:pPr>
      <w:r>
        <w:rPr>
          <w:rFonts w:ascii="Arial" w:hAnsi="Arial"/>
          <w:b/>
          <w:i/>
          <w:color w:val="000000"/>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240"/>
        <w:jc w:val="both"/>
        <w:rPr>
          <w:rFonts w:ascii="Arial" w:hAnsi="Arial"/>
          <w:color w:val="000000"/>
          <w:sz w:val="20"/>
        </w:rPr>
      </w:pPr>
      <w:r>
        <w:rPr>
          <w:rFonts w:ascii="Arial" w:hAnsi="Arial"/>
          <w:color w:val="000000"/>
          <w:sz w:val="20"/>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w:t>
      </w:r>
    </w:p>
    <w:p>
      <w:pPr>
        <w:pStyle w:val="TextBody"/>
        <w:bidi w:val="0"/>
        <w:spacing w:before="0" w:after="240"/>
        <w:jc w:val="both"/>
        <w:rPr>
          <w:rFonts w:ascii="Times New Roman" w:hAnsi="Times New Roman"/>
          <w:sz w:val="20"/>
        </w:rPr>
      </w:pPr>
      <w:r>
        <w:rPr>
          <w:rFonts w:ascii="Arial" w:hAnsi="Arial"/>
          <w:color w:val="000000"/>
          <w:sz w:val="20"/>
        </w:rPr>
        <w:t>In addition, our products and activities may be subject to U.S. and foreign export controls, trade sanctions and import laws and regulations. Governmental regulation of the import or export of our products, or our failure to obtain any required import or export authorization for our products, when applicable, could harm any potential international sales and adversely affect our future revenue, if any. Compliance with applicable regulatory requirements regarding the export of our products may create delays in the introduction of any of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approaches in the enforcement or scope of existing regulations, or in the countries, persons, or product targeted by such regulations, could result in the future in decreased use of our products by, or in our decreased ability to export our products to potential customers with international operations. Any decreased use of our products or limitation on our ability to export or sell access to our products would likely significantly harm our business, financial condition, results of operations, and prospects.</w:t>
      </w:r>
    </w:p>
    <w:p>
      <w:pPr>
        <w:pStyle w:val="TextBody"/>
        <w:bidi w:val="0"/>
        <w:jc w:val="left"/>
        <w:rPr/>
      </w:pPr>
      <w:r>
        <w:rPr/>
        <w:t> </w:t>
      </w:r>
    </w:p>
    <w:p>
      <w:pPr>
        <w:pStyle w:val="TextBody"/>
        <w:bidi w:val="0"/>
        <w:spacing w:before="0" w:after="240"/>
        <w:jc w:val="left"/>
        <w:rPr>
          <w:rFonts w:ascii="Arial" w:hAnsi="Arial"/>
          <w:b/>
          <w:color w:val="000000"/>
          <w:sz w:val="20"/>
        </w:rPr>
      </w:pPr>
      <w:r>
        <w:rPr>
          <w:rFonts w:ascii="Arial" w:hAnsi="Arial"/>
          <w:b/>
          <w:color w:val="000000"/>
          <w:sz w:val="20"/>
        </w:rPr>
        <w:t>Risks related to employee matters, managing our growth and other risks related to our business</w:t>
      </w:r>
    </w:p>
    <w:p>
      <w:pPr>
        <w:pStyle w:val="TextBody"/>
        <w:bidi w:val="0"/>
        <w:spacing w:before="0" w:after="240"/>
        <w:jc w:val="both"/>
        <w:rPr>
          <w:rFonts w:ascii="Arial" w:hAnsi="Arial"/>
          <w:b/>
          <w:i/>
          <w:color w:val="000000"/>
          <w:sz w:val="20"/>
        </w:rPr>
      </w:pPr>
      <w:r>
        <w:rPr>
          <w:rFonts w:ascii="Arial" w:hAnsi="Arial"/>
          <w:b/>
          <w:i/>
          <w:color w:val="000000"/>
          <w:sz w:val="20"/>
        </w:rPr>
        <w:t>Unfavorable U.S. and global macroeconomic and geopolitical conditions could adversely affect our business, financial condition, results of operations, and prospects.</w:t>
      </w:r>
    </w:p>
    <w:p>
      <w:pPr>
        <w:pStyle w:val="TextBody"/>
        <w:bidi w:val="0"/>
        <w:spacing w:before="0" w:after="240"/>
        <w:jc w:val="both"/>
        <w:rPr>
          <w:rFonts w:ascii="Times New Roman" w:hAnsi="Times New Roman"/>
          <w:sz w:val="20"/>
        </w:rPr>
      </w:pPr>
      <w:r>
        <w:rPr>
          <w:rFonts w:ascii="Arial" w:hAnsi="Arial"/>
          <w:color w:val="000000"/>
          <w:sz w:val="20"/>
        </w:rPr>
        <w:t>Our business could be adversely affected by general conditions in the U.S. and global economies, the U.S. and global financial markets and adverse geopolitical and macroeconomic developments, including economic uncertainty, market volatility, labor shortages, evolving trade and tariff policies, including related legal challenges, trade tensions, and retaliatory measures by other countries, supply chain disruptions, military conflicts, as well as any related political or economic responses and counter-responses by various global actors, inflationary pressures, monetary supply shifts, increased recession risk, and related financial instability. U.S. and global market and economic conditions have been, and continue to be, disrupted and volatile due to many factors, including component shortages and related supply chain challenges, geopolitical uncertainty and developments, including the events noted above. General business and economic conditions that could affect our business, financial condition, results of operations, and prospects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 severe or prolonged global economic downturn could result in a variety of risks to our business. For example, inflation rates, particularly in the United States, have experienced periods of significant increases in the past few years, and increased inflation may result in increases in our operating costs (including our labor costs), reduced liquidity and limitations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0" w:after="240"/>
        <w:jc w:val="both"/>
        <w:rPr>
          <w:rFonts w:ascii="Arial" w:hAnsi="Arial"/>
          <w:b/>
          <w:i/>
          <w:color w:val="000000"/>
          <w:sz w:val="20"/>
        </w:rPr>
      </w:pPr>
      <w:r>
        <w:rPr>
          <w:rFonts w:ascii="Arial" w:hAnsi="Arial"/>
          <w:b/>
          <w:i/>
          <w:color w:val="000000"/>
          <w:sz w:val="20"/>
        </w:rPr>
        <w:t>International trade policies, including tariffs, sanctions and trade barriers may adversely affect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We operate in a global economy, which includes utilizing third-party suppliers in countries outside of the United States. The current international trade and regulatory environment is subject to significant ongoing uncertainty.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U.S. government has announced imposition of substantial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including legal challenges related to such tariffs, have created a dynamic and unpredictable trade landscape, which may adversely impact our business, results of operations, financial condition, and prospects. The Bureau of Industry and Security, U.S. Department of Commerce, initiated an investigation to determine whether pharmaceutical ingredients, including finished drug product, manufactured outside the United States pose a national security risk and should be subject to additional tariffs. Based on this investigation, on April 2, 2026, the U.S. President issued a proclamation imposing up to a 100% tariff on certain patented pharmaceuticals and associated pharmaceutical ingredients. These tariffs will become effective September 29, 2026, unless they are expressly reduced, modified, or terminated.</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Notwithstanding legal challenges related to tariffs, we expect that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which among other factors, could negatively impact our ability to secure additional financing on favorable terms or at all. In addition, as we advance toward commercialization in the future, if approved, tariffs and trade restrictions could hinder our ability to establish cost-effective production capabilities and impact negatively our growth prospects.</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The complexity of announced or future tariffs, including as a result of uncertainty surrounding related legal challenges, may also increase the risk that we or our collaborators, partners, vendors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on or increase the complexity to our business.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as well as of related legal challenges,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"Risk Factors" section.</w:t>
      </w:r>
    </w:p>
    <w:p>
      <w:pPr>
        <w:pStyle w:val="TextBody"/>
        <w:bidi w:val="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success is highly dependent on our ability to attract and retain highly skilled executive officers and employees.</w:t>
      </w:r>
    </w:p>
    <w:p>
      <w:pPr>
        <w:pStyle w:val="TextBody"/>
        <w:bidi w:val="0"/>
        <w:spacing w:before="0" w:after="240"/>
        <w:jc w:val="both"/>
        <w:rPr>
          <w:rFonts w:ascii="Arial" w:hAnsi="Arial"/>
          <w:color w:val="000000"/>
          <w:sz w:val="20"/>
        </w:rPr>
      </w:pPr>
      <w:r>
        <w:rPr>
          <w:rFonts w:ascii="Arial" w:hAnsi="Arial"/>
          <w:color w:val="000000"/>
          <w:sz w:val="20"/>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pStyle w:val="TextBody"/>
        <w:bidi w:val="0"/>
        <w:spacing w:before="0" w:after="240"/>
        <w:jc w:val="both"/>
        <w:rPr>
          <w:rFonts w:ascii="Times New Roman" w:hAnsi="Times New Roman"/>
          <w:sz w:val="20"/>
        </w:rPr>
      </w:pPr>
      <w:r>
        <w:rPr>
          <w:rFonts w:ascii="Arial" w:hAnsi="Arial"/>
          <w:color w:val="000000"/>
          <w:sz w:val="20"/>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240"/>
        <w:jc w:val="both"/>
        <w:rPr>
          <w:rFonts w:ascii="Arial" w:hAnsi="Arial"/>
          <w:color w:val="000000"/>
          <w:sz w:val="20"/>
        </w:rPr>
      </w:pPr>
      <w:r>
        <w:rPr>
          <w:rFonts w:ascii="Arial" w:hAnsi="Arial"/>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future product candidates we may develop will be limited and the potential for successfully growing our business will be harmed.</w:t>
      </w:r>
    </w:p>
    <w:p>
      <w:pPr>
        <w:pStyle w:val="TextBody"/>
        <w:bidi w:val="0"/>
        <w:spacing w:before="0" w:after="240"/>
        <w:jc w:val="both"/>
        <w:rPr>
          <w:rFonts w:ascii="Arial" w:hAnsi="Arial"/>
          <w:b/>
          <w:i/>
          <w:color w:val="000000"/>
          <w:sz w:val="20"/>
        </w:rPr>
      </w:pPr>
      <w:r>
        <w:rPr>
          <w:rFonts w:ascii="Arial" w:hAnsi="Arial"/>
          <w:b/>
          <w:i/>
          <w:color w:val="000000"/>
          <w:sz w:val="20"/>
        </w:rPr>
        <w:t>We have never commercialized a product candidate before. If we are unable to establish sales, marketing, or distribution capabilities or enter into agreements with third parties to sell, market or distribute palazestrant, OP-3136, or any future product candidates we may develop, we may not be able to successfully sell, market or distribute palazestrant, OP-3136, or any future product candidate we may develop that obtain regulatory approval, if any.</w:t>
      </w:r>
    </w:p>
    <w:p>
      <w:pPr>
        <w:pStyle w:val="TextBody"/>
        <w:bidi w:val="0"/>
        <w:spacing w:before="0" w:after="240"/>
        <w:jc w:val="both"/>
        <w:rPr>
          <w:rFonts w:ascii="Arial" w:hAnsi="Arial"/>
          <w:color w:val="000000"/>
          <w:sz w:val="20"/>
        </w:rPr>
      </w:pPr>
      <w:r>
        <w:rPr>
          <w:rFonts w:ascii="Arial" w:hAnsi="Arial"/>
          <w:color w:val="000000"/>
          <w:sz w:val="20"/>
        </w:rPr>
        <w:t>We have never commercialized a product candidate and we currently do not have, and have never had, a sales force, or distribution or marketing capabilities.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candidates we may develop. We may not be successful in accomplishing these required tasks.</w:t>
      </w:r>
    </w:p>
    <w:p>
      <w:pPr>
        <w:pStyle w:val="TextBody"/>
        <w:bidi w:val="0"/>
        <w:spacing w:before="0" w:after="240"/>
        <w:jc w:val="both"/>
        <w:rPr>
          <w:rFonts w:ascii="Arial" w:hAnsi="Arial"/>
          <w:color w:val="000000"/>
          <w:sz w:val="20"/>
        </w:rPr>
      </w:pPr>
      <w:r>
        <w:rPr>
          <w:rFonts w:ascii="Arial" w:hAnsi="Arial"/>
          <w:color w:val="000000"/>
          <w:sz w:val="20"/>
        </w:rPr>
        <w:t>Establishing an internal sales or marketing team with technical expertise and supporting distribution capabilities to commercialize palazestrant, OP-3136, or any future product candidates we may develop will be expensive and time-consuming, and will require significant attention of our executive officers to manage. Factors that may affect our ability to commercialize, if approved, palazestrant, OP-3136, or any future product candidates we may develop on our own include recruiting and retaining adequate numbers of effective sales and marketing personnel, obtaining access to and educating physicians on the benefits of prescribing or ordering palazestrant, OP-3136, or any future product candidates we may develop and other unforeseen costs associated with creating an independent sales and marketing organization. Any failure or delay in the development of our internal sales, marketing and distribution capabilities could adversely impact the commercialization of palazestrant, OP-3136, or any future product candidates we may develop that we obtain approval to market, if any,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future product candidates we may develop which may receive regulatory approval or any such commercialization may experience delays or limitations. If we are unable to successfully commercialize our approved product candidates, if any, either on our own or through collaborations with one or more third parties, we may not generate any revenue from such product candidate or be able to reach or sustain profitability, and we will incur significant additional losses.</w:t>
      </w:r>
    </w:p>
    <w:p>
      <w:pPr>
        <w:pStyle w:val="TextBody"/>
        <w:bidi w:val="0"/>
        <w:spacing w:before="0" w:after="240"/>
        <w:jc w:val="both"/>
        <w:rPr>
          <w:rFonts w:ascii="Arial" w:hAnsi="Arial"/>
          <w:b/>
          <w:i/>
          <w:color w:val="000000"/>
          <w:sz w:val="20"/>
        </w:rPr>
      </w:pPr>
      <w:r>
        <w:rPr>
          <w:rFonts w:ascii="Arial" w:hAnsi="Arial"/>
          <w:b/>
          <w:i/>
          <w:color w:val="000000"/>
          <w:sz w:val="20"/>
        </w:rPr>
        <w:t>In order to successfully implement our plans and strategies, we will need to grow the size of our organization, and we may experience difficulties in managing this growth.</w:t>
      </w:r>
    </w:p>
    <w:p>
      <w:pPr>
        <w:pStyle w:val="TextBody"/>
        <w:bidi w:val="0"/>
        <w:spacing w:before="0" w:after="240"/>
        <w:jc w:val="both"/>
        <w:rPr>
          <w:rFonts w:ascii="Arial" w:hAnsi="Arial"/>
          <w:color w:val="000000"/>
          <w:sz w:val="20"/>
        </w:rPr>
      </w:pPr>
      <w:r>
        <w:rPr>
          <w:rFonts w:ascii="Arial" w:hAnsi="Arial"/>
          <w:color w:val="000000"/>
          <w:sz w:val="20"/>
        </w:rPr>
        <w:t>As of June 30, 2026, we had 150 full-time employees, consisting of clinical, research, operations, regulatory, and administrative personnel. 39 of our employees hold Ph.D. or M.D. degrees.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identifying, recruiting, integrating, maintaining and motivating additional employees;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managing our internal development efforts effectively, including the clinical, FDA, EMA, and other comparable foreign regulatory authorities’ review process for palazestrant, OP-3136, and any future product candidates we may develop, while complying with any contractual obligations to contractors and other third parties we may have;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improving our operational, financial and management controls, reporting systems and procedures.</w:t>
      </w:r>
    </w:p>
    <w:p>
      <w:pPr>
        <w:pStyle w:val="TextBody"/>
        <w:bidi w:val="0"/>
        <w:spacing w:before="0" w:after="240"/>
        <w:jc w:val="both"/>
        <w:rPr>
          <w:rFonts w:ascii="Arial" w:hAnsi="Arial"/>
          <w:color w:val="000000"/>
          <w:sz w:val="20"/>
        </w:rPr>
      </w:pPr>
      <w:r>
        <w:rPr>
          <w:rFonts w:ascii="Arial" w:hAnsi="Arial"/>
          <w:color w:val="000000"/>
          <w:sz w:val="20"/>
        </w:rPr>
        <w:t>In addition, we are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future product candidates we may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40"/>
        <w:jc w:val="both"/>
        <w:rPr>
          <w:rFonts w:ascii="Arial" w:hAnsi="Arial"/>
          <w:color w:val="000000"/>
          <w:sz w:val="20"/>
        </w:rPr>
      </w:pPr>
      <w:r>
        <w:rPr>
          <w:rFonts w:ascii="Arial" w:hAnsi="Arial"/>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0" w:after="240"/>
        <w:jc w:val="both"/>
        <w:rPr>
          <w:rFonts w:ascii="Arial" w:hAnsi="Arial"/>
          <w:color w:val="000000"/>
          <w:sz w:val="20"/>
        </w:rPr>
      </w:pPr>
      <w:r>
        <w:rPr>
          <w:rFonts w:ascii="Arial" w:hAnsi="Arial"/>
          <w:color w:val="000000"/>
          <w:sz w:val="20"/>
        </w:rPr>
        <w:t>If we are not able to effectively expand our organization by hiring new employees and/or engaging additional third-party service providers, we may not be able to successfully implement the tasks necessary to further develop and commercialize palazestrant, OP-3136, and any future product candidates we may develop and, accordingly, may not achieve our research, development and commercialization goals.</w:t>
      </w:r>
    </w:p>
    <w:p>
      <w:pPr>
        <w:pStyle w:val="TextBody"/>
        <w:bidi w:val="0"/>
        <w:jc w:val="both"/>
        <w:rPr>
          <w:rFonts w:ascii="Arial" w:hAnsi="Arial"/>
          <w:b/>
          <w:i/>
          <w:color w:val="000000"/>
          <w:sz w:val="20"/>
        </w:rPr>
      </w:pPr>
      <w:r>
        <w:rPr>
          <w:rFonts w:ascii="Arial" w:hAnsi="Arial"/>
          <w:b/>
          <w:i/>
          <w:color w:val="000000"/>
          <w:sz w:val="20"/>
        </w:rPr>
        <w:t>If our information technology systems, our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pStyle w:val="TextBody"/>
        <w:bidi w:val="0"/>
        <w:jc w:val="both"/>
        <w:rPr>
          <w:rFonts w:ascii="Arial" w:hAnsi="Arial"/>
          <w:color w:val="000000"/>
          <w:sz w:val="20"/>
        </w:rPr>
      </w:pPr>
      <w:r>
        <w:rPr>
          <w:rFonts w:ascii="Arial" w:hAnsi="Arial"/>
          <w:color w:val="000000"/>
          <w:sz w:val="20"/>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would be vulnerable to a heightened risk of these attacks, including retaliatory cyber-attacks, that could materially disrupt our systems and operations.</w:t>
      </w:r>
    </w:p>
    <w:p>
      <w:pPr>
        <w:pStyle w:val="TextBody"/>
        <w:bidi w:val="0"/>
        <w:jc w:val="both"/>
        <w:rPr>
          <w:rFonts w:ascii="Times New Roman" w:hAnsi="Times New Roman"/>
          <w:sz w:val="20"/>
        </w:rPr>
      </w:pPr>
      <w:r>
        <w:rPr>
          <w:rFonts w:ascii="Arial" w:hAnsi="Arial"/>
          <w:color w:val="000000"/>
          <w:sz w:val="20"/>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advanced persistent threat intrusions), denial-of-service attacks, credential stuffing attacks, credential harvesting, intentional misconduct or unconventional error by those with authorized access,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0" w:after="240"/>
        <w:jc w:val="both"/>
        <w:rPr>
          <w:rFonts w:ascii="Times New Roman" w:hAnsi="Times New Roman"/>
          <w:sz w:val="20"/>
        </w:rPr>
      </w:pPr>
      <w:r>
        <w:rPr>
          <w:rFonts w:ascii="Arial" w:hAnsi="Arial"/>
          <w:color w:val="000000"/>
          <w:sz w:val="20"/>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are not able to anticipate all types of security incidents, and we cannot implement preventive measures effective against all such security incidents. A security incident or other interruption could disrupt our ability (and that of third parties upon whom we rely) to run our business. We could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 due to encryption and device security practices.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It also may be difficult and/or costly to detect, investigate, mitigate, contain, and remediate any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In addition,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 materially comply with these contractual requirements, we may be subject to investigations, audits or other adverse consequences.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Applicable data privacy and security obligations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spacing w:before="0" w:after="240"/>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0" w:after="240"/>
        <w:jc w:val="both"/>
        <w:rPr>
          <w:rFonts w:ascii="Arial" w:hAnsi="Arial"/>
          <w:b/>
          <w:i/>
          <w:color w:val="000000"/>
          <w:sz w:val="20"/>
        </w:rPr>
      </w:pPr>
      <w:r>
        <w:rPr>
          <w:rFonts w:ascii="Arial" w:hAnsi="Arial"/>
          <w:b/>
          <w:i/>
          <w:color w:val="000000"/>
          <w:sz w:val="20"/>
        </w:rPr>
        <w:t>EU drug marketing and reimbursement regulations may materially affect our ability to market and receive coverage for our products in the EU Member States.</w:t>
      </w:r>
    </w:p>
    <w:p>
      <w:pPr>
        <w:pStyle w:val="TextBody"/>
        <w:bidi w:val="0"/>
        <w:spacing w:before="0" w:after="240"/>
        <w:jc w:val="both"/>
        <w:rPr>
          <w:rFonts w:ascii="Arial" w:hAnsi="Arial"/>
          <w:color w:val="000000"/>
          <w:sz w:val="20"/>
        </w:rPr>
      </w:pPr>
      <w:r>
        <w:rPr>
          <w:rFonts w:ascii="Arial" w:hAnsi="Arial"/>
          <w:color w:val="000000"/>
          <w:sz w:val="20"/>
        </w:rPr>
        <w:t>We intend to seek approval to market palazestrant or OP-3136 in the United States and in selected foreign jurisdictions. If we obtain approval in one or more foreign jurisdictions for palazestrant or OP-3136, we will be subject to applicable rules and regulations in those jurisdictions. In some foreign countries, particularly those in the EU, the pricing of drugs is subject to governmental control and other market regulations, which could place pressure on the pricing and usage of palazestrant or OP-3136. In these countries, pricing negotiations with governmental authorities can take a considerable amount of time following marketing approval of a product candidate. In addition, market acceptance and sales of palazestrant or OP-3136 will depend significantly on the availability of adequate coverage and reimbursement from third-party payors and may be affected by existing and future healthcare reform measures.</w:t>
      </w:r>
    </w:p>
    <w:p>
      <w:pPr>
        <w:pStyle w:val="TextBody"/>
        <w:bidi w:val="0"/>
        <w:jc w:val="both"/>
        <w:rPr>
          <w:rFonts w:ascii="Times New Roman" w:hAnsi="Times New Roman"/>
          <w:sz w:val="20"/>
        </w:rPr>
      </w:pPr>
      <w:r>
        <w:rPr>
          <w:rFonts w:ascii="Arial" w:hAnsi="Arial"/>
          <w:color w:val="000000"/>
          <w:sz w:val="20"/>
        </w:rPr>
        <w:t>Moreover, in most foreign countries, including a number of EU Member States, the proposed pricing for a drug must be approved before it may be lawfully marketed. The requirements governing drug pricing and reimbursement vary widely from country to country. For example, the EU provides options for EU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reimbursement decisions are influenced by the HTA of the specific medicinal product currently varies between EU Member States.</w:t>
      </w:r>
    </w:p>
    <w:p>
      <w:pPr>
        <w:pStyle w:val="TextBody"/>
        <w:bidi w:val="0"/>
        <w:jc w:val="both"/>
        <w:rPr>
          <w:rFonts w:ascii="Arial" w:hAnsi="Arial"/>
          <w:color w:val="000000"/>
          <w:sz w:val="20"/>
        </w:rPr>
      </w:pPr>
      <w:r>
        <w:rPr>
          <w:rFonts w:ascii="Arial" w:hAnsi="Arial"/>
          <w:color w:val="000000"/>
          <w:sz w:val="20"/>
        </w:rPr>
        <w:t>Legislators, policymakers and healthcare insurance funds in the EU may continue to propose and implement cost-containing measures to keep healthcare costs down, including in response to ongoing budgetary pressures on national healthcare systems, some of which were exacerbated by the COVID-19 pandemic.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Business disruptions could seriously harm our future revenue and financial condition and increase our costs and expenses.</w:t>
      </w:r>
    </w:p>
    <w:p>
      <w:pPr>
        <w:pStyle w:val="TextBody"/>
        <w:bidi w:val="0"/>
        <w:spacing w:before="0" w:after="240"/>
        <w:jc w:val="both"/>
        <w:rPr>
          <w:rFonts w:ascii="Arial" w:hAnsi="Arial"/>
          <w:color w:val="000000"/>
          <w:sz w:val="20"/>
        </w:rPr>
      </w:pPr>
      <w:r>
        <w:rPr>
          <w:rFonts w:ascii="Arial" w:hAnsi="Arial"/>
          <w:color w:val="000000"/>
          <w:sz w:val="20"/>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self-insured. The occurrence of any of these business disruptions could seriously harm our operations, increase our costs and expenses and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bidi w:val="0"/>
        <w:spacing w:before="0" w:after="240"/>
        <w:jc w:val="both"/>
        <w:rPr>
          <w:rFonts w:ascii="Arial" w:hAnsi="Arial"/>
          <w:b/>
          <w:i/>
          <w:color w:val="000000"/>
          <w:sz w:val="20"/>
        </w:rPr>
      </w:pPr>
      <w:r>
        <w:rPr>
          <w:rFonts w:ascii="Arial" w:hAnsi="Arial"/>
          <w:b/>
          <w:i/>
          <w:color w:val="000000"/>
          <w:sz w:val="20"/>
        </w:rPr>
        <w:t>Our ability to utilize our net operating loss carryforwards and certain other tax attributes may be limited.</w:t>
      </w:r>
    </w:p>
    <w:p>
      <w:pPr>
        <w:pStyle w:val="TextBody"/>
        <w:bidi w:val="0"/>
        <w:jc w:val="both"/>
        <w:rPr>
          <w:rFonts w:ascii="Arial" w:hAnsi="Arial"/>
          <w:color w:val="000000"/>
          <w:sz w:val="20"/>
        </w:rPr>
      </w:pPr>
      <w:r>
        <w:rPr>
          <w:rFonts w:ascii="Arial" w:hAnsi="Arial"/>
          <w:color w:val="000000"/>
          <w:sz w:val="20"/>
        </w:rPr>
        <w:t>Our net operating loss (NOL) carryforwards could expire unused and be unavailable to offset future income tax liabilities because of their limited duration or other restrictions. U.S.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in a year is limited to 80% taxable income in such year. In addition, at the state level, there may be periods during which the use of NOL carryforwards is suspended or otherwise limited. For example, California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0" w:after="240"/>
        <w:jc w:val="both"/>
        <w:rPr>
          <w:rFonts w:ascii="Arial" w:hAnsi="Arial"/>
          <w:color w:val="000000"/>
          <w:sz w:val="20"/>
        </w:rPr>
      </w:pPr>
      <w:r>
        <w:rPr>
          <w:rFonts w:ascii="Arial" w:hAnsi="Arial"/>
          <w:color w:val="000000"/>
          <w:sz w:val="20"/>
        </w:rPr>
        <w:t>In addition, under Sections 382 and 383 of the Internal Revenue Code of 1986, as amended (the IRC),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of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A variety of risks associated with international marketing of palazestrant, OP-3136, or any future product candidates we may develop, if approved,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differing regulatory requirements and reimbursement regimes in foreign countries;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unexpected changes in tariffs, trade barriers, price and exchange controls and other regulatory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economic weakness, including inflation, or political instability in particular foreign economies and markets;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compliance with tax, employment, immigration and labor laws for employees living or traveling abroad;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foreign taxes, including withholding of payroll taxes;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foreign currency fluctuations, which could result in increased operating expenses and reduced revenue, and other obligations incident to doing business in another country;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difficulties staffing and managing foreign operations;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workforce uncertainty in countries where labor unrest is more common than in the United States;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potential liability under the FCPA or comparable foreign regulations;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production shortages resulting from any events affecting raw material supply or manufacturing capabilities abroad;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business interruptions resulting from geopolitical actions, including war and terrorism.</w:t>
      </w:r>
    </w:p>
    <w:p>
      <w:pPr>
        <w:pStyle w:val="TextBody"/>
        <w:bidi w:val="0"/>
        <w:spacing w:before="0" w:after="240"/>
        <w:jc w:val="both"/>
        <w:rPr>
          <w:rFonts w:ascii="Arial" w:hAnsi="Arial"/>
          <w:color w:val="000000"/>
          <w:sz w:val="20"/>
        </w:rPr>
      </w:pPr>
      <w:r>
        <w:rPr>
          <w:rFonts w:ascii="Arial" w:hAnsi="Arial"/>
          <w:color w:val="000000"/>
          <w:sz w:val="20"/>
        </w:rPr>
        <w:t>These and other risks associated with our international operations may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0" w:after="240"/>
        <w:jc w:val="both"/>
        <w:rPr>
          <w:rFonts w:ascii="Arial" w:hAnsi="Arial"/>
          <w:b/>
          <w:i/>
          <w:color w:val="000000"/>
          <w:sz w:val="20"/>
        </w:rPr>
      </w:pPr>
      <w:r>
        <w:rPr>
          <w:rFonts w:ascii="Arial" w:hAnsi="Arial"/>
          <w:b/>
          <w:i/>
          <w:color w:val="000000"/>
          <w:sz w:val="20"/>
        </w:rPr>
        <w:t>Our success depends on our ability to protect our intellectual property and our proprietary technologies.</w:t>
      </w:r>
    </w:p>
    <w:p>
      <w:pPr>
        <w:pStyle w:val="TextBody"/>
        <w:bidi w:val="0"/>
        <w:spacing w:before="0" w:after="240"/>
        <w:jc w:val="both"/>
        <w:rPr>
          <w:rFonts w:ascii="Times New Roman" w:hAnsi="Times New Roman"/>
          <w:sz w:val="20"/>
        </w:rPr>
      </w:pPr>
      <w:r>
        <w:rPr>
          <w:rFonts w:ascii="Arial" w:hAnsi="Arial"/>
          <w:color w:val="000000"/>
          <w:sz w:val="20"/>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proprietary technologies and their uses,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0" w:after="240"/>
        <w:jc w:val="both"/>
        <w:rPr>
          <w:rFonts w:ascii="Arial" w:hAnsi="Arial"/>
          <w:color w:val="000000"/>
          <w:sz w:val="20"/>
        </w:rPr>
      </w:pPr>
      <w:r>
        <w:rPr>
          <w:rFonts w:ascii="Arial" w:hAnsi="Arial"/>
          <w:color w:val="000000"/>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bidi w:val="0"/>
        <w:spacing w:before="0" w:after="240"/>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cannot be certain that the claims in our pending U.S. patent applications, and corresponding national patent applications, will be considered patentable by the United States Patent and Trademark Office (USPTO) courts in the United States or by the patent offices and courts in foreign countries, nor can we be certain that the claims in our issued patent(s) will not be found invalid or unenforceable if challenged.</w:t>
      </w:r>
    </w:p>
    <w:p>
      <w:pPr>
        <w:pStyle w:val="TextBody"/>
        <w:bidi w:val="0"/>
        <w:spacing w:before="0" w:after="240"/>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patent applications must be filed in advance of certain events (</w:t>
      </w:r>
      <w:r>
        <w:rPr>
          <w:rFonts w:ascii="Arial" w:hAnsi="Arial"/>
          <w:i/>
          <w:color w:val="231F20"/>
          <w:sz w:val="20"/>
        </w:rPr>
        <w:t xml:space="preserve">e.g., </w:t>
      </w:r>
      <w:r>
        <w:rPr>
          <w:rFonts w:ascii="Arial" w:hAnsi="Arial"/>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patent applications may not result in any patents being issued;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patents may be challenged, invalidated, modified, revoked, circumvented, found to be unenforceable or otherwise may not provide any competitive advantage;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there may be significant pressure on the U.S. government and international governmental bodies to limit the scope of patent protection both inside and outside the United States;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0" w:after="240"/>
        <w:jc w:val="both"/>
        <w:rPr>
          <w:rFonts w:ascii="Arial" w:hAnsi="Arial"/>
          <w:color w:val="000000"/>
          <w:sz w:val="20"/>
        </w:rPr>
      </w:pPr>
      <w:r>
        <w:rPr>
          <w:rFonts w:ascii="Arial" w:hAnsi="Arial"/>
          <w:color w:val="000000"/>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or carrying our work on behalf of Olema,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0" w:after="240"/>
        <w:jc w:val="both"/>
        <w:rPr>
          <w:rFonts w:ascii="Arial" w:hAnsi="Arial"/>
          <w:color w:val="000000"/>
          <w:sz w:val="20"/>
        </w:rPr>
      </w:pPr>
      <w:r>
        <w:rPr>
          <w:rFonts w:ascii="Arial" w:hAnsi="Arial"/>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0" w:after="240"/>
        <w:jc w:val="both"/>
        <w:rPr>
          <w:rFonts w:ascii="Arial" w:hAnsi="Arial"/>
          <w:color w:val="000000"/>
          <w:sz w:val="20"/>
        </w:rPr>
      </w:pPr>
      <w:r>
        <w:rPr>
          <w:rFonts w:ascii="Arial" w:hAnsi="Arial"/>
          <w:color w:val="000000"/>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pStyle w:val="TextBody"/>
        <w:bidi w:val="0"/>
        <w:spacing w:before="0" w:after="240"/>
        <w:jc w:val="both"/>
        <w:rPr>
          <w:rFonts w:ascii="Arial" w:hAnsi="Arial"/>
          <w:color w:val="000000"/>
          <w:sz w:val="20"/>
        </w:rPr>
      </w:pPr>
      <w:r>
        <w:rPr>
          <w:rFonts w:ascii="Arial" w:hAnsi="Arial"/>
          <w:color w:val="000000"/>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or will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conduct. In addition, in the United States and certain other jurisdictions, third parties are entitled to submit prior art to patent offices for consideration during examination.</w:t>
      </w:r>
    </w:p>
    <w:p>
      <w:pPr>
        <w:pStyle w:val="TextBody"/>
        <w:bidi w:val="0"/>
        <w:spacing w:before="0" w:after="240"/>
        <w:jc w:val="both"/>
        <w:rPr>
          <w:rFonts w:ascii="Arial" w:hAnsi="Arial"/>
          <w:color w:val="000000"/>
          <w:sz w:val="20"/>
        </w:rPr>
      </w:pPr>
      <w:r>
        <w:rPr>
          <w:rFonts w:ascii="Arial" w:hAnsi="Arial"/>
          <w:color w:val="000000"/>
          <w:sz w:val="20"/>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pStyle w:val="TextBody"/>
        <w:bidi w:val="0"/>
        <w:spacing w:before="0" w:after="240"/>
        <w:jc w:val="both"/>
        <w:rPr>
          <w:rFonts w:ascii="Arial" w:hAnsi="Arial"/>
          <w:color w:val="000000"/>
          <w:sz w:val="20"/>
        </w:rPr>
      </w:pPr>
      <w:r>
        <w:rPr>
          <w:rFonts w:ascii="Arial" w:hAnsi="Arial"/>
          <w:color w:val="000000"/>
          <w:sz w:val="20"/>
        </w:rPr>
        <w:t>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rights do not necessarily address all potential threats to our competitive advantage.</w:t>
      </w:r>
    </w:p>
    <w:p>
      <w:pPr>
        <w:pStyle w:val="TextBody"/>
        <w:bidi w:val="0"/>
        <w:spacing w:before="0" w:after="240"/>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not be able to detect infringement of our issued patents;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others may be able to develop products that are similar to palazestrant, or any future product candidates we may develop, but that are not covered by the claims of the patents that we may in-license in the future or 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competitors may seek or may have already obtained patents that will limit, interfere with or eliminate our ability to make, use and sell palazestrant or any future product candidates we may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we, or our current or future collaborators or license partners, might not have been the first to make the inventions covered by the issued patents or patent application that we may in-license in the future or 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be found not have been the first to file patent applications covering certain of our or their inventions;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others may independently develop similar or alternative technologies or duplicate any of our technologies without infringing our intellectual property rights;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it is possible that the pending patent applications we may in-license in the future or own will not lead to issued patents;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it is possible that there are prior public disclosures that could invalidate our patents, or parts of our patents, for which we are not aware;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issued patents that we hold rights to may be held invalid or unenforceable, as a result of legal challenges by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issued patents may not have sufficient term or geographic scope to provide meaningful protection;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not develop additional proprietary technologies that are patentable;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patents of others may have an adverse effect on our business;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choose not to file a patent in order to maintain certain trade secrets, and a third party may subsequently file a patent covering such intellectual property.</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pStyle w:val="TextBody"/>
        <w:bidi w:val="0"/>
        <w:spacing w:before="0" w:after="240"/>
        <w:jc w:val="both"/>
        <w:rPr>
          <w:rFonts w:ascii="Times New Roman" w:hAnsi="Times New Roman"/>
          <w:sz w:val="20"/>
        </w:rPr>
      </w:pPr>
      <w:r>
        <w:rPr>
          <w:rFonts w:ascii="Arial" w:hAnsi="Arial"/>
          <w:color w:val="000000"/>
          <w:sz w:val="20"/>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pStyle w:val="TextBody"/>
        <w:bidi w:val="0"/>
        <w:spacing w:before="0" w:after="240"/>
        <w:jc w:val="both"/>
        <w:rPr>
          <w:rFonts w:ascii="Arial" w:hAnsi="Arial"/>
          <w:color w:val="000000"/>
          <w:sz w:val="20"/>
        </w:rPr>
      </w:pPr>
      <w:r>
        <w:rPr>
          <w:rFonts w:ascii="Arial" w:hAnsi="Arial"/>
          <w:color w:val="000000"/>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spacing w:before="0" w:after="240"/>
        <w:jc w:val="both"/>
        <w:rPr>
          <w:rFonts w:ascii="Arial" w:hAnsi="Arial"/>
          <w:color w:val="000000"/>
          <w:sz w:val="20"/>
        </w:rPr>
      </w:pPr>
      <w:r>
        <w:rPr>
          <w:rFonts w:ascii="Arial" w:hAnsi="Arial"/>
          <w:color w:val="000000"/>
          <w:sz w:val="20"/>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activities reasonably related to the development and submission of information to the FDA for therapeutic products under clinical development. If and when we submit an NDA, that safe harbor will expire.</w:t>
      </w:r>
    </w:p>
    <w:p>
      <w:pPr>
        <w:pStyle w:val="TextBody"/>
        <w:bidi w:val="0"/>
        <w:spacing w:before="0" w:after="240"/>
        <w:jc w:val="both"/>
        <w:rPr>
          <w:rFonts w:ascii="Arial" w:hAnsi="Arial"/>
          <w:color w:val="000000"/>
          <w:sz w:val="20"/>
        </w:rPr>
      </w:pPr>
      <w:r>
        <w:rPr>
          <w:rFonts w:ascii="Arial" w:hAnsi="Arial"/>
          <w:color w:val="000000"/>
          <w:sz w:val="20"/>
        </w:rPr>
        <w:t>Any claims of patent infringement, misappropriation or other violations asserted by third parties would be time consuming and could: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 in costly litigation that may cause negative publicity;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cause development delays;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prevent us from commercializing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require us to develop non-infringing technology, which may not be possible on a cost-effective basis;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 us to significant liability to third parties; 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pStyle w:val="TextBody"/>
        <w:bidi w:val="0"/>
        <w:spacing w:before="0" w:after="240"/>
        <w:jc w:val="both"/>
        <w:rPr>
          <w:rFonts w:ascii="Arial" w:hAnsi="Arial"/>
          <w:color w:val="000000"/>
          <w:sz w:val="20"/>
        </w:rPr>
      </w:pPr>
      <w:r>
        <w:rPr>
          <w:rFonts w:ascii="Arial" w:hAnsi="Arial"/>
          <w:color w:val="000000"/>
          <w:sz w:val="20"/>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not be successful in obtaining or maintaining necessary rights from third parties for what we identify as necessary for palazestrant or OP-3136 through acquisitions and in-licenses.</w:t>
      </w:r>
    </w:p>
    <w:p>
      <w:pPr>
        <w:pStyle w:val="TextBody"/>
        <w:bidi w:val="0"/>
        <w:spacing w:before="0" w:after="240"/>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0" w:after="240"/>
        <w:jc w:val="both"/>
        <w:rPr>
          <w:rFonts w:ascii="Arial" w:hAnsi="Arial"/>
          <w:color w:val="000000"/>
          <w:sz w:val="20"/>
        </w:rPr>
      </w:pPr>
      <w:r>
        <w:rPr>
          <w:rFonts w:ascii="Arial" w:hAnsi="Arial"/>
          <w:color w:val="000000"/>
          <w:sz w:val="20"/>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pStyle w:val="TextBody"/>
        <w:bidi w:val="0"/>
        <w:spacing w:before="0" w:after="240"/>
        <w:jc w:val="both"/>
        <w:rPr>
          <w:rFonts w:ascii="Arial" w:hAnsi="Arial"/>
          <w:color w:val="000000"/>
          <w:sz w:val="20"/>
        </w:rPr>
      </w:pPr>
      <w:r>
        <w:rPr>
          <w:rFonts w:ascii="Arial" w:hAnsi="Arial"/>
          <w:color w:val="000000"/>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0" w:after="240"/>
        <w:jc w:val="both"/>
        <w:rPr>
          <w:rFonts w:ascii="Arial" w:hAnsi="Arial"/>
          <w:color w:val="000000"/>
          <w:sz w:val="20"/>
        </w:rPr>
      </w:pPr>
      <w:r>
        <w:rPr>
          <w:rFonts w:ascii="Arial" w:hAnsi="Arial"/>
          <w:color w:val="000000"/>
          <w:sz w:val="20"/>
        </w:rPr>
        <w:t>The outcome following legal assertions of invalidity and/or unenforceability is unpredictable, and prior art could render any of our patents invalid. There is no assurance that all potentially relevant prior art relating to our patents and patent applications has been found. There is also no assurance that there is not prior art of which we are aware, but which we believe does not affect the validity or enforceability of a claim in our patent and patent applications, which may, nonetheless, ultimately be found to affect the validity or enforceability of a claim.</w:t>
      </w:r>
    </w:p>
    <w:p>
      <w:pPr>
        <w:pStyle w:val="TextBody"/>
        <w:bidi w:val="0"/>
        <w:spacing w:before="0" w:after="240"/>
        <w:jc w:val="both"/>
        <w:rPr>
          <w:rFonts w:ascii="Arial" w:hAnsi="Arial"/>
          <w:color w:val="000000"/>
          <w:sz w:val="20"/>
        </w:rPr>
      </w:pPr>
      <w:r>
        <w:rPr>
          <w:rFonts w:ascii="Arial" w:hAnsi="Arial"/>
          <w:color w:val="000000"/>
          <w:sz w:val="20"/>
        </w:rPr>
        <w:t>If a defendant were to prevail on a legal assertion of invalidity and/or unenforceability, we may lose at least part, and perhaps all, of the patent protection on a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0" w:after="240"/>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litigation may lead to unfavorable publicity that harms our reputation and causes the market price of our common shares to decline.</w:t>
      </w:r>
    </w:p>
    <w:p>
      <w:pPr>
        <w:pStyle w:val="TextBody"/>
        <w:bidi w:val="0"/>
        <w:spacing w:before="0" w:after="240"/>
        <w:jc w:val="both"/>
        <w:rPr>
          <w:rFonts w:ascii="Arial" w:hAnsi="Arial"/>
          <w:color w:val="000000"/>
          <w:sz w:val="20"/>
        </w:rPr>
      </w:pPr>
      <w:r>
        <w:rPr>
          <w:rFonts w:ascii="Arial" w:hAnsi="Arial"/>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bidi w:val="0"/>
        <w:spacing w:before="0" w:after="240"/>
        <w:jc w:val="both"/>
        <w:rPr>
          <w:rFonts w:ascii="Arial" w:hAnsi="Arial"/>
          <w:color w:val="000000"/>
          <w:sz w:val="20"/>
        </w:rPr>
      </w:pPr>
      <w:r>
        <w:rPr>
          <w:rFonts w:ascii="Arial" w:hAnsi="Arial"/>
          <w:color w:val="000000"/>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Changes in patent laws or their interpretations could increase the uncertainties and costs surrounding the prosecution of our patent applications or those of our licensors and the enforcement or defense of our issued patents or those of our licensors.</w:t>
      </w:r>
    </w:p>
    <w:p>
      <w:pPr>
        <w:pStyle w:val="TextBody"/>
        <w:bidi w:val="0"/>
        <w:spacing w:before="0" w:after="240"/>
        <w:jc w:val="both"/>
        <w:rPr>
          <w:rFonts w:ascii="Arial" w:hAnsi="Arial"/>
          <w:color w:val="000000"/>
          <w:sz w:val="20"/>
        </w:rPr>
      </w:pPr>
      <w:r>
        <w:rPr>
          <w:rFonts w:ascii="Arial" w:hAnsi="Arial"/>
          <w:color w:val="000000"/>
          <w:sz w:val="20"/>
        </w:rPr>
        <w:t>Changes in either patent laws or interpretation of patent laws in the United States or in other countries could increase the uncertainties and costs surrounding prosecution of patent applications and the enforcement or defense of issued patents. For example, on September 16, 2011, the Leahy-Smith America Invents Act (the Leahy-Smith Act) was signed into law which included a number of significant changes to U.S. patent law. These include provisions that affected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candidates we may develop or (2) invent any of the inventions claimed in the patents or patent applications.</w:t>
      </w:r>
    </w:p>
    <w:p>
      <w:pPr>
        <w:pStyle w:val="TextBody"/>
        <w:bidi w:val="0"/>
        <w:spacing w:before="0" w:after="240"/>
        <w:jc w:val="both"/>
        <w:rPr>
          <w:rFonts w:ascii="Arial" w:hAnsi="Arial"/>
          <w:color w:val="000000"/>
          <w:sz w:val="20"/>
        </w:rPr>
      </w:pPr>
      <w:r>
        <w:rPr>
          <w:rFonts w:ascii="Arial" w:hAnsi="Arial"/>
          <w:color w:val="000000"/>
          <w:sz w:val="20"/>
        </w:rPr>
        <w:t>The Leahy-Smith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240"/>
        <w:jc w:val="both"/>
        <w:rPr>
          <w:rFonts w:ascii="Arial" w:hAnsi="Arial"/>
          <w:color w:val="000000"/>
          <w:sz w:val="20"/>
        </w:rPr>
      </w:pPr>
      <w:r>
        <w:rPr>
          <w:rFonts w:ascii="Arial" w:hAnsi="Arial"/>
          <w:color w:val="000000"/>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changes to patent laws, such as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Changes in U.S. patent law, or laws in other countries, could diminish the value of patents in general, thereby impairing our ability to protect palazestrant, OP-3136, or any future product candidates we may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0" w:after="240"/>
        <w:jc w:val="both"/>
        <w:rPr>
          <w:rFonts w:ascii="Arial" w:hAnsi="Arial"/>
          <w:color w:val="000000"/>
          <w:sz w:val="20"/>
        </w:rPr>
      </w:pPr>
      <w:r>
        <w:rPr>
          <w:rFonts w:ascii="Arial" w:hAnsi="Arial"/>
          <w:color w:val="000000"/>
          <w:sz w:val="20"/>
        </w:rPr>
        <w:t>Further, the U.S. Supreme Court has ruled on patent cases,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challenging the inventorship or ownership of our patents and other intellectual property.</w:t>
      </w:r>
    </w:p>
    <w:p>
      <w:pPr>
        <w:pStyle w:val="TextBody"/>
        <w:bidi w:val="0"/>
        <w:spacing w:before="0" w:after="240"/>
        <w:jc w:val="both"/>
        <w:rPr>
          <w:rFonts w:ascii="Arial" w:hAnsi="Arial"/>
          <w:color w:val="000000"/>
          <w:sz w:val="20"/>
        </w:rPr>
      </w:pPr>
      <w:r>
        <w:rPr>
          <w:rFonts w:ascii="Arial" w:hAnsi="Arial"/>
          <w:color w:val="000000"/>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obtaining issued patents.</w:t>
      </w:r>
    </w:p>
    <w:p>
      <w:pPr>
        <w:pStyle w:val="TextBody"/>
        <w:bidi w:val="0"/>
        <w:spacing w:before="0" w:after="240"/>
        <w:jc w:val="both"/>
        <w:rPr>
          <w:rFonts w:ascii="Arial" w:hAnsi="Arial"/>
          <w:color w:val="000000"/>
          <w:sz w:val="20"/>
        </w:rPr>
      </w:pPr>
      <w:r>
        <w:rPr>
          <w:rFonts w:ascii="Arial" w:hAnsi="Arial"/>
          <w:color w:val="000000"/>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spacing w:before="0" w:after="240"/>
        <w:jc w:val="both"/>
        <w:rPr>
          <w:rFonts w:ascii="Arial" w:hAnsi="Arial"/>
          <w:b/>
          <w:i/>
          <w:color w:val="000000"/>
          <w:sz w:val="20"/>
        </w:rPr>
      </w:pPr>
      <w:r>
        <w:rPr>
          <w:rFonts w:ascii="Arial" w:hAnsi="Arial"/>
          <w:b/>
          <w:i/>
          <w:color w:val="000000"/>
          <w:sz w:val="20"/>
        </w:rPr>
        <w:t>Patent terms may be inadequate to protect our competitive position on palazestrant, OP-3136, or any future product candidates we may develop for an adequate amount of time.</w:t>
      </w:r>
    </w:p>
    <w:p>
      <w:pPr>
        <w:pStyle w:val="TextBody"/>
        <w:bidi w:val="0"/>
        <w:spacing w:before="0" w:after="240"/>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240"/>
        <w:jc w:val="both"/>
        <w:rPr>
          <w:rFonts w:ascii="Arial" w:hAnsi="Arial"/>
          <w:color w:val="000000"/>
          <w:sz w:val="20"/>
        </w:rPr>
      </w:pPr>
      <w:r>
        <w:rPr>
          <w:rFonts w:ascii="Arial" w:hAnsi="Arial"/>
          <w:color w:val="000000"/>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bidi w:val="0"/>
        <w:spacing w:before="0" w:after="240"/>
        <w:jc w:val="both"/>
        <w:rPr>
          <w:rFonts w:ascii="Times New Roman" w:hAnsi="Times New Roman"/>
          <w:sz w:val="20"/>
        </w:rPr>
      </w:pPr>
      <w:r>
        <w:rPr>
          <w:rFonts w:ascii="Arial" w:hAnsi="Arial"/>
          <w:color w:val="000000"/>
          <w:sz w:val="20"/>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protection for certain patents in all markets due to finite availability of resources.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do not obtain patent term extension for palazestrant, OP-3136, or any future product candidates we may develop, our business, financial condition, results of operations, and prospects may be significantly harmed.</w:t>
      </w:r>
    </w:p>
    <w:p>
      <w:pPr>
        <w:pStyle w:val="TextBody"/>
        <w:bidi w:val="0"/>
        <w:spacing w:before="0" w:after="240"/>
        <w:jc w:val="both"/>
        <w:rPr>
          <w:rFonts w:ascii="Arial" w:hAnsi="Arial"/>
          <w:color w:val="000000"/>
          <w:sz w:val="20"/>
        </w:rPr>
      </w:pPr>
      <w:r>
        <w:rPr>
          <w:rFonts w:ascii="Arial" w:hAnsi="Arial"/>
          <w:color w:val="000000"/>
          <w:sz w:val="20"/>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bidi w:val="0"/>
        <w:spacing w:before="0" w:after="240"/>
        <w:jc w:val="both"/>
        <w:rPr>
          <w:rFonts w:ascii="Arial" w:hAnsi="Arial"/>
          <w:b/>
          <w:i/>
          <w:color w:val="000000"/>
          <w:sz w:val="20"/>
        </w:rPr>
      </w:pPr>
      <w:r>
        <w:rPr>
          <w:rFonts w:ascii="Arial" w:hAnsi="Arial"/>
          <w:b/>
          <w:i/>
          <w:color w:val="000000"/>
          <w:sz w:val="20"/>
        </w:rPr>
        <w:t>We will not be able to protect our intellectual property rights throughout the world.</w:t>
      </w:r>
    </w:p>
    <w:p>
      <w:pPr>
        <w:pStyle w:val="TextBody"/>
        <w:bidi w:val="0"/>
        <w:spacing w:before="0" w:after="240"/>
        <w:jc w:val="both"/>
        <w:rPr>
          <w:rFonts w:ascii="Arial" w:hAnsi="Arial"/>
          <w:color w:val="000000"/>
          <w:sz w:val="20"/>
        </w:rPr>
      </w:pPr>
      <w:r>
        <w:rPr>
          <w:rFonts w:ascii="Arial" w:hAnsi="Arial"/>
          <w:color w:val="000000"/>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pStyle w:val="TextBody"/>
        <w:bidi w:val="0"/>
        <w:spacing w:before="0" w:after="240"/>
        <w:jc w:val="both"/>
        <w:rPr>
          <w:rFonts w:ascii="Times New Roman" w:hAnsi="Times New Roman"/>
          <w:sz w:val="20"/>
        </w:rPr>
      </w:pPr>
      <w:r>
        <w:rPr>
          <w:rFonts w:ascii="Arial" w:hAnsi="Arial"/>
          <w:color w:val="000000"/>
          <w:sz w:val="20"/>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pStyle w:val="TextBody"/>
        <w:bidi w:val="0"/>
        <w:spacing w:before="0" w:after="240"/>
        <w:jc w:val="both"/>
        <w:rPr>
          <w:rFonts w:ascii="Arial" w:hAnsi="Arial"/>
          <w:color w:val="000000"/>
          <w:sz w:val="20"/>
        </w:rPr>
      </w:pPr>
      <w:r>
        <w:rPr>
          <w:rFonts w:ascii="Arial" w:hAnsi="Arial"/>
          <w:color w:val="000000"/>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when such fees are due, and we rely on our outside counsel and their patent annuity service to pay these fees when due. Additionally, the USPTO and various foreign patent offices require compliance with a number of procedural, documentary, fee payment and other similar provisions during the patent application and prosecution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0" w:after="240"/>
        <w:jc w:val="left"/>
        <w:rPr>
          <w:rFonts w:ascii="Arial" w:hAnsi="Arial"/>
          <w:b/>
          <w:i/>
          <w:color w:val="000000"/>
          <w:sz w:val="20"/>
        </w:rPr>
      </w:pPr>
      <w:r>
        <w:rPr>
          <w:rFonts w:ascii="Arial" w:hAnsi="Arial"/>
          <w:b/>
          <w:i/>
          <w:color w:val="000000"/>
          <w:sz w:val="20"/>
        </w:rPr>
        <w:t>If we are unable to protect the confidentiality of our trade secrets, our business, financial condition, results of operations, prospects, and competitive position would be significantly harmed.</w:t>
      </w:r>
    </w:p>
    <w:p>
      <w:pPr>
        <w:pStyle w:val="TextBody"/>
        <w:bidi w:val="0"/>
        <w:spacing w:before="0" w:after="240"/>
        <w:jc w:val="both"/>
        <w:rPr>
          <w:rFonts w:ascii="Times New Roman" w:hAnsi="Times New Roman"/>
          <w:sz w:val="20"/>
        </w:rPr>
      </w:pPr>
      <w:r>
        <w:rPr>
          <w:rFonts w:ascii="Arial" w:hAnsi="Arial"/>
          <w:color w:val="000000"/>
          <w:sz w:val="20"/>
        </w:rPr>
        <w:t>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0" w:after="240"/>
        <w:jc w:val="both"/>
        <w:rPr>
          <w:rFonts w:ascii="Arial" w:hAnsi="Arial"/>
          <w:color w:val="000000"/>
          <w:sz w:val="20"/>
        </w:rPr>
      </w:pPr>
      <w:r>
        <w:rPr>
          <w:rFonts w:ascii="Arial" w:hAnsi="Arial"/>
          <w:color w:val="000000"/>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that we or our employees have wrongfully used or disclosed alleged confidential information or trade secrets.</w:t>
      </w:r>
    </w:p>
    <w:p>
      <w:pPr>
        <w:pStyle w:val="TextBody"/>
        <w:bidi w:val="0"/>
        <w:spacing w:before="0" w:after="240"/>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rights to develop and commercialize our technology and product candidates may be subject, in part, to the terms and conditions of licenses granted to us by others.</w:t>
      </w:r>
    </w:p>
    <w:p>
      <w:pPr>
        <w:pStyle w:val="TextBody"/>
        <w:bidi w:val="0"/>
        <w:spacing w:before="0" w:after="240"/>
        <w:jc w:val="both"/>
        <w:rPr>
          <w:rFonts w:ascii="Arial" w:hAnsi="Arial"/>
          <w:color w:val="000000"/>
          <w:sz w:val="20"/>
        </w:rPr>
      </w:pPr>
      <w:r>
        <w:rPr>
          <w:rFonts w:ascii="Arial" w:hAnsi="Arial"/>
          <w:color w:val="000000"/>
          <w:sz w:val="20"/>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0" w:after="240"/>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0" w:after="240"/>
        <w:jc w:val="both"/>
        <w:rPr>
          <w:rFonts w:ascii="Arial" w:hAnsi="Arial"/>
          <w:color w:val="000000"/>
          <w:sz w:val="20"/>
        </w:rPr>
      </w:pPr>
      <w:r>
        <w:rPr>
          <w:rFonts w:ascii="Arial" w:hAnsi="Arial"/>
          <w:color w:val="000000"/>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Disputes may arise between us and our past, current or future licensors regarding intellectual property subject to a license agreement,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scope of rights granted under the license agreement and other interpretation-related issues;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whether and the extent to which our technology and processes infringe on intellectual property of the licensor that is not subject to the licensing agreement;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right to sublicense patents and other rights to third parties;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diligence obligations under the license agreement and what activities satisfy those diligence obligations;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right to transfer or assign the license;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inventorship and ownership of inventions and know-how resulting from the joint creation or use of intellectual property by our licensors and us and our partners;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priority of invention of patented technology.</w:t>
      </w:r>
    </w:p>
    <w:p>
      <w:pPr>
        <w:pStyle w:val="TextBody"/>
        <w:bidi w:val="0"/>
        <w:spacing w:before="0" w:after="240"/>
        <w:jc w:val="both"/>
        <w:rPr>
          <w:rFonts w:ascii="Arial" w:hAnsi="Arial"/>
          <w:color w:val="000000"/>
          <w:sz w:val="20"/>
        </w:rPr>
      </w:pPr>
      <w:r>
        <w:rPr>
          <w:rFonts w:ascii="Arial" w:hAnsi="Arial"/>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0" w:after="240"/>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could have the freedom to seek regulatory approval of, and to market, products identical to ours. This could significantly harm our competitive position, business, financial condition,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240"/>
        <w:jc w:val="both"/>
        <w:rPr>
          <w:rFonts w:ascii="Times New Roman" w:hAnsi="Times New Roman"/>
          <w:sz w:val="20"/>
        </w:rPr>
      </w:pPr>
      <w:r>
        <w:rPr>
          <w:rFonts w:ascii="Arial" w:hAnsi="Arial"/>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0" w:after="240"/>
        <w:jc w:val="both"/>
        <w:rPr>
          <w:rFonts w:ascii="Arial" w:hAnsi="Arial"/>
          <w:b/>
          <w:i/>
          <w:color w:val="000000"/>
          <w:sz w:val="20"/>
        </w:rPr>
      </w:pPr>
      <w:r>
        <w:rPr>
          <w:rFonts w:ascii="Arial" w:hAnsi="Arial"/>
          <w:b/>
          <w:i/>
          <w:color w:val="000000"/>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pStyle w:val="TextBody"/>
        <w:bidi w:val="0"/>
        <w:spacing w:before="0" w:after="240"/>
        <w:jc w:val="both"/>
        <w:rPr>
          <w:rFonts w:ascii="Arial" w:hAnsi="Arial"/>
          <w:color w:val="000000"/>
          <w:sz w:val="20"/>
        </w:rPr>
      </w:pPr>
      <w:r>
        <w:rPr>
          <w:rFonts w:ascii="Arial" w:hAnsi="Arial"/>
          <w:color w:val="000000"/>
          <w:sz w:val="20"/>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0" w:after="240"/>
        <w:jc w:val="both"/>
        <w:rPr>
          <w:rFonts w:ascii="Times New Roman" w:hAnsi="Times New Roman"/>
          <w:sz w:val="20"/>
        </w:rPr>
      </w:pPr>
      <w:r>
        <w:rPr>
          <w:rFonts w:ascii="Arial" w:hAnsi="Arial"/>
          <w:color w:val="000000"/>
          <w:sz w:val="20"/>
        </w:rPr>
        <w:t>Our CROs have the right to terminate their agreements with us in the event of an uncured material breach. In addition, some of our CROs have an ability to terminate their respective agreements with us if it can be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reasonably demonstrated that the safety of the subjects participating in our clinical trials warrants such termination, if we make a general assignment for the benefit of our creditors or if we are liquidated.</w:t>
      </w:r>
    </w:p>
    <w:p>
      <w:pPr>
        <w:pStyle w:val="TextBody"/>
        <w:bidi w:val="0"/>
        <w:spacing w:before="0" w:after="240"/>
        <w:jc w:val="both"/>
        <w:rPr>
          <w:rFonts w:ascii="Arial" w:hAnsi="Arial"/>
          <w:color w:val="000000"/>
          <w:sz w:val="20"/>
        </w:rPr>
      </w:pPr>
      <w:r>
        <w:rPr>
          <w:rFonts w:ascii="Arial" w:hAnsi="Arial"/>
          <w:color w:val="000000"/>
          <w:sz w:val="20"/>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contract with third parties for the manufacture of palazestrant and OP-3136 for non-clinical studies and our ongoing clinical trials, and expect to continue to do so for additional clinical trials and ultimately for commercialization. This reliance on third parties increases the risk that we will not have sufficient quantities of palazestrant, OP-3136, or other drugs necessary for the development or commercialization of palazestrant or OP-3136, or may not be able to obtain such quantities at an acceptable cost, which could delay, prevent, or impair our development or commercialization efforts.</w:t>
      </w:r>
    </w:p>
    <w:p>
      <w:pPr>
        <w:pStyle w:val="TextBody"/>
        <w:bidi w:val="0"/>
        <w:spacing w:before="0" w:after="240"/>
        <w:jc w:val="both"/>
        <w:rPr>
          <w:rFonts w:ascii="Arial" w:hAnsi="Arial"/>
          <w:color w:val="000000"/>
          <w:sz w:val="20"/>
        </w:rPr>
      </w:pPr>
      <w:r>
        <w:rPr>
          <w:rFonts w:ascii="Arial" w:hAnsi="Arial"/>
          <w:color w:val="000000"/>
          <w:sz w:val="20"/>
        </w:rPr>
        <w:t>We do not currently have the infrastructure or internal capability to manufacture supplies of palazestrant or OP-3136 for use in development and commercialization. We rely, and expect to continue to rely, on third-party manufacturers for the production of palazestrant and OP-3136 for non-clinical studies and clinical trials under the guidance of members of our organization. We do not have long-term supply agreements for palazestrant. Furthermore, the raw materials for palazestrant and OP-3136 are sourced, in some cases, from a single-source supplier. If we were to experience an unexpected loss of supply of palazestrant or OP-3136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0" w:after="240"/>
        <w:jc w:val="both"/>
        <w:rPr>
          <w:rFonts w:ascii="Arial" w:hAnsi="Arial"/>
          <w:color w:val="000000"/>
          <w:sz w:val="20"/>
        </w:rPr>
      </w:pPr>
      <w:r>
        <w:rPr>
          <w:rFonts w:ascii="Arial" w:hAnsi="Arial"/>
          <w:color w:val="000000"/>
          <w:sz w:val="20"/>
        </w:rPr>
        <w:t>We expect to continue to rely on third-party manufacturers for the commercial supply of palazestrant and OP-3136,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231F20"/>
          <w:sz w:val="20"/>
        </w:rPr>
      </w:pPr>
      <w:r>
        <w:rPr>
          <w:rFonts w:ascii="Arial" w:hAnsi="Arial"/>
          <w:color w:val="231F20"/>
          <w:sz w:val="20"/>
        </w:rPr>
        <w:t>the failure of the third party to manufacture palazestrant or OP-3136 according to our schedule, or at all, including if our third-party contractors give greater priority to the supply of other products over palazestrant or OP-3136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disruptions resulting from the impact of public health pandemics or epidemics;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the reduction or termination of production or deliveries by suppliers, or the raising of prices or renegotiation of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the failure of the third party to manufacture palazestrant or OP-3136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231F20"/>
          <w:sz w:val="20"/>
        </w:rPr>
      </w:pPr>
      <w:r>
        <w:rPr>
          <w:rFonts w:ascii="Arial" w:hAnsi="Arial"/>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color w:val="231F20"/>
          <w:sz w:val="20"/>
        </w:rPr>
      </w:pPr>
      <w:r>
        <w:rPr>
          <w:rFonts w:ascii="Arial" w:hAnsi="Arial"/>
          <w:color w:val="231F20"/>
          <w:sz w:val="20"/>
        </w:rPr>
        <w:t>the misappropriation of our proprietary information, including our trade secrets and know-how.</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OP-3136, or if it withdraws any such approval in the future, we may need to find alternative manufacturing facilities, which would significantly impact our ability to develop, obtain marketing approval for or market palazestrant or OP-3136,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OP-3136, or other drugs necessary for the development or commercialization of palazestrant and significantly harm our business, financial condition, results of operations, and prospects.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Furthermore, if the third-party providers of therapies or therapies in development used in combination with palazestrant or OP-3136 are unable to produce sufficient quantities for clinical trials or for commercialization of palazestrant or OP-3136, or if the cost of combination therapies are prohibitive, our development and commercialization efforts would be impaired, which would significantly harm our business, financial condition, results of operations, and prospects. For example, for our Phase 3 clinical trial of palazestrant in combination with ribociclib in ER+/HER2- frontline advanced or metastatic breast cancer, we entered into a Clinical Trial Collaboration and Supply Agreement (the 2024 Novartis Agreement), pursuant to which Novartis is manufacturing and supplying ribociclib. If Novartis is unable to timely manufacture or supply ribociclib, or if the 2024 Novartis Agreement terminates and we are unable to obtain ribociclib on comparable terms, our Phase 3 clinical trial may be delayed and our costs to conduct this trial may increase significantly. Either of these outcomes would materially harm our business, financial condition, results of operations, and prospects.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Our current and anticipated future dependence upon others for the manufacture of palazestrant, OP-3136, or other drugs necessary for the development or commercialization of palazestrant or OP-3136 may adversely affect our future profit margins and our ability to commercialize any product candidates that receive marketing approval, if any, on a timely and competitive basis.</w:t>
      </w:r>
    </w:p>
    <w:p>
      <w:pPr>
        <w:pStyle w:val="TextBody"/>
        <w:bidi w:val="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The manufacture of drugs is complex, and our third-party manufacturers may encounter difficulties in production. If any of our third-party manufacturers encounter such difficulties, our ability to provide adequate supply of palazestrant or OP-3136 for clinical trials or our products for patients, if approved, could be delayed or prevented.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 is discovered at the facilities of our manufacturer, such facilities may need to be closed for an extended period of time to investigate and remediate the contamination, which could delay our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if approved, as a result of these challenges, or otherwise, our development and commercialization efforts would be impaired, which would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pStyle w:val="TextBody"/>
        <w:bidi w:val="0"/>
        <w:spacing w:before="0" w:after="240"/>
        <w:jc w:val="both"/>
        <w:rPr>
          <w:rFonts w:ascii="Arial" w:hAnsi="Arial"/>
          <w:color w:val="000000"/>
          <w:sz w:val="20"/>
        </w:rPr>
      </w:pPr>
      <w:r>
        <w:rPr>
          <w:rFonts w:ascii="Arial" w:hAnsi="Arial"/>
          <w:color w:val="000000"/>
          <w:sz w:val="20"/>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increased operating expenses and cash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assumption of contingent liabilities;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issuance of our equity securities;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assimilation of operations, intellectual property and products of an acquired company, including difficulties associated with integrating new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diversion of our management’s attention from our existing programs and initiatives in pursuing such a strategic merger or acquisition;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retention of key employees, the loss of key personnel and uncertainties in our ability to maintain key business relationships;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risk of delay in receiving or the failure to receive anticipated benefits of any such transactions, or of facing unanticipated challenges;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risks and uncertainties associated with the other party to such a transaction, including the prospects of that party and their existing products or product candidates and marketing approvals;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0" w:after="240"/>
        <w:jc w:val="both"/>
        <w:rPr>
          <w:rFonts w:ascii="Times New Roman" w:hAnsi="Times New Roman"/>
          <w:sz w:val="20"/>
        </w:rPr>
      </w:pPr>
      <w:r>
        <w:rPr>
          <w:rFonts w:ascii="Arial" w:hAnsi="Arial"/>
          <w:color w:val="000000"/>
          <w:sz w:val="20"/>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240"/>
        <w:jc w:val="both"/>
        <w:rPr>
          <w:rFonts w:ascii="Arial" w:hAnsi="Arial"/>
          <w:b/>
          <w:i/>
          <w:color w:val="000000"/>
          <w:sz w:val="20"/>
        </w:rPr>
      </w:pPr>
      <w:r>
        <w:rPr>
          <w:rFonts w:ascii="Arial" w:hAnsi="Arial"/>
          <w:b/>
          <w:i/>
          <w:color w:val="000000"/>
          <w:sz w:val="20"/>
        </w:rPr>
        <w:t>We have entered into collaborations with third parties for the development and commercialization of palazestrant. If those collaborations are not successful, we may not be able to capitalize on the market potential of palazestrant.</w:t>
      </w:r>
    </w:p>
    <w:p>
      <w:pPr>
        <w:pStyle w:val="TextBody"/>
        <w:bidi w:val="0"/>
        <w:spacing w:before="0" w:after="240"/>
        <w:jc w:val="both"/>
        <w:rPr>
          <w:rFonts w:ascii="Arial" w:hAnsi="Arial"/>
          <w:color w:val="000000"/>
          <w:sz w:val="20"/>
        </w:rPr>
      </w:pPr>
      <w:r>
        <w:rPr>
          <w:rFonts w:ascii="Arial" w:hAnsi="Arial"/>
          <w:color w:val="000000"/>
          <w:sz w:val="20"/>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pStyle w:val="TextBody"/>
        <w:bidi w:val="0"/>
        <w:spacing w:before="0" w:after="240"/>
        <w:jc w:val="both"/>
        <w:rPr>
          <w:rFonts w:ascii="Arial" w:hAnsi="Arial"/>
          <w:color w:val="000000"/>
          <w:sz w:val="20"/>
        </w:rPr>
      </w:pPr>
      <w:r>
        <w:rPr>
          <w:rFonts w:ascii="Arial" w:hAnsi="Arial"/>
          <w:color w:val="000000"/>
          <w:sz w:val="20"/>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have significant discretion in determining the efforts and resources that they will apply to these collaborations and may not perform their obligations as expected;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de-emphasize or elect not to pursue development and commercialization of palazestrant or may choose not to continue or renew development or commercialization programs based on clinical trial results, changes in the collaborators’ strategic focus, including as a result of a sale or disposition of a business unit or development function, the availability of funding or external factors such as an acquisition that diverts resources or creates competing priorities;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not properly obtain, maintain, defend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property-related proceedings;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collaboration agreements may not lead to development or commercialization of product candidates in the most efficient manner or at all; and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before="0" w:after="240"/>
        <w:jc w:val="both"/>
        <w:rPr>
          <w:rFonts w:ascii="Arial" w:hAnsi="Arial"/>
          <w:b/>
          <w:i/>
          <w:color w:val="000000"/>
          <w:sz w:val="20"/>
        </w:rPr>
      </w:pPr>
      <w:r>
        <w:rPr>
          <w:rFonts w:ascii="Arial" w:hAnsi="Arial"/>
          <w:b/>
          <w:i/>
          <w:color w:val="000000"/>
          <w:sz w:val="20"/>
        </w:rPr>
        <w:t>If we decide to establish collaborations in the future but are not able to establish those collaborations on commercially reasonable terms or at all, we may have to alter our development and commercialization plans.</w:t>
      </w:r>
    </w:p>
    <w:p>
      <w:pPr>
        <w:pStyle w:val="TextBody"/>
        <w:bidi w:val="0"/>
        <w:spacing w:before="0" w:after="240"/>
        <w:jc w:val="both"/>
        <w:rPr>
          <w:rFonts w:ascii="Arial" w:hAnsi="Arial"/>
          <w:color w:val="000000"/>
          <w:sz w:val="20"/>
        </w:rPr>
      </w:pPr>
      <w:r>
        <w:rPr>
          <w:rFonts w:ascii="Arial" w:hAnsi="Arial"/>
          <w:color w:val="000000"/>
          <w:sz w:val="20"/>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240"/>
        <w:jc w:val="both"/>
        <w:rPr>
          <w:rFonts w:ascii="Arial" w:hAnsi="Arial"/>
          <w:color w:val="000000"/>
          <w:sz w:val="20"/>
        </w:rPr>
      </w:pPr>
      <w:r>
        <w:rPr>
          <w:rFonts w:ascii="Arial" w:hAnsi="Arial"/>
          <w:color w:val="000000"/>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jc w:val="both"/>
        <w:rPr>
          <w:rFonts w:ascii="Arial" w:hAnsi="Arial"/>
          <w:color w:val="000000"/>
          <w:sz w:val="20"/>
        </w:rPr>
      </w:pPr>
      <w:r>
        <w:rPr>
          <w:rFonts w:ascii="Arial" w:hAnsi="Arial"/>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0" w:after="240"/>
        <w:jc w:val="both"/>
        <w:rPr>
          <w:rFonts w:ascii="Arial" w:hAnsi="Arial"/>
          <w:color w:val="000000"/>
          <w:sz w:val="20"/>
        </w:rPr>
      </w:pPr>
      <w:r>
        <w:rPr>
          <w:rFonts w:ascii="Arial" w:hAnsi="Arial"/>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pStyle w:val="TextBody"/>
        <w:bidi w:val="0"/>
        <w:spacing w:before="0" w:after="240"/>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0" w:after="240"/>
        <w:jc w:val="both"/>
        <w:rPr>
          <w:rFonts w:ascii="Arial" w:hAnsi="Arial"/>
          <w:b/>
          <w:i/>
          <w:color w:val="000000"/>
          <w:sz w:val="20"/>
        </w:rPr>
      </w:pPr>
      <w:r>
        <w:rPr>
          <w:rFonts w:ascii="Arial" w:hAnsi="Arial"/>
          <w:b/>
          <w:i/>
          <w:color w:val="000000"/>
          <w:sz w:val="20"/>
        </w:rPr>
        <w:t>An active trading market for our common stock may not be sustained.</w:t>
      </w:r>
    </w:p>
    <w:p>
      <w:pPr>
        <w:pStyle w:val="TextBody"/>
        <w:bidi w:val="0"/>
        <w:spacing w:before="0" w:after="240"/>
        <w:jc w:val="both"/>
        <w:rPr>
          <w:rFonts w:ascii="Arial" w:hAnsi="Arial"/>
          <w:color w:val="000000"/>
          <w:sz w:val="20"/>
        </w:rPr>
      </w:pPr>
      <w:r>
        <w:rPr>
          <w:rFonts w:ascii="Arial" w:hAnsi="Arial"/>
          <w:color w:val="000000"/>
          <w:sz w:val="20"/>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The price of our stock has been and may continue to be volatile, and you could lose all or part of your investment.</w:t>
      </w:r>
    </w:p>
    <w:p>
      <w:pPr>
        <w:pStyle w:val="TextBody"/>
        <w:bidi w:val="0"/>
        <w:spacing w:before="0" w:after="240"/>
        <w:jc w:val="both"/>
        <w:rPr>
          <w:rFonts w:ascii="Arial" w:hAnsi="Arial"/>
          <w:color w:val="000000"/>
          <w:sz w:val="20"/>
        </w:rPr>
      </w:pPr>
      <w:r>
        <w:rPr>
          <w:rFonts w:ascii="Arial" w:hAnsi="Arial"/>
          <w:color w:val="000000"/>
          <w:sz w:val="20"/>
        </w:rPr>
        <w:t>The trading price of our common stock has been and may continue to be highly volatile and subject to wide fluctuations in response to various factors, some of which we cannot control. For example, the closing price of our common stock from January 1, 2024 to August 6, 2026 has ranged from a low of $3.06 to a high of $35.83.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0" w:after="240"/>
        <w:jc w:val="both"/>
        <w:rPr>
          <w:rFonts w:ascii="Arial" w:hAnsi="Arial"/>
          <w:color w:val="000000"/>
          <w:sz w:val="20"/>
        </w:rPr>
      </w:pPr>
      <w:r>
        <w:rPr>
          <w:rFonts w:ascii="Arial" w:hAnsi="Arial"/>
          <w:color w:val="000000"/>
          <w:sz w:val="20"/>
        </w:rPr>
        <w:t>Broad market and industry factors may negatively affect the market price of our common stock, regardless of our actual operating performance. In addition to the factors discussed in this “Risk Factors” section and elsewhere in this Quarterly Report, these factors include:</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the timing and results of non-clinical studies and clinical trials of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or those of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success of competitive products or announcements by potential competitors of their product development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actions with respect to our product candidates or our competitors’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our growth rate relative to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or legal developments in the United States and other countries;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developments or disputes concerning patent applications, issued patents or other proprietary rights;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recruitment or departure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announcements by us or our competitors of significant acquisitions, strategic collaborations, joint ventures, collaborations or capital commitments;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estimates as to financial results, development timelines or recommendations by securities analysts;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fluctuations in the valuation of companies perceived by investors to be comparable to us;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market conditions in the pharmaceutical and biotechnology sector;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the structure of healthcare payment systems;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share price and volume fluctuations attributable to inconsistent trading volume levels of our shares;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announcement or expectation of additional financing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sales of our common stock by us, our insiders or our other stockholders; and</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 xml:space="preserve">the geopolitical and macroeconomic environment, generally, including geopolitical and economic uncertainty, market volatility, labor shortages, </w:t>
      </w:r>
      <w:r>
        <w:rPr>
          <w:rFonts w:ascii="Arial" w:hAnsi="Arial"/>
          <w:color w:val="000000"/>
          <w:sz w:val="20"/>
        </w:rPr>
        <w:t>evolving trade and tariff policies</w:t>
      </w:r>
      <w:r>
        <w:rPr>
          <w:rFonts w:ascii="Arial" w:hAnsi="Arial"/>
          <w:color w:val="231F20"/>
          <w:sz w:val="20"/>
        </w:rPr>
        <w:t>, including related legal challenges, trade tensions, retaliatory measures by other countries, supply chain disruptions, military conflicts, as well as any related political or economic responses and counter-responses by various global actors, inflationary pressures, monetary supply shifts, increased recession risk, and related financial instability.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addition, the trading prices for common stock of biopharmaceutical companies, including ours, have been highly volatile as a result of factors unrelated to the specific company or its products or products candidates.</w:t>
      </w:r>
    </w:p>
    <w:p>
      <w:pPr>
        <w:pStyle w:val="TextBody"/>
        <w:bidi w:val="0"/>
        <w:jc w:val="both"/>
        <w:rPr>
          <w:rFonts w:ascii="Arial" w:hAnsi="Arial"/>
          <w:color w:val="000000"/>
          <w:sz w:val="20"/>
        </w:rPr>
      </w:pPr>
      <w:r>
        <w:rPr>
          <w:rFonts w:ascii="Arial" w:hAnsi="Arial"/>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0" w:after="240"/>
        <w:jc w:val="both"/>
        <w:rPr>
          <w:rFonts w:ascii="Arial" w:hAnsi="Arial"/>
          <w:b/>
          <w:i/>
          <w:color w:val="000000"/>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spacing w:before="0" w:after="240"/>
        <w:jc w:val="both"/>
        <w:rPr>
          <w:rFonts w:ascii="Arial" w:hAnsi="Arial"/>
          <w:color w:val="000000"/>
          <w:sz w:val="20"/>
        </w:rPr>
      </w:pPr>
      <w:r>
        <w:rPr>
          <w:rFonts w:ascii="Arial" w:hAnsi="Arial"/>
          <w:color w:val="000000"/>
          <w:sz w:val="20"/>
        </w:rPr>
        <w:t>We expect our operating results to be subject to quarterly fluctuations. Our net loss and other operating results will be affected by numerous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variations in the level of expense related to the ongoing development of palazestrant, OP-3136, or future development programs;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status of enrollment for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impacts from geopolitical and macroeconomic events on us or third parties with which we engage;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results of clinical trials, or the addition or termination of clinical trials or funding support by us or potential future partners;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execution of any collaboration, licensing or similar arrangements, and the timing of payments we may make or receive under potential future arrangements or the termination or modification of any such potential future arrangements;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intellectual property infringement, misappropriation or violation lawsuit or opposition, interference or cancellation proceeding in which we may become involved;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additions and departures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strategic decisions by us or our competitors, such as acquisitions, divestitures, spin-offs, joint ventures, strategic investments or changes in business strategy;</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if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receive regulatory approval, the timing and terms of such approval and market acceptance and demand for such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regulatory developments affecting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or those of our competitors;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general market and economic conditions.</w:t>
      </w:r>
    </w:p>
    <w:p>
      <w:pPr>
        <w:pStyle w:val="TextBody"/>
        <w:bidi w:val="0"/>
        <w:spacing w:before="0" w:after="240"/>
        <w:jc w:val="both"/>
        <w:rPr>
          <w:rFonts w:ascii="Arial" w:hAnsi="Arial"/>
          <w:color w:val="000000"/>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0" w:after="240"/>
        <w:jc w:val="both"/>
        <w:rPr>
          <w:rFonts w:ascii="Arial" w:hAnsi="Arial"/>
          <w:b/>
          <w:i/>
          <w:color w:val="000000"/>
          <w:sz w:val="20"/>
        </w:rPr>
      </w:pPr>
      <w:r>
        <w:rPr>
          <w:rFonts w:ascii="Arial" w:hAnsi="Arial"/>
          <w:b/>
          <w:i/>
          <w:color w:val="000000"/>
          <w:sz w:val="20"/>
        </w:rPr>
        <w:t>Our principal stockholders and management own a significant percentage of our stock and will be able to exert significant control over matters subject to stockholder approval.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240"/>
        <w:jc w:val="both"/>
        <w:rPr>
          <w:rFonts w:ascii="Arial" w:hAnsi="Arial"/>
          <w:b/>
          <w:i/>
          <w:color w:val="000000"/>
          <w:sz w:val="20"/>
        </w:rPr>
      </w:pPr>
      <w:r>
        <w:rPr>
          <w:rFonts w:ascii="Arial" w:hAnsi="Arial"/>
          <w:b/>
          <w:i/>
          <w:color w:val="000000"/>
          <w:sz w:val="20"/>
        </w:rPr>
        <w:t>Sales of a substantial number of shares of our common stock in the public market could cause our stock price to fall.</w:t>
      </w:r>
    </w:p>
    <w:p>
      <w:pPr>
        <w:pStyle w:val="TextBody"/>
        <w:bidi w:val="0"/>
        <w:spacing w:before="0" w:after="240"/>
        <w:jc w:val="both"/>
        <w:rPr>
          <w:rFonts w:ascii="Arial" w:hAnsi="Arial"/>
          <w:color w:val="000000"/>
          <w:sz w:val="20"/>
        </w:rPr>
      </w:pPr>
      <w:r>
        <w:rPr>
          <w:rFonts w:ascii="Arial" w:hAnsi="Arial"/>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jc w:val="both"/>
        <w:rPr>
          <w:rFonts w:ascii="Arial" w:hAnsi="Arial"/>
          <w:color w:val="000000"/>
          <w:sz w:val="20"/>
        </w:rPr>
      </w:pPr>
      <w:r>
        <w:rPr>
          <w:rFonts w:ascii="Arial" w:hAnsi="Arial"/>
          <w:color w:val="000000"/>
          <w:sz w:val="20"/>
        </w:rPr>
        <w:t>As of August 6, 2026, we had 87,497,607 shares of common stock and pre-funded warrants to purchase up to 13,594,149 shares of common stock outstanding (which are immediately exercisable at an exercise price of $0.0001 per share of common stock, subject to beneficial ownership limitations). Refer to Notes 2 and 12 of our notes to the condensed consolidated financial statements contained in this Quarterly Report for further information regarding the pre-funded warrants. Shares issued upon the exercise of any such pre-funded warrants as well as stock options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bidi w:val="0"/>
        <w:spacing w:before="80" w:after="283"/>
        <w:jc w:val="both"/>
        <w:rPr/>
      </w:pPr>
      <w:r>
        <w:rPr/>
        <w:t> </w:t>
      </w:r>
    </w:p>
    <w:p>
      <w:pPr>
        <w:pStyle w:val="TextBody"/>
        <w:bidi w:val="0"/>
        <w:spacing w:before="0" w:after="240"/>
        <w:jc w:val="both"/>
        <w:rPr>
          <w:rFonts w:ascii="Arial" w:hAnsi="Arial"/>
          <w:color w:val="000000"/>
          <w:sz w:val="20"/>
        </w:rPr>
      </w:pPr>
      <w:r>
        <w:rPr>
          <w:rFonts w:ascii="Arial" w:hAnsi="Arial"/>
          <w:color w:val="000000"/>
          <w:sz w:val="20"/>
        </w:rPr>
        <w:t>We were obligated to file registration statements with the SEC to register all of the shares, including shares issuable upon the exercise of pre-funded warrants, issued in each of our private placement transactions for public resale, and are required to maintain effectiveness of both registration statements until the earliest of (i) the second anniversary of the effective date of such registration statement, (ii) such time as all of the shares issued in such private placement have been sold pursuant to such registration statement, or (iii) such time as the shares issued in such private placement become eligible for resale by non-affiliates without any volume limitations or other restrictions pursuant to Rule 144(b)(1)(i) under the Securities Act or any other rule of similar effect. In December 2025, we filed an automatic shelf registration statement pursuant to which we may offer and sell shares from time to time, including the shares of common stock pursuant to our at-the-market offering program currently in place.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bidi w:val="0"/>
        <w:spacing w:before="0" w:after="240"/>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Raising additional capital may cause dilution to our existing stockholders, restrict our operations or require us to relinquish rights to palazestrant, OP-3136 or future product candidates we may develop on unfavorable terms to us.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We have in the past, and may again in the future seek additional capital through a variety of means, including public or private equity offerings, debt financings or other sources, including up-front payments and milestone payments from strategic collaborations. For example, in November 2025, we completed a public offering of 11,500,000 shares of our common stock, at a public offering price of $19.00 per share, including 1,500,000 shares sold pursuant to the underwriters’ full exercise of their option to purchase additional shares. In addition, in January 2025, we terminated our previous sales agreement with Cowen and Company (the 2024 Sales Agreement) and entered into a new sales agreement with TD Cowen (as amended from time to time, the 2025 Sales Agreement), pursuant to which we may offer and sell, from time to time through TD Cowen, at our option, shares of our common stock having an aggregate offering price of up to $150.0 million. On December 11, 2025, we entered into Amendment No. 1 to the 2025 Sales Agreement, which increased the maximum aggregate offering price under the at-the-market offering program to $200.0 million. To the extent that we raise additional capital through the sale of equity or convertible debt or equity securities, including pursuant to sales under the 2025 Sales Agreement, your ownership interest will be diluted, our stock price could fall and the terms of such securities may include liquidation or other preferences that adversely affect your rights as a stockholder. Future financing activities may result in dilution to stockholders, the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OP-3136,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For as long as we qualify as a “smaller reporting company” within the meaning of the Exchange Act, we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color w:val="000000"/>
          <w:sz w:val="20"/>
        </w:rPr>
      </w:pPr>
      <w:r>
        <w:rPr>
          <w:rFonts w:ascii="Arial" w:hAnsi="Arial"/>
          <w:color w:val="000000"/>
          <w:sz w:val="20"/>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2025, we qualify as a “smaller reporting company” as defined in the Exchange Act. However, based on the market value of our voting and non-voting common stock held by non-affiliates as of the end of our second fiscal quarter for the year ending December 31, 2026, we expect that we will no longer qualify as a smaller reporting company. For as long as we remain a smaller reporting company, we may take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Once we no longer qualify as a smaller reporting company, we will be subject to increased disclosure and compliance obligations. The loss of smaller reporting company status and compliance with such additional obligations may increase our legal, accounting and financial compliance costs and cause management and other personnel to divert attention from operational and other business matters to devote additional time to public company reporting requirements.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New or future changes to tax laws could materially adversely affect our Company.</w:t>
      </w:r>
    </w:p>
    <w:p>
      <w:pPr>
        <w:pStyle w:val="TextBody"/>
        <w:bidi w:val="0"/>
        <w:spacing w:before="0" w:after="240"/>
        <w:jc w:val="both"/>
        <w:rPr>
          <w:rFonts w:ascii="Times New Roman" w:hAnsi="Times New Roman"/>
          <w:sz w:val="20"/>
        </w:rPr>
      </w:pPr>
      <w:r>
        <w:rPr>
          <w:rFonts w:ascii="Arial" w:hAnsi="Arial"/>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The OBBBA, the IRA, the Coronavirus Aid, Relief, and Economic Security Act and legislation commonly referred to as the Tax Cuts and Jobs Act made many significant changes to the U.S. tax laws. For example, the IRA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i/>
          <w:color w:val="000000"/>
          <w:sz w:val="20"/>
        </w:rPr>
        <w:t>Tax authorities may disagree with our positions and conclusions regarding certain tax positions, resulting in unanticipated costs, taxes or non-realization of expected benefits.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may materially and adversely impact our operating activities, effective tax rate, deferred tax assets, operating income, and cash flows.</w:t>
      </w:r>
    </w:p>
    <w:p>
      <w:pPr>
        <w:pStyle w:val="TextBody"/>
        <w:bidi w:val="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 classified Board of Directors such that not all members of our Board of Directors are elected at one time;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allow the authorized number of our directors to be changed only by resolution of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limit the manner in which stockholders can remove directors from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color w:val="000000"/>
          <w:sz w:val="20"/>
        </w:rPr>
      </w:pPr>
      <w:r>
        <w:rPr>
          <w:rFonts w:ascii="Arial" w:hAnsi="Arial"/>
          <w:color w:val="000000"/>
          <w:sz w:val="20"/>
        </w:rPr>
        <w:t>prohibit our stockholders from calling a special meeting of our stockholders;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cumulative voting;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amended and restated certificate of incorporations or amended and restated bylaws.</w:t>
      </w:r>
    </w:p>
    <w:p>
      <w:pPr>
        <w:pStyle w:val="TextBody"/>
        <w:bidi w:val="0"/>
        <w:spacing w:before="0" w:after="240"/>
        <w:jc w:val="both"/>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40"/>
        <w:jc w:val="both"/>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derivative action or proceeding brought on our behalf;</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of breach of fiduciary duty;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arising under the DGCL, our amended and restated certificate of incorporation or our amended and restated bylaws;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that is governed by the internal-affairs doctrine or otherwise related to our internal affairs.</w:t>
      </w:r>
    </w:p>
    <w:p>
      <w:pPr>
        <w:pStyle w:val="TextBody"/>
        <w:bidi w:val="0"/>
        <w:spacing w:before="0" w:after="240"/>
        <w:jc w:val="both"/>
        <w:rPr>
          <w:rFonts w:ascii="Arial" w:hAnsi="Arial"/>
          <w:color w:val="000000"/>
          <w:sz w:val="20"/>
        </w:rPr>
      </w:pPr>
      <w:r>
        <w:rPr>
          <w:rFonts w:ascii="Arial" w:hAnsi="Arial"/>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do not currently intend to pay dividends on our common stock and, consequently, your ability to achieve a return on your investment will depend on appreciation of the value of our common stock.</w:t>
      </w:r>
    </w:p>
    <w:p>
      <w:pPr>
        <w:pStyle w:val="TextBody"/>
        <w:bidi w:val="0"/>
        <w:spacing w:before="0" w:after="240"/>
        <w:jc w:val="both"/>
        <w:rPr>
          <w:rFonts w:ascii="Arial" w:hAnsi="Arial"/>
          <w:color w:val="000000"/>
          <w:sz w:val="20"/>
        </w:rPr>
      </w:pPr>
      <w:r>
        <w:rPr>
          <w:rFonts w:ascii="Arial" w:hAnsi="Arial"/>
          <w:color w:val="000000"/>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pStyle w:val="TextBody"/>
        <w:bidi w:val="0"/>
        <w:spacing w:before="0" w:after="240"/>
        <w:jc w:val="both"/>
        <w:rPr>
          <w:rFonts w:ascii="Arial" w:hAnsi="Arial"/>
          <w:b/>
          <w:color w:val="000000"/>
          <w:sz w:val="20"/>
        </w:rPr>
      </w:pPr>
      <w:r>
        <w:rPr>
          <w:rFonts w:ascii="Arial" w:hAnsi="Arial"/>
          <w:b/>
          <w:color w:val="000000"/>
          <w:sz w:val="20"/>
        </w:rPr>
        <w:t>General risk factors</w:t>
      </w:r>
    </w:p>
    <w:p>
      <w:pPr>
        <w:pStyle w:val="TextBody"/>
        <w:bidi w:val="0"/>
        <w:spacing w:before="0" w:after="240"/>
        <w:jc w:val="both"/>
        <w:rPr>
          <w:rFonts w:ascii="Arial" w:hAnsi="Arial"/>
          <w:b/>
          <w:i/>
          <w:color w:val="000000"/>
          <w:sz w:val="20"/>
        </w:rPr>
      </w:pPr>
      <w:r>
        <w:rPr>
          <w:rFonts w:ascii="Arial" w:hAnsi="Arial"/>
          <w:b/>
          <w:i/>
          <w:color w:val="000000"/>
          <w:sz w:val="20"/>
        </w:rPr>
        <w:t>The requirements of being a public company may strain our resources, result in more litigation and divert management’s attention.</w:t>
      </w:r>
    </w:p>
    <w:p>
      <w:pPr>
        <w:pStyle w:val="TextBody"/>
        <w:bidi w:val="0"/>
        <w:spacing w:before="0" w:after="240"/>
        <w:jc w:val="both"/>
        <w:rPr>
          <w:rFonts w:ascii="Arial" w:hAnsi="Arial"/>
          <w:color w:val="000000"/>
          <w:sz w:val="20"/>
        </w:rPr>
      </w:pPr>
      <w:r>
        <w:rPr>
          <w:rFonts w:ascii="Arial" w:hAnsi="Arial"/>
          <w:color w:val="000000"/>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certain activities more difficult, time-consuming or costly and increase demands on our systems and resources. The Exchange Act requires, among other things, that we file annual, quarterly and current reports regarding our business and operating results. The Sarbanes-Oxley Act requires, among other things, that we maintain effective disclosure controls and procedures and internal control over financial reporting. We are also required to disclose, on a quarterly basis, any changes made to our internal control and procedures.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0" w:after="240"/>
        <w:jc w:val="both"/>
        <w:rPr>
          <w:rFonts w:ascii="Arial" w:hAnsi="Arial"/>
          <w:color w:val="000000"/>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certain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jc w:val="both"/>
        <w:rPr>
          <w:rFonts w:ascii="Arial" w:hAnsi="Arial"/>
          <w:color w:val="000000"/>
          <w:sz w:val="20"/>
        </w:rPr>
      </w:pPr>
      <w:r>
        <w:rPr>
          <w:rFonts w:ascii="Arial" w:hAnsi="Arial"/>
          <w:color w:val="000000"/>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Any such claims or litigation could result in substantial costs, and the time and resources needed to resolve them could divert our management’s attention and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40"/>
        <w:jc w:val="both"/>
        <w:rPr>
          <w:rFonts w:ascii="Arial" w:hAnsi="Arial"/>
          <w:color w:val="000000"/>
          <w:sz w:val="20"/>
        </w:rPr>
      </w:pPr>
      <w:r>
        <w:rPr>
          <w:rFonts w:ascii="Arial" w:hAnsi="Arial"/>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bidi w:val="0"/>
        <w:spacing w:before="0" w:after="240"/>
        <w:jc w:val="both"/>
        <w:rPr>
          <w:rFonts w:ascii="Arial" w:hAnsi="Arial"/>
          <w:b/>
          <w:i/>
          <w:color w:val="000000"/>
          <w:sz w:val="20"/>
        </w:rPr>
      </w:pPr>
      <w:r>
        <w:rPr>
          <w:rFonts w:ascii="Arial" w:hAnsi="Arial"/>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0" w:after="240"/>
        <w:jc w:val="both"/>
        <w:rPr>
          <w:rFonts w:ascii="Arial" w:hAnsi="Arial"/>
          <w:color w:val="000000"/>
          <w:sz w:val="20"/>
        </w:rPr>
      </w:pPr>
      <w:r>
        <w:rPr>
          <w:rFonts w:ascii="Arial" w:hAnsi="Arial"/>
          <w:color w:val="000000"/>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240"/>
        <w:jc w:val="both"/>
        <w:rPr>
          <w:rFonts w:ascii="Arial" w:hAnsi="Arial"/>
          <w:b/>
          <w:i/>
          <w:color w:val="000000"/>
          <w:sz w:val="20"/>
        </w:rPr>
      </w:pPr>
      <w:r>
        <w:rPr>
          <w:rFonts w:ascii="Arial" w:hAnsi="Arial"/>
          <w:b/>
          <w:i/>
          <w:color w:val="000000"/>
          <w:sz w:val="20"/>
        </w:rPr>
        <w:t>Our disclosure controls and procedures may not prevent or detect all errors or acts of fraud.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0" w:after="240"/>
        <w:jc w:val="both"/>
        <w:rPr>
          <w:rFonts w:ascii="Arial" w:hAnsi="Arial"/>
          <w:color w:val="000000"/>
          <w:sz w:val="20"/>
        </w:rPr>
      </w:pPr>
      <w:r>
        <w:rPr>
          <w:rFonts w:ascii="Arial" w:hAnsi="Arial"/>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spacing w:before="240" w:after="283"/>
        <w:jc w:val="both"/>
        <w:rPr>
          <w:rFonts w:ascii="Arial" w:hAnsi="Arial"/>
          <w:color w:val="000000"/>
          <w:sz w:val="20"/>
        </w:rPr>
      </w:pPr>
      <w:bookmarkStart w:id="16" w:name="item2unregisteredsalesofequitysecurities"/>
      <w:bookmarkEnd w:id="16"/>
      <w:r>
        <w:rPr>
          <w:rFonts w:ascii="Arial" w:hAnsi="Arial"/>
          <w:color w:val="000000"/>
          <w:sz w:val="20"/>
        </w:rPr>
        <w:t>Item 2. Unregistered Sales of Equity Securities and Use of Proceeds.</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There were no sales of equity securities during the period covered by this report that were not registered under the Securities Act and were not previously reported in a Current Report on Form 8-K filed by the Company.</w:t>
      </w:r>
    </w:p>
    <w:p>
      <w:pPr>
        <w:pStyle w:val="TextBody"/>
        <w:bidi w:val="0"/>
        <w:spacing w:before="240" w:after="283"/>
        <w:jc w:val="both"/>
        <w:rPr>
          <w:rFonts w:ascii="Arial" w:hAnsi="Arial"/>
          <w:b/>
          <w:color w:val="000000"/>
          <w:sz w:val="20"/>
        </w:rPr>
      </w:pPr>
      <w:r>
        <w:rPr>
          <w:rFonts w:ascii="Arial" w:hAnsi="Arial"/>
          <w:b/>
          <w:color w:val="000000"/>
          <w:sz w:val="20"/>
        </w:rPr>
        <w:t>Repurchase of Shares of Company Equity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Heading1"/>
        <w:bidi w:val="0"/>
        <w:spacing w:before="240" w:after="283"/>
        <w:jc w:val="both"/>
        <w:rPr>
          <w:rFonts w:ascii="Arial" w:hAnsi="Arial"/>
          <w:color w:val="000000"/>
          <w:sz w:val="20"/>
        </w:rPr>
      </w:pPr>
      <w:bookmarkStart w:id="17" w:name="item3defaultsuponseniorsecurities_285444"/>
      <w:bookmarkEnd w:id="17"/>
      <w:r>
        <w:rPr>
          <w:rFonts w:ascii="Arial" w:hAnsi="Arial"/>
          <w:color w:val="000000"/>
          <w:sz w:val="20"/>
        </w:rPr>
        <w:t>Item 3. Defaults Upon Senior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Heading1"/>
        <w:bidi w:val="0"/>
        <w:spacing w:before="240" w:after="283"/>
        <w:jc w:val="both"/>
        <w:rPr>
          <w:rFonts w:ascii="Arial" w:hAnsi="Arial"/>
          <w:color w:val="000000"/>
          <w:sz w:val="20"/>
        </w:rPr>
      </w:pPr>
      <w:bookmarkStart w:id="18" w:name="item4minesafetydisclosures_363877"/>
      <w:bookmarkEnd w:id="18"/>
      <w:r>
        <w:rPr>
          <w:rFonts w:ascii="Arial" w:hAnsi="Arial"/>
          <w:color w:val="000000"/>
          <w:sz w:val="20"/>
        </w:rPr>
        <w:t>Item 4. Mine Safety Disclosures.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Heading1"/>
        <w:bidi w:val="0"/>
        <w:spacing w:before="240" w:after="283"/>
        <w:jc w:val="both"/>
        <w:rPr>
          <w:rFonts w:ascii="Arial" w:hAnsi="Arial"/>
          <w:color w:val="000000"/>
          <w:sz w:val="20"/>
        </w:rPr>
      </w:pPr>
      <w:bookmarkStart w:id="19" w:name="item5otherinformation"/>
      <w:bookmarkEnd w:id="19"/>
      <w:r>
        <w:rPr>
          <w:rFonts w:ascii="Arial" w:hAnsi="Arial"/>
          <w:color w:val="000000"/>
          <w:sz w:val="20"/>
        </w:rPr>
        <w:t>Item 5. Other Information.</w:t>
      </w:r>
    </w:p>
    <w:p>
      <w:pPr>
        <w:pStyle w:val="TextBody"/>
        <w:bidi w:val="0"/>
        <w:spacing w:before="0" w:after="160"/>
        <w:jc w:val="left"/>
        <w:rPr/>
      </w:pPr>
      <w:r>
        <w:rPr/>
        <w:t> </w:t>
      </w:r>
    </w:p>
    <w:p>
      <w:pPr>
        <w:pStyle w:val="TextBody"/>
        <w:bidi w:val="0"/>
        <w:spacing w:before="0" w:after="160"/>
        <w:jc w:val="both"/>
        <w:rPr>
          <w:rFonts w:ascii="Times New Roman" w:hAnsi="Times New Roman"/>
          <w:sz w:val="20"/>
        </w:rPr>
      </w:pPr>
      <w:r>
        <w:rPr>
          <w:rFonts w:ascii="Arial" w:hAnsi="Arial"/>
          <w:color w:val="000000"/>
          <w:sz w:val="20"/>
        </w:rPr>
        <w:t>During the fiscal quarter ended June 30, 2026, no director or officer (as defined in Rule 16a-1(f) under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any Rule 10b5-1 trading arrangement or non-Rule 10b5-1 trading arrangement, as such terms are defined in Item 408(a) of Regulation S-K under the Exchange Act.</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jc w:val="left"/>
        <w:rPr>
          <w:rFonts w:ascii="Arial" w:hAnsi="Arial"/>
          <w:color w:val="000000"/>
          <w:sz w:val="20"/>
        </w:rPr>
      </w:pPr>
      <w:bookmarkStart w:id="20" w:name="item6exhibits_686387"/>
      <w:bookmarkEnd w:id="20"/>
      <w:r>
        <w:rPr>
          <w:rFonts w:ascii="Arial" w:hAnsi="Arial"/>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65"/>
        <w:gridCol w:w="5754"/>
        <w:gridCol w:w="976"/>
        <w:gridCol w:w="1058"/>
        <w:gridCol w:w="766"/>
        <w:gridCol w:w="786"/>
      </w:tblGrid>
      <w:tr>
        <w:trPr/>
        <w:tc>
          <w:tcPr>
            <w:tcW w:w="865" w:type="dxa"/>
            <w:tcBorders/>
            <w:vAlign w:val="center"/>
          </w:tcPr>
          <w:p>
            <w:pPr>
              <w:pStyle w:val="TableContents"/>
              <w:bidi w:val="0"/>
              <w:spacing w:before="0" w:after="283"/>
              <w:jc w:val="left"/>
              <w:rPr>
                <w:sz w:val="4"/>
                <w:szCs w:val="4"/>
              </w:rPr>
            </w:pPr>
            <w:r>
              <w:rPr>
                <w:sz w:val="4"/>
                <w:szCs w:val="4"/>
              </w:rPr>
            </w:r>
          </w:p>
        </w:tc>
        <w:tc>
          <w:tcPr>
            <w:tcW w:w="575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5754" w:type="dxa"/>
            <w:tcBorders/>
            <w:tcMar>
              <w:top w:w="0" w:type="dxa"/>
              <w:left w:w="0" w:type="dxa"/>
              <w:bottom w:w="0" w:type="dxa"/>
              <w:right w:w="0" w:type="dxa"/>
            </w:tcMar>
            <w:vAlign w:val="center"/>
          </w:tcPr>
          <w:p>
            <w:pPr>
              <w:pStyle w:val="TableContents"/>
              <w:bidi w:val="0"/>
              <w:spacing w:before="0" w:after="283"/>
              <w:jc w:val="left"/>
              <w:rPr/>
            </w:pPr>
            <w:r>
              <w:rPr/>
              <w:t> </w:t>
            </w:r>
          </w:p>
        </w:tc>
        <w:tc>
          <w:tcPr>
            <w:tcW w:w="3586"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5"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br/>
              <w:t>Number</w:t>
            </w:r>
          </w:p>
        </w:tc>
        <w:tc>
          <w:tcPr>
            <w:tcW w:w="5754"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Schedule</w:t>
              <w:br/>
              <w:t>Form</w:t>
            </w:r>
          </w:p>
        </w:tc>
        <w:tc>
          <w:tcPr>
            <w:tcW w:w="105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Number</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7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w:t>
              <w:br/>
              <w:t>Date</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5754" w:type="dxa"/>
            <w:tcBorders/>
            <w:tcMar>
              <w:top w:w="0" w:type="dxa"/>
              <w:left w:w="0" w:type="dxa"/>
              <w:bottom w:w="0" w:type="dxa"/>
              <w:right w:w="0" w:type="dxa"/>
            </w:tcMar>
            <w:vAlign w:val="center"/>
          </w:tcPr>
          <w:p>
            <w:pPr>
              <w:pStyle w:val="TableContents"/>
              <w:bidi w:val="0"/>
              <w:jc w:val="left"/>
              <w:rPr/>
            </w:pPr>
            <w:hyperlink r:id="rId2">
              <w:r>
                <w:rPr>
                  <w:rStyle w:val="InternetLink"/>
                  <w:rFonts w:ascii="Arial" w:hAnsi="Arial"/>
                  <w:color w:val="0000FF"/>
                  <w:sz w:val="20"/>
                  <w:u w:val="single"/>
                </w:rPr>
                <w:t>Amended and Restated Certificate of Incorporation.</w:t>
              </w:r>
            </w:hyperlink>
          </w:p>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5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7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11/23/2020</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5754" w:type="dxa"/>
            <w:tcBorders/>
            <w:tcMar>
              <w:top w:w="0" w:type="dxa"/>
              <w:left w:w="0" w:type="dxa"/>
              <w:bottom w:w="0" w:type="dxa"/>
              <w:right w:w="0" w:type="dxa"/>
            </w:tcMar>
            <w:vAlign w:val="center"/>
          </w:tcPr>
          <w:p>
            <w:pPr>
              <w:pStyle w:val="TableContents"/>
              <w:bidi w:val="0"/>
              <w:jc w:val="left"/>
              <w:rPr/>
            </w:pPr>
            <w:hyperlink r:id="rId3">
              <w:r>
                <w:rPr>
                  <w:rStyle w:val="InternetLink"/>
                  <w:rFonts w:ascii="Arial" w:hAnsi="Arial"/>
                  <w:color w:val="0000FF"/>
                  <w:sz w:val="20"/>
                  <w:u w:val="single"/>
                </w:rPr>
                <w:t>Amended and Restated Bylaws.</w:t>
              </w:r>
            </w:hyperlink>
          </w:p>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5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7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12/16/2022</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5754" w:type="dxa"/>
            <w:tcBorders/>
            <w:tcMar>
              <w:top w:w="0" w:type="dxa"/>
              <w:left w:w="0" w:type="dxa"/>
              <w:bottom w:w="0" w:type="dxa"/>
              <w:right w:w="0" w:type="dxa"/>
            </w:tcMar>
            <w:vAlign w:val="center"/>
          </w:tcPr>
          <w:p>
            <w:pPr>
              <w:pStyle w:val="TableContents"/>
              <w:bidi w:val="0"/>
              <w:jc w:val="left"/>
              <w:rPr/>
            </w:pPr>
            <w:hyperlink r:id="rId4">
              <w:r>
                <w:rPr>
                  <w:rStyle w:val="InternetLink"/>
                  <w:rFonts w:ascii="Arial" w:hAnsi="Arial"/>
                  <w:color w:val="0000FF"/>
                  <w:sz w:val="20"/>
                  <w:u w:val="single"/>
                </w:rPr>
                <w:t>Olema Pharmaceuticals, Inc. Amended and Restated Non-Employee Director Compensation Policy.</w:t>
              </w:r>
            </w:hyperlink>
          </w:p>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05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w:t>
            </w:r>
          </w:p>
        </w:tc>
        <w:tc>
          <w:tcPr>
            <w:tcW w:w="7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05/12/2026</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5754" w:type="dxa"/>
            <w:tcBorders/>
            <w:tcMar>
              <w:top w:w="0" w:type="dxa"/>
              <w:left w:w="0" w:type="dxa"/>
              <w:bottom w:w="0" w:type="dxa"/>
              <w:right w:w="0" w:type="dxa"/>
            </w:tcMar>
            <w:vAlign w:val="center"/>
          </w:tcPr>
          <w:p>
            <w:pPr>
              <w:pStyle w:val="TableContents"/>
              <w:bidi w:val="0"/>
              <w:jc w:val="left"/>
              <w:rPr/>
            </w:pPr>
            <w:hyperlink r:id="rId5">
              <w:r>
                <w:rPr>
                  <w:rStyle w:val="InternetLink"/>
                  <w:rFonts w:ascii="Arial" w:hAnsi="Arial"/>
                  <w:color w:val="0000FF"/>
                  <w:sz w:val="20"/>
                  <w:u w:val="single"/>
                </w:rPr>
                <w:t>Lease Agreement, dated April 27, 2026, between KR Oyster Point II, LLC and Olema Pharmaceuticals, Inc.</w:t>
              </w:r>
            </w:hyperlink>
            <w:hyperlink r:id="rId6">
              <w:r>
                <w:rPr>
                  <w:rStyle w:val="InternetLink"/>
                  <w:rFonts w:ascii="Times New Roman" w:hAnsi="Times New Roman"/>
                  <w:color w:val="0000FF"/>
                  <w:sz w:val="20"/>
                </w:rPr>
                <w:t xml:space="preserve"> </w:t>
              </w:r>
            </w:hyperlink>
          </w:p>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058"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w:t>
              <w:noBreakHyphen/>
              <w:t>39712</w:t>
            </w:r>
          </w:p>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786" w:type="dxa"/>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05/12/2026</w:t>
            </w:r>
          </w:p>
          <w:p>
            <w:pPr>
              <w:pStyle w:val="TableContents"/>
              <w:bidi w:val="0"/>
              <w:spacing w:before="0" w:after="283"/>
              <w:jc w:val="center"/>
              <w:rPr/>
            </w:pPr>
            <w:r>
              <w:rPr/>
              <w:t> </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5754" w:type="dxa"/>
            <w:tcBorders/>
            <w:tcMar>
              <w:top w:w="0" w:type="dxa"/>
              <w:left w:w="0" w:type="dxa"/>
              <w:bottom w:w="0" w:type="dxa"/>
              <w:right w:w="0" w:type="dxa"/>
            </w:tcMar>
            <w:vAlign w:val="center"/>
          </w:tcPr>
          <w:p>
            <w:pPr>
              <w:pStyle w:val="TableContents"/>
              <w:bidi w:val="0"/>
              <w:spacing w:before="0" w:after="283"/>
              <w:jc w:val="left"/>
              <w:rPr/>
            </w:pPr>
            <w:hyperlink w:anchor="olma-ex10_3.htm">
              <w:r>
                <w:rPr>
                  <w:rStyle w:val="InternetLink"/>
                  <w:rFonts w:ascii="Arial" w:hAnsi="Arial"/>
                  <w:color w:val="0000FF"/>
                  <w:sz w:val="20"/>
                  <w:u w:val="single"/>
                </w:rPr>
                <w:t>Fourth Amendment to Loan and Security Agreement, dated July 1, 2026, between Silicon Valley Bank and Olema Pharmaceuticals, Inc.</w:t>
              </w:r>
            </w:hyperlink>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5754" w:type="dxa"/>
            <w:tcBorders/>
            <w:tcMar>
              <w:top w:w="0" w:type="dxa"/>
              <w:left w:w="0" w:type="dxa"/>
              <w:bottom w:w="0" w:type="dxa"/>
              <w:right w:w="0" w:type="dxa"/>
            </w:tcMar>
            <w:vAlign w:val="center"/>
          </w:tcPr>
          <w:p>
            <w:pPr>
              <w:pStyle w:val="TableContents"/>
              <w:bidi w:val="0"/>
              <w:jc w:val="left"/>
              <w:rPr/>
            </w:pPr>
            <w:hyperlink w:anchor="olma-ex31_1.htm">
              <w:r>
                <w:rPr>
                  <w:rStyle w:val="InternetLink"/>
                  <w:rFonts w:ascii="Arial" w:hAnsi="Arial"/>
                  <w:color w:val="0000FF"/>
                  <w:sz w:val="20"/>
                  <w:u w:val="single"/>
                </w:rPr>
                <w:t>Certification of Principal Executive Officer and Principal Financial Officer Pursuant to Rules 13a</w:t>
                <w:noBreakHyphen/>
                <w:t>14(a) and 15d</w:t>
                <w:noBreakHyphen/>
                <w:t>14(a) under the Securities Exchange Act of 1934, as Adopted Pursuant to Section 302 of the Sarbanes-Oxley Act of 2002.</w:t>
              </w:r>
            </w:hyperlink>
          </w:p>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5754" w:type="dxa"/>
            <w:tcBorders/>
            <w:tcMar>
              <w:top w:w="0" w:type="dxa"/>
              <w:left w:w="0" w:type="dxa"/>
              <w:bottom w:w="0" w:type="dxa"/>
              <w:right w:w="0" w:type="dxa"/>
            </w:tcMar>
            <w:vAlign w:val="center"/>
          </w:tcPr>
          <w:p>
            <w:pPr>
              <w:pStyle w:val="TableContents"/>
              <w:bidi w:val="0"/>
              <w:jc w:val="left"/>
              <w:rPr/>
            </w:pPr>
            <w:hyperlink w:anchor="olma-ex32_1.htm">
              <w:r>
                <w:rPr>
                  <w:rStyle w:val="InternetLink"/>
                  <w:rFonts w:ascii="Arial" w:hAnsi="Arial"/>
                  <w:color w:val="0000FF"/>
                  <w:sz w:val="20"/>
                  <w:u w:val="single"/>
                </w:rPr>
                <w:t>Certification of Principal Executive Officer and Principal Financial Officer Pursuant to 18 U.S.C. Section 1350, as Adopted Pursuant to Section 906 of the Sarbanes-Oxley Act of 2002.</w:t>
              </w:r>
            </w:hyperlink>
          </w:p>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5754"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5754"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Inline XBRL Taxonomy Extension Schema With Embedded Linkbase Documents</w:t>
            </w:r>
          </w:p>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5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Filed herewith.</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 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 Pursuant to Item 601(b)(10) of Regulation S-K, portions of this exhibit have been omitted as the Registrant has determined that the omitted information is the type that the Registrant customarily and actually treats as private or confidential and is not material.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both"/>
        <w:rPr/>
      </w:pPr>
      <w:r>
        <w:rPr/>
        <w:t> </w:t>
      </w:r>
    </w:p>
    <w:tbl>
      <w:tblPr>
        <w:tblW w:w="7743" w:type="dxa"/>
        <w:jc w:val="left"/>
        <w:tblInd w:w="0" w:type="dxa"/>
        <w:tblLayout w:type="fixed"/>
        <w:tblCellMar>
          <w:top w:w="28" w:type="dxa"/>
          <w:left w:w="28" w:type="dxa"/>
          <w:bottom w:w="28" w:type="dxa"/>
          <w:right w:w="28" w:type="dxa"/>
        </w:tblCellMar>
      </w:tblPr>
      <w:tblGrid>
        <w:gridCol w:w="2071"/>
        <w:gridCol w:w="406"/>
        <w:gridCol w:w="5266"/>
      </w:tblGrid>
      <w:tr>
        <w:trPr/>
        <w:tc>
          <w:tcPr>
            <w:tcW w:w="20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Olema Pharmaceuticals, Inc.</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Sean Bohen, M.D., Ph.D.</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Sean Bohen, M.D., Ph.D.</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Executive Officer and Principal Financial Officer</w:t>
            </w:r>
            <w:r>
              <w:rPr>
                <w:rFonts w:ascii="Arial" w:hAnsi="Arial"/>
                <w:color w:val="000000"/>
                <w:sz w:val="2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bookmarkStart w:id="21" w:name="olma-ex10_3.htm"/>
      <w:bookmarkStart w:id="22" w:name="ksolmaex10_3"/>
      <w:bookmarkEnd w:id="21"/>
      <w:bookmarkEnd w:id="22"/>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Exhibit 10.3</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 xml:space="preserve">FOURTH </w:t>
      </w:r>
      <w:r>
        <w:rPr>
          <w:rFonts w:ascii="Times New Roman" w:hAnsi="Times New Roman"/>
          <w:b/>
          <w:caps/>
          <w:color w:val="000000"/>
          <w:sz w:val="24"/>
        </w:rPr>
        <w:t>amendment</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4"/>
        </w:rPr>
        <w:t>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4"/>
        </w:rPr>
        <w:t>Loan and security</w:t>
      </w:r>
      <w:r>
        <w:rPr>
          <w:rFonts w:ascii="Times New Roman" w:hAnsi="Times New Roman"/>
          <w:color w:val="000000"/>
          <w:sz w:val="20"/>
        </w:rPr>
        <w:t xml:space="preserve"> </w:t>
      </w:r>
      <w:r>
        <w:rPr>
          <w:rFonts w:ascii="Times New Roman" w:hAnsi="Times New Roman"/>
          <w:b/>
          <w:caps/>
          <w:color w:val="000000"/>
          <w:sz w:val="24"/>
        </w:rPr>
        <w:t>agreement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Fourth Amendment to Loan and Security Agreement (this</w:t>
      </w:r>
      <w:r>
        <w:rPr>
          <w:rFonts w:ascii="Times New Roman" w:hAnsi="Times New Roman"/>
          <w:color w:val="000000"/>
          <w:sz w:val="20"/>
        </w:rPr>
        <w:t xml:space="preserve"> “</w:t>
      </w:r>
      <w:r>
        <w:rPr>
          <w:rFonts w:ascii="Times New Roman" w:hAnsi="Times New Roman"/>
          <w:color w:val="000000"/>
          <w:sz w:val="24"/>
        </w:rPr>
        <w:t>Amendment”) is entered into this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 xml:space="preserve">day of July, 2026, by and between </w:t>
      </w:r>
      <w:r>
        <w:rPr>
          <w:rFonts w:ascii="Times New Roman" w:hAnsi="Times New Roman"/>
          <w:b/>
          <w:caps/>
          <w:color w:val="000000"/>
          <w:sz w:val="24"/>
        </w:rPr>
        <w:t xml:space="preserve">Silicon Valley Bank, a division of First-Citizens Bank &amp; Trust Company </w:t>
      </w:r>
      <w:r>
        <w:rPr>
          <w:rFonts w:ascii="Times New Roman" w:hAnsi="Times New Roman"/>
          <w:color w:val="000000"/>
          <w:sz w:val="24"/>
        </w:rPr>
        <w:t>(“</w:t>
      </w:r>
      <w:r>
        <w:rPr>
          <w:rFonts w:ascii="Times New Roman" w:hAnsi="Times New Roman"/>
          <w:b/>
          <w:color w:val="000000"/>
          <w:sz w:val="24"/>
        </w:rPr>
        <w:t>Bank</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aps/>
          <w:color w:val="000000"/>
          <w:sz w:val="24"/>
        </w:rPr>
        <w:t>OLEMA PHARMACEUTICALS, INC.</w:t>
      </w:r>
      <w:r>
        <w:rPr>
          <w:rFonts w:ascii="Times New Roman" w:hAnsi="Times New Roman"/>
          <w:color w:val="000000"/>
          <w:sz w:val="24"/>
        </w:rPr>
        <w:t>, a Delaware corporation (“</w:t>
      </w:r>
      <w:r>
        <w:rPr>
          <w:rFonts w:ascii="Times New Roman" w:hAnsi="Times New Roman"/>
          <w:b/>
          <w:color w:val="000000"/>
          <w:sz w:val="24"/>
        </w:rPr>
        <w:t>Borrower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Bank and Borrower have entered into that certain Loan and Security Agreement dated as of September 5, 2023, as further amended by that certain First Amendment to Loan and Security Agreement dated as of June 28, 2024, as amended by that certain Second Amendment to Loan and Security Agreement dated as of June 27, 2025, and as further amended by that certain Third Amendment to Loan and Security Agreement dated as of January 11, 2026 (the “</w:t>
      </w:r>
      <w:r>
        <w:rPr>
          <w:rFonts w:ascii="Times New Roman" w:hAnsi="Times New Roman"/>
          <w:b/>
          <w:color w:val="000000"/>
          <w:sz w:val="24"/>
        </w:rPr>
        <w:t>Third Amendment</w:t>
      </w:r>
      <w:r>
        <w:rPr>
          <w:rFonts w:ascii="Times New Roman" w:hAnsi="Times New Roman"/>
          <w:color w:val="000000"/>
          <w:sz w:val="20"/>
        </w:rPr>
        <w:t>”</w:t>
      </w:r>
      <w:r>
        <w:rPr>
          <w:rFonts w:ascii="Times New Roman" w:hAnsi="Times New Roman"/>
          <w:color w:val="000000"/>
          <w:sz w:val="24"/>
        </w:rPr>
        <w:t>) (as the same may from time to time be further amended, modified, supplemented or restated, the “</w:t>
      </w:r>
      <w:r>
        <w:rPr>
          <w:rFonts w:ascii="Times New Roman" w:hAnsi="Times New Roman"/>
          <w:b/>
          <w:color w:val="000000"/>
          <w:sz w:val="24"/>
        </w:rPr>
        <w:t>Loan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Bank has extended credit to Borrower for the purposes permitted in the Loan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C.</w:t>
      </w:r>
      <w:r>
        <w:rPr>
          <w:rFonts w:ascii="Times New Roman" w:hAnsi="Times New Roman"/>
          <w:color w:val="000000"/>
          <w:sz w:val="20"/>
        </w:rPr>
        <w:t xml:space="preserve"> </w:t>
      </w:r>
      <w:r>
        <w:rPr>
          <w:rFonts w:ascii="Times New Roman" w:hAnsi="Times New Roman"/>
          <w:color w:val="000000"/>
          <w:sz w:val="24"/>
        </w:rPr>
        <w:t>Borrower has requested that Bank (i) add Irish Subsidiary as a secured Guarantor to the Loan Agreement and (ii) amend the Loan Agreement to make certain revisions to the Loan Agreement as more fully set forth herein.</w:t>
      </w:r>
    </w:p>
    <w:p>
      <w:pPr>
        <w:pStyle w:val="TextBody"/>
        <w:bidi w:val="0"/>
        <w:spacing w:before="0" w:after="240"/>
        <w:jc w:val="both"/>
        <w:rPr>
          <w:rFonts w:ascii="Times New Roman" w:hAnsi="Times New Roman"/>
          <w:sz w:val="20"/>
        </w:rPr>
      </w:pPr>
      <w:r>
        <w:rPr>
          <w:rFonts w:ascii="Times New Roman" w:hAnsi="Times New Roman"/>
          <w:b/>
          <w:color w:val="000000"/>
          <w:sz w:val="24"/>
        </w:rPr>
        <w:t>D.</w:t>
      </w:r>
      <w:r>
        <w:rPr>
          <w:rFonts w:ascii="Times New Roman" w:hAnsi="Times New Roman"/>
          <w:color w:val="000000"/>
          <w:sz w:val="20"/>
        </w:rPr>
        <w:t xml:space="preserve"> </w:t>
      </w:r>
      <w:r>
        <w:rPr>
          <w:rFonts w:ascii="Times New Roman" w:hAnsi="Times New Roman"/>
          <w:color w:val="000000"/>
          <w:sz w:val="24"/>
        </w:rPr>
        <w:t>Bank has agreed to so (i) add Irish Subsidiary as a secured Guarantor to the Loan Agreement and (ii) amend certain provisions of the Loan Agreement, but only to the extent, in accordance with the terms, subject to the conditions and in reliance upon the representations and warranties set forth below.</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Agreement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0"/>
        </w:rPr>
        <w:t xml:space="preserve"> </w:t>
      </w:r>
      <w:r>
        <w:rPr>
          <w:rFonts w:ascii="Times New Roman" w:hAnsi="Times New Roman"/>
          <w:color w:val="000000"/>
          <w:sz w:val="24"/>
        </w:rPr>
        <w:t>in consideration of the foregoing recitals and other good and valuable consideration, the receipt and adequacy of which is hereby acknowledged, and intending to be legally bound, the parties hereto agree as follows: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pPr>
      <w:r>
        <w:rPr>
          <w:rFonts w:ascii="Times New Roman" w:hAnsi="Times New Roman"/>
          <w:b/>
          <w:color w:val="000000"/>
          <w:sz w:val="24"/>
        </w:rPr>
        <w:t>Definitions.</w:t>
      </w:r>
      <w:r>
        <w:rPr>
          <w:color w:val="000000"/>
        </w:rPr>
        <w:t xml:space="preserve"> </w:t>
      </w:r>
      <w:r>
        <w:rPr>
          <w:rFonts w:ascii="Times New Roman" w:hAnsi="Times New Roman"/>
          <w:color w:val="000000"/>
          <w:sz w:val="24"/>
        </w:rPr>
        <w:t>Capitalized terms used but not defined in this Amendment shall have the meanings given to them in the Loan Agreement.</w:t>
      </w:r>
    </w:p>
    <w:p>
      <w:pPr>
        <w:pStyle w:val="TextBody"/>
        <w:bidi w:val="0"/>
        <w:spacing w:before="0" w:after="12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Amendments to Loan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Section 12.2</w:t>
      </w:r>
      <w:r>
        <w:rPr>
          <w:color w:val="000000"/>
        </w:rPr>
        <w:t xml:space="preserve"> </w:t>
      </w:r>
      <w:r>
        <w:rPr>
          <w:rFonts w:ascii="Times New Roman" w:hAnsi="Times New Roman"/>
          <w:color w:val="000000"/>
          <w:sz w:val="24"/>
        </w:rPr>
        <w:t>(</w:t>
      </w:r>
      <w:r>
        <w:rPr>
          <w:rFonts w:ascii="Times New Roman" w:hAnsi="Times New Roman"/>
          <w:b/>
          <w:color w:val="000000"/>
          <w:sz w:val="24"/>
        </w:rPr>
        <w:t>Definitions</w:t>
      </w:r>
      <w:r>
        <w:rPr>
          <w:rFonts w:ascii="Times New Roman" w:hAnsi="Times New Roman"/>
          <w:color w:val="000000"/>
          <w:sz w:val="24"/>
        </w:rPr>
        <w:t>). The following terms and their respective definitions set forth in Section 12.2 are hereby amended in their entirety and replaced with the following:</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 “</w:t>
      </w:r>
      <w:r>
        <w:rPr>
          <w:rFonts w:ascii="Times New Roman" w:hAnsi="Times New Roman"/>
          <w:b/>
          <w:color w:val="000000"/>
          <w:sz w:val="24"/>
        </w:rPr>
        <w:t>Guarantor</w:t>
      </w:r>
      <w:r>
        <w:rPr>
          <w:rFonts w:ascii="Times New Roman" w:hAnsi="Times New Roman"/>
          <w:color w:val="000000"/>
          <w:sz w:val="20"/>
        </w:rPr>
        <w:t xml:space="preserve">” </w:t>
      </w:r>
      <w:r>
        <w:rPr>
          <w:rFonts w:ascii="Times New Roman" w:hAnsi="Times New Roman"/>
          <w:color w:val="000000"/>
          <w:sz w:val="24"/>
        </w:rPr>
        <w:t>is, jointly and severally, individually and collectively, (a) Irish Subsidiary, and (b) any other Person providing a Guaranty in favor of Bank.</w:t>
      </w:r>
    </w:p>
    <w:p>
      <w:pPr>
        <w:pStyle w:val="TextBody"/>
        <w:bidi w:val="0"/>
        <w:spacing w:before="0" w:after="240"/>
        <w:jc w:val="both"/>
        <w:rPr/>
      </w:pPr>
      <w:r>
        <w:rPr>
          <w:color w:val="000000"/>
        </w:rPr>
        <w:t>“ “</w:t>
      </w:r>
      <w:r>
        <w:rPr>
          <w:rFonts w:ascii="Times New Roman" w:hAnsi="Times New Roman"/>
          <w:b/>
          <w:color w:val="000000"/>
          <w:sz w:val="24"/>
        </w:rPr>
        <w:t>Guaranty</w:t>
      </w:r>
      <w:r>
        <w:rPr>
          <w:rFonts w:ascii="Times New Roman" w:hAnsi="Times New Roman"/>
          <w:color w:val="000000"/>
          <w:sz w:val="20"/>
        </w:rPr>
        <w:t xml:space="preserve">” </w:t>
      </w:r>
      <w:r>
        <w:rPr>
          <w:rFonts w:ascii="Times New Roman" w:hAnsi="Times New Roman"/>
          <w:color w:val="000000"/>
          <w:sz w:val="24"/>
        </w:rPr>
        <w:t>is, collectively, (a) the Irish Subsidiary Guaranty, and (b) any guarantee of all or any part of the Obligations, as the same may from time to time be amended, restated, modified or otherwise supplemented.”</w:t>
      </w:r>
    </w:p>
    <w:p>
      <w:pPr>
        <w:pStyle w:val="TextBody"/>
        <w:bidi w:val="0"/>
        <w:spacing w:before="0" w:after="240"/>
        <w:jc w:val="both"/>
        <w:rPr/>
      </w:pPr>
      <w:r>
        <w:rPr>
          <w:color w:val="000000"/>
        </w:rPr>
        <w:t>“ “</w:t>
      </w:r>
      <w:r>
        <w:rPr>
          <w:rFonts w:ascii="Times New Roman" w:hAnsi="Times New Roman"/>
          <w:b/>
          <w:color w:val="000000"/>
          <w:sz w:val="24"/>
        </w:rPr>
        <w:t>Loan Documents</w:t>
      </w:r>
      <w:r>
        <w:rPr>
          <w:rFonts w:ascii="Times New Roman" w:hAnsi="Times New Roman"/>
          <w:color w:val="000000"/>
          <w:sz w:val="20"/>
        </w:rPr>
        <w:t xml:space="preserve">” </w:t>
      </w:r>
      <w:r>
        <w:rPr>
          <w:rFonts w:ascii="Times New Roman" w:hAnsi="Times New Roman"/>
          <w:color w:val="000000"/>
          <w:sz w:val="24"/>
        </w:rPr>
        <w:t>are, collectively, this Agreement and any schedules, exhibits, certificates, notices, and any other documents related to this Agreement, the Perfection Certificate, the Irish Subsidiary Guaranty, the Irish Subsidiary Security Documents, any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Section 12.2 (Definitions)</w:t>
      </w:r>
      <w:r>
        <w:rPr>
          <w:rFonts w:ascii="Times New Roman" w:hAnsi="Times New Roman"/>
          <w:color w:val="000000"/>
          <w:sz w:val="24"/>
        </w:rPr>
        <w:t>. The following new terms and their respective definitions are hereby inserted to appear alphabetically in Section 12.2 thereof:</w:t>
      </w:r>
    </w:p>
    <w:p>
      <w:pPr>
        <w:pStyle w:val="TextBody"/>
        <w:bidi w:val="0"/>
        <w:spacing w:before="0" w:after="240"/>
        <w:jc w:val="both"/>
        <w:rPr/>
      </w:pPr>
      <w:r>
        <w:rPr>
          <w:color w:val="000000"/>
        </w:rPr>
        <w:t>“ “</w:t>
      </w:r>
      <w:r>
        <w:rPr>
          <w:rFonts w:ascii="Times New Roman" w:hAnsi="Times New Roman"/>
          <w:b/>
          <w:color w:val="000000"/>
          <w:sz w:val="24"/>
        </w:rPr>
        <w:t>Fourth Amendment Effective Date</w:t>
      </w:r>
      <w:r>
        <w:rPr>
          <w:rFonts w:ascii="Times New Roman" w:hAnsi="Times New Roman"/>
          <w:color w:val="000000"/>
          <w:sz w:val="20"/>
        </w:rPr>
        <w:t xml:space="preserve">” </w:t>
      </w:r>
      <w:r>
        <w:rPr>
          <w:rFonts w:ascii="Times New Roman" w:hAnsi="Times New Roman"/>
          <w:color w:val="000000"/>
          <w:sz w:val="24"/>
        </w:rPr>
        <w:t>is July 1, 2026.”</w:t>
      </w:r>
    </w:p>
    <w:p>
      <w:pPr>
        <w:pStyle w:val="TextBody"/>
        <w:bidi w:val="0"/>
        <w:jc w:val="both"/>
        <w:rPr/>
      </w:pPr>
      <w:r>
        <w:rPr>
          <w:color w:val="000000"/>
        </w:rPr>
        <w:t>“ “</w:t>
      </w:r>
      <w:r>
        <w:rPr>
          <w:rFonts w:ascii="Times New Roman" w:hAnsi="Times New Roman"/>
          <w:b/>
          <w:color w:val="000000"/>
          <w:sz w:val="24"/>
        </w:rPr>
        <w:t>Irish Companies Act</w:t>
      </w:r>
      <w:r>
        <w:rPr>
          <w:rFonts w:ascii="Times New Roman" w:hAnsi="Times New Roman"/>
          <w:color w:val="000000"/>
          <w:sz w:val="20"/>
        </w:rPr>
        <w:t xml:space="preserve">” </w:t>
      </w:r>
      <w:r>
        <w:rPr>
          <w:rFonts w:ascii="Times New Roman" w:hAnsi="Times New Roman"/>
          <w:color w:val="000000"/>
          <w:sz w:val="24"/>
        </w:rPr>
        <w:t>is the Irish law Companies Act 2014."</w:t>
      </w:r>
    </w:p>
    <w:p>
      <w:pPr>
        <w:pStyle w:val="TextBody"/>
        <w:bidi w:val="0"/>
        <w:jc w:val="both"/>
        <w:rPr/>
      </w:pPr>
      <w:r>
        <w:rPr/>
        <w:t> </w:t>
      </w:r>
    </w:p>
    <w:p>
      <w:pPr>
        <w:pStyle w:val="TextBody"/>
        <w:bidi w:val="0"/>
        <w:spacing w:before="0" w:after="240"/>
        <w:jc w:val="both"/>
        <w:rPr/>
      </w:pPr>
      <w:r>
        <w:rPr>
          <w:color w:val="000000"/>
        </w:rPr>
        <w:t>“ “</w:t>
      </w:r>
      <w:r>
        <w:rPr>
          <w:rFonts w:ascii="Times New Roman" w:hAnsi="Times New Roman"/>
          <w:b/>
          <w:color w:val="000000"/>
          <w:sz w:val="24"/>
        </w:rPr>
        <w:t>Irish Security Deed</w:t>
      </w:r>
      <w:r>
        <w:rPr>
          <w:rFonts w:ascii="Times New Roman" w:hAnsi="Times New Roman"/>
          <w:color w:val="000000"/>
          <w:sz w:val="20"/>
        </w:rPr>
        <w:t xml:space="preserve">” </w:t>
      </w:r>
      <w:r>
        <w:rPr>
          <w:rFonts w:ascii="Times New Roman" w:hAnsi="Times New Roman"/>
          <w:color w:val="000000"/>
          <w:sz w:val="24"/>
        </w:rPr>
        <w:t>is the Irish law security deed dated July 1, 2026.”</w:t>
      </w:r>
    </w:p>
    <w:p>
      <w:pPr>
        <w:pStyle w:val="TextBody"/>
        <w:bidi w:val="0"/>
        <w:spacing w:before="0" w:after="240"/>
        <w:jc w:val="both"/>
        <w:rPr/>
      </w:pPr>
      <w:r>
        <w:rPr>
          <w:color w:val="000000"/>
        </w:rPr>
        <w:t>“ “</w:t>
      </w:r>
      <w:r>
        <w:rPr>
          <w:rFonts w:ascii="Times New Roman" w:hAnsi="Times New Roman"/>
          <w:b/>
          <w:color w:val="000000"/>
          <w:sz w:val="24"/>
        </w:rPr>
        <w:t>Irish Shareholder Security Deed</w:t>
      </w:r>
      <w:r>
        <w:rPr>
          <w:rFonts w:ascii="Times New Roman" w:hAnsi="Times New Roman"/>
          <w:color w:val="000000"/>
          <w:sz w:val="20"/>
        </w:rPr>
        <w:t xml:space="preserve">” </w:t>
      </w:r>
      <w:r>
        <w:rPr>
          <w:rFonts w:ascii="Times New Roman" w:hAnsi="Times New Roman"/>
          <w:color w:val="000000"/>
          <w:sz w:val="24"/>
        </w:rPr>
        <w:t>is the Irish law shareholder security deed Borrower has executed in favor of Bank charging its shares in Guarantor dated July 1, 2026.”</w:t>
      </w:r>
    </w:p>
    <w:p>
      <w:pPr>
        <w:pStyle w:val="TextBody"/>
        <w:bidi w:val="0"/>
        <w:spacing w:before="0" w:after="240"/>
        <w:jc w:val="both"/>
        <w:rPr/>
      </w:pPr>
      <w:r>
        <w:rPr>
          <w:color w:val="000000"/>
        </w:rPr>
        <w:t>“ “</w:t>
      </w:r>
      <w:r>
        <w:rPr>
          <w:rFonts w:ascii="Times New Roman" w:hAnsi="Times New Roman"/>
          <w:b/>
          <w:color w:val="000000"/>
          <w:sz w:val="24"/>
        </w:rPr>
        <w:t>Irish Subsidiary Guaranty</w:t>
      </w:r>
      <w:r>
        <w:rPr>
          <w:rFonts w:ascii="Times New Roman" w:hAnsi="Times New Roman"/>
          <w:color w:val="000000"/>
          <w:sz w:val="20"/>
        </w:rPr>
        <w:t xml:space="preserve">” </w:t>
      </w:r>
      <w:r>
        <w:rPr>
          <w:rFonts w:ascii="Times New Roman" w:hAnsi="Times New Roman"/>
          <w:color w:val="000000"/>
          <w:sz w:val="24"/>
        </w:rPr>
        <w:t>is that certain Unconditional Guaranty executed by Guarantor in favor of Bank dated July 1, 2026.”</w:t>
      </w:r>
    </w:p>
    <w:p>
      <w:pPr>
        <w:pStyle w:val="TextBody"/>
        <w:bidi w:val="0"/>
        <w:jc w:val="both"/>
        <w:rPr/>
      </w:pPr>
      <w:r>
        <w:rPr>
          <w:color w:val="000000"/>
        </w:rPr>
        <w:t>“ “</w:t>
      </w:r>
      <w:r>
        <w:rPr>
          <w:rFonts w:ascii="Times New Roman" w:hAnsi="Times New Roman"/>
          <w:b/>
          <w:color w:val="000000"/>
          <w:sz w:val="24"/>
        </w:rPr>
        <w:t>Irish Subsidiary Security Documents</w:t>
      </w:r>
      <w:r>
        <w:rPr>
          <w:rFonts w:ascii="Times New Roman" w:hAnsi="Times New Roman"/>
          <w:color w:val="000000"/>
          <w:sz w:val="20"/>
        </w:rPr>
        <w:t xml:space="preserve">” </w:t>
      </w:r>
      <w:r>
        <w:rPr>
          <w:rFonts w:ascii="Times New Roman" w:hAnsi="Times New Roman"/>
          <w:color w:val="000000"/>
          <w:sz w:val="24"/>
        </w:rPr>
        <w:t>are, collectively the Irish Security Deed and Irish Shareholder Security Deed.”</w:t>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Limitation of Amendments.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To induce Bank to enter into this Amendment, Borrower hereby represents and warrants to Bank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has the power and authority to execute and deliver this Amendment and to perform its obligations under the Loan Agreement, as amended by this Amendment;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organizational documents of Borrower delivered to Bank on the Effective Date remain true, accurate and complete and have not been amended, supplemented or restated and are and continue to be in full force and effect;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execution and delivery by Borrower of this Amendment and the performance by Borrower of its obligations under the Loan Agreement, as amended by this Amendment, have been duly authorized;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execution and delivery by Borrower of this Amendment and the 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both"/>
        <w:rPr/>
      </w:pPr>
      <w:r>
        <w:rPr>
          <w:rFonts w:ascii="Times New Roman" w:hAnsi="Times New Roman"/>
          <w:b/>
          <w:color w:val="000000"/>
          <w:sz w:val="24"/>
        </w:rPr>
        <w:t>Ratification of Perfection Certificate</w:t>
      </w:r>
      <w:r>
        <w:rPr>
          <w:rFonts w:ascii="Times New Roman" w:hAnsi="Times New Roman"/>
          <w:color w:val="000000"/>
          <w:sz w:val="24"/>
        </w:rPr>
        <w:t xml:space="preserve">. Borrower hereby ratifies, confirms and reaffirms, all and singular, the terms and disclosures contained in a certain Perfection Certificate dated as of June 28, 2024 between Borrower and Bank, as amended by Schedule 2 of the Third Amendment, and acknowledges, confirms and agrees that the disclosures and information provided to Bank in such Perfection Certificate have not changed in any material respect, as of the date hereof, except as set forth on </w:t>
      </w:r>
      <w:r>
        <w:rPr>
          <w:rFonts w:ascii="Times New Roman" w:hAnsi="Times New Roman"/>
          <w:color w:val="000000"/>
          <w:sz w:val="24"/>
          <w:u w:val="single"/>
        </w:rPr>
        <w:t>Schedule 2</w:t>
      </w:r>
      <w:r>
        <w:rPr>
          <w:color w:val="000000"/>
        </w:rPr>
        <w:t xml:space="preserve"> </w:t>
      </w:r>
      <w:r>
        <w:rPr>
          <w:rFonts w:ascii="Times New Roman" w:hAnsi="Times New Roman"/>
          <w:color w:val="000000"/>
          <w:sz w:val="24"/>
        </w:rPr>
        <w:t>attached hereto.</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Release by Borrower.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color w:val="000000"/>
          <w:sz w:val="24"/>
        </w:rPr>
        <w:t>FOR GOOD AND VALUABLE CONSIDERATION, Borrower hereby forever relieves, releases, and discharges Bank and its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 (collectively “</w:t>
      </w:r>
      <w:r>
        <w:rPr>
          <w:rFonts w:ascii="Times New Roman" w:hAnsi="Times New Roman"/>
          <w:b/>
          <w:color w:val="000000"/>
          <w:sz w:val="24"/>
        </w:rPr>
        <w:t>Released Claims</w:t>
      </w:r>
      <w:r>
        <w:rPr>
          <w:color w:val="000000"/>
        </w:rPr>
        <w:t>”</w:t>
      </w:r>
      <w:r>
        <w:rPr>
          <w:rFonts w:ascii="Times New Roman" w:hAnsi="Times New Roman"/>
          <w:color w:val="000000"/>
          <w:sz w:val="24"/>
        </w:rPr>
        <w:t>). Without limiting the foregoing, the Released Claims shall include any and all liabilities or claims arising out of or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furtherance of this release, Borrower expressly acknowledges and waives any and all rights under Section 1542 of the California Civil Code, which provides as follows:</w:t>
      </w:r>
    </w:p>
    <w:p>
      <w:pPr>
        <w:pStyle w:val="TextBody"/>
        <w:bidi w:val="0"/>
        <w:spacing w:before="0" w:after="240"/>
        <w:jc w:val="both"/>
        <w:rPr/>
      </w:pPr>
      <w:r>
        <w:rPr>
          <w:color w:val="000000"/>
        </w:rPr>
        <w:t>“</w:t>
      </w:r>
      <w:r>
        <w:rPr>
          <w:rFonts w:ascii="Times New Roman" w:hAnsi="Times New Roman"/>
          <w:b/>
          <w:color w:val="000000"/>
          <w:sz w:val="24"/>
        </w:rPr>
        <w:t>A general release</w:t>
      </w:r>
      <w:r>
        <w:rPr>
          <w:rFonts w:ascii="Times New Roman" w:hAnsi="Times New Roman"/>
          <w:color w:val="000000"/>
          <w:sz w:val="20"/>
        </w:rPr>
        <w:t xml:space="preserve"> </w:t>
      </w:r>
      <w:r>
        <w:rPr>
          <w:rFonts w:ascii="Times New Roman" w:hAnsi="Times New Roman"/>
          <w:color w:val="000000"/>
          <w:sz w:val="24"/>
        </w:rPr>
        <w:t>does not extend to claims that the creditor or releasing party does not know or suspect to exist in his or her favor at the time of executing the release and that, if known by him or her, would have materially affected his or her settlement with the debtor or released party.” (Emphasis added.)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entering into this release, Borrower recognizes that no facts or representations are ever absolutely certain and it may hereafter discover facts in addition to or different from those which it presently knows or believes to be true, but that it is the intention of Borrower hereby to fully, finally and forever settle and release all matters, disputes and differences,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Bank with respect to the facts underlying this release or with regard to any of such party’s rights or asserted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release may be pleaded as a full and complete defense and/or as a cross-complaint or counterclaim against any action, suit, or other proceeding that may be instituted, prosecuted or attempted in breach of this release. Borrower acknowledges that the release contained herein constitutes a material inducement to Bank to enter into this Amendment, and that Bank would not have done so but for Bank’s expectation that such release is valid and enforceable in all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hereby represents and warrants to Bank, and Bank is relying thereon, as follows:</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expressly stated in this Amendment, neither Bank nor any agent, employee or representative of Bank has made any statement or representation to Borrower regarding any fact relied upon by Borrower in entering into this Amendment.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has made such investigation of the facts pertaining to this Amendment and all of the matters appertaining thereto, as it deems necessary.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terms of this Amendment are contractual and not a mere recital.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has been carefully read by Borrower, the contents hereof are known and understood by Borrower, and this Amendment is signed freely, and without duress, by Borrower.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represents and warrants that it is the sole and lawful owner of all right, title and interest in and to every claim and every other matter which it releases herein, and that it has not heretofore assigned or transferred, or purported to assign or transfer, to any person, firm or entity any claims or other matters herein released. Borrower shall indemnify Bank, defend and hold it harmless from and against all claims based upon or arising in connection with prior assignments or purported assignments or transfers of any claims or matters released herein.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pPr>
      <w:r>
        <w:rPr>
          <w:rFonts w:ascii="Times New Roman" w:hAnsi="Times New Roman"/>
          <w:b/>
          <w:color w:val="000000"/>
          <w:sz w:val="24"/>
        </w:rPr>
        <w:t>Fees and Expenses.</w:t>
      </w:r>
      <w:r>
        <w:rPr>
          <w:color w:val="000000"/>
        </w:rPr>
        <w:t xml:space="preserve"> </w:t>
      </w:r>
      <w:r>
        <w:rPr>
          <w:rFonts w:ascii="Times New Roman" w:hAnsi="Times New Roman"/>
          <w:color w:val="000000"/>
          <w:sz w:val="24"/>
        </w:rPr>
        <w:t>Borrower shall reimburse Bank for all unreimbursed Bank Expenses, including without limitation, all legal fees and expenses incurred in connection with this Amendment.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both"/>
        <w:rPr/>
      </w:pPr>
      <w:r>
        <w:rPr>
          <w:rFonts w:ascii="Times New Roman" w:hAnsi="Times New Roman"/>
          <w:b/>
          <w:color w:val="000000"/>
          <w:sz w:val="24"/>
        </w:rPr>
        <w:t xml:space="preserve">Governing Law. </w:t>
      </w:r>
      <w:r>
        <w:rPr>
          <w:rFonts w:ascii="Times New Roman" w:hAnsi="Times New Roman"/>
          <w:color w:val="000000"/>
          <w:sz w:val="24"/>
        </w:rPr>
        <w:t>This Amendment shall be governed and construed in accordance with the laws of the</w:t>
      </w:r>
      <w:r>
        <w:rPr>
          <w:color w:val="000000"/>
        </w:rPr>
        <w:t xml:space="preserve"> </w:t>
      </w:r>
      <w:r>
        <w:rPr>
          <w:rFonts w:ascii="Times New Roman" w:hAnsi="Times New Roman"/>
          <w:color w:val="000000"/>
          <w:sz w:val="24"/>
        </w:rPr>
        <w:t>State of California, without giving effect to conflicts of laws principles.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9.</w:t>
      </w:r>
    </w:p>
    <w:p>
      <w:pPr>
        <w:pStyle w:val="TextBody"/>
        <w:bidi w:val="0"/>
        <w:spacing w:before="0" w:after="240"/>
        <w:jc w:val="both"/>
        <w:rPr/>
      </w:pPr>
      <w:r>
        <w:rPr>
          <w:rFonts w:ascii="Times New Roman" w:hAnsi="Times New Roman"/>
          <w:b/>
          <w:color w:val="000000"/>
          <w:sz w:val="24"/>
        </w:rPr>
        <w:t>Integration</w:t>
      </w:r>
      <w:r>
        <w:rPr>
          <w:rFonts w:ascii="Times New Roman" w:hAnsi="Times New Roman"/>
          <w:color w:val="000000"/>
          <w:sz w:val="24"/>
        </w:rPr>
        <w:t>. This Amendment and the Loan Documents represent the entire agreement about this 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10.</w:t>
      </w:r>
    </w:p>
    <w:p>
      <w:pPr>
        <w:pStyle w:val="TextBody"/>
        <w:bidi w:val="0"/>
        <w:spacing w:before="0" w:after="240"/>
        <w:jc w:val="both"/>
        <w:rPr/>
      </w:pPr>
      <w:r>
        <w:rPr>
          <w:rFonts w:ascii="Times New Roman" w:hAnsi="Times New Roman"/>
          <w:b/>
          <w:color w:val="000000"/>
          <w:sz w:val="24"/>
        </w:rPr>
        <w:t>Counterparts.</w:t>
      </w:r>
      <w:r>
        <w:rPr>
          <w:color w:val="000000"/>
        </w:rPr>
        <w:t xml:space="preserve"> </w:t>
      </w:r>
      <w:r>
        <w:rPr>
          <w:rFonts w:ascii="Times New Roman" w:hAnsi="Times New Roman"/>
          <w:color w:val="000000"/>
          <w:sz w:val="24"/>
        </w:rPr>
        <w:t>This Amendment may be executed in any number of counterparts and all of such counterparts taken together shall be deemed to constitute one and the same instrument. Each party hereto may execute this Amendment by electronic means and recognizes and accepts the use of electronic signatures and records by any other party hereto in connection with the execution and storage hereof.</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11.</w:t>
      </w:r>
    </w:p>
    <w:p>
      <w:pPr>
        <w:pStyle w:val="TextBody"/>
        <w:bidi w:val="0"/>
        <w:spacing w:before="0" w:after="240"/>
        <w:jc w:val="both"/>
        <w:rPr/>
      </w:pPr>
      <w:r>
        <w:rPr>
          <w:rFonts w:ascii="Times New Roman" w:hAnsi="Times New Roman"/>
          <w:b/>
          <w:color w:val="000000"/>
          <w:sz w:val="24"/>
        </w:rPr>
        <w:t>Effectiveness</w:t>
      </w:r>
      <w:r>
        <w:rPr>
          <w:rFonts w:ascii="Times New Roman" w:hAnsi="Times New Roman"/>
          <w:color w:val="000000"/>
          <w:sz w:val="24"/>
        </w:rPr>
        <w:t>. This Amendment shall be deemed effective upon the due execution and delivery to Bank of (a) the Irish Subsidiary Guaranty, and (b) this Amendment by each party hereto.</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smallCaps/>
          <w:color w:val="000000"/>
          <w:sz w:val="20"/>
        </w:rPr>
        <w:t xml:space="preserve"> </w:t>
      </w:r>
      <w:r>
        <w:rPr>
          <w:rFonts w:ascii="Times New Roman" w:hAnsi="Times New Roman"/>
          <w:color w:val="000000"/>
          <w:sz w:val="24"/>
        </w:rPr>
        <w:t>the parties hereto have caused this Amendment to be executed as of the date first written above.</w:t>
      </w:r>
    </w:p>
    <w:p>
      <w:pPr>
        <w:pStyle w:val="TextBody"/>
        <w:bidi w:val="0"/>
        <w:jc w:val="left"/>
        <w:rPr/>
      </w:pPr>
      <w:r>
        <w:rPr/>
        <w:t> </w:t>
      </w:r>
    </w:p>
    <w:p>
      <w:pPr>
        <w:pStyle w:val="TextBody"/>
        <w:bidi w:val="0"/>
        <w:jc w:val="left"/>
        <w:rPr/>
      </w:pPr>
      <w:r>
        <w:rPr/>
        <w:t> </w:t>
      </w:r>
    </w:p>
    <w:tbl>
      <w:tblPr>
        <w:tblW w:w="9377" w:type="dxa"/>
        <w:jc w:val="left"/>
        <w:tblInd w:w="0" w:type="dxa"/>
        <w:tblLayout w:type="fixed"/>
        <w:tblCellMar>
          <w:top w:w="28" w:type="dxa"/>
          <w:left w:w="28" w:type="dxa"/>
          <w:bottom w:w="28" w:type="dxa"/>
          <w:right w:w="28" w:type="dxa"/>
        </w:tblCellMar>
      </w:tblPr>
      <w:tblGrid>
        <w:gridCol w:w="5071"/>
        <w:gridCol w:w="4306"/>
      </w:tblGrid>
      <w:tr>
        <w:trPr/>
        <w:tc>
          <w:tcPr>
            <w:tcW w:w="507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BANK</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BORROWER</w:t>
            </w:r>
          </w:p>
        </w:tc>
      </w:tr>
      <w:tr>
        <w:trPr/>
        <w:tc>
          <w:tcPr>
            <w:tcW w:w="507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aps/>
                <w:color w:val="000000"/>
                <w:sz w:val="24"/>
              </w:rPr>
            </w:pPr>
            <w:r>
              <w:rPr>
                <w:rFonts w:ascii="Times New Roman" w:hAnsi="Times New Roman"/>
                <w:caps/>
                <w:color w:val="000000"/>
                <w:sz w:val="24"/>
              </w:rPr>
              <w:t>First-Citizens Bank &amp; Trust Company</w:t>
            </w:r>
          </w:p>
          <w:p>
            <w:pPr>
              <w:pStyle w:val="TableContents"/>
              <w:bidi w:val="0"/>
              <w:jc w:val="left"/>
              <w:rPr/>
            </w:pPr>
            <w:r>
              <w:rPr/>
              <w:t> </w:t>
            </w:r>
          </w:p>
          <w:p>
            <w:pPr>
              <w:pStyle w:val="TableContents"/>
              <w:bidi w:val="0"/>
              <w:jc w:val="left"/>
              <w:rPr/>
            </w:pPr>
            <w:r>
              <w:rPr/>
              <w:t> </w:t>
            </w:r>
          </w:p>
          <w:p>
            <w:pPr>
              <w:pStyle w:val="TableContents"/>
              <w:bidi w:val="0"/>
              <w:spacing w:before="12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Tom Seminara</w:t>
            </w:r>
            <w:r>
              <w:rPr>
                <w:rFonts w:ascii="Times New Roman" w:hAnsi="Times New Roman"/>
                <w:color w:val="000000"/>
                <w:sz w:val="24"/>
              </w:rPr>
              <w:t xml:space="preserve"> </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Name: Tom Seminara</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Title: Vice President</w:t>
            </w:r>
          </w:p>
        </w:tc>
        <w:tc>
          <w:tcPr>
            <w:tcW w:w="43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OLEMA PHARMACEUTICALS, INC.</w:t>
            </w:r>
          </w:p>
          <w:p>
            <w:pPr>
              <w:pStyle w:val="TableContents"/>
              <w:bidi w:val="0"/>
              <w:jc w:val="left"/>
              <w:rPr/>
            </w:pPr>
            <w:r>
              <w:rPr/>
              <w:t> </w:t>
            </w:r>
          </w:p>
          <w:p>
            <w:pPr>
              <w:pStyle w:val="TableContents"/>
              <w:bidi w:val="0"/>
              <w:jc w:val="left"/>
              <w:rPr/>
            </w:pPr>
            <w:r>
              <w:rPr/>
              <w:t> </w:t>
            </w:r>
          </w:p>
          <w:p>
            <w:pPr>
              <w:pStyle w:val="TableContents"/>
              <w:bidi w:val="0"/>
              <w:spacing w:before="120" w:after="283"/>
              <w:jc w:val="left"/>
              <w:rPr/>
            </w:pPr>
            <w:r>
              <w:rPr/>
              <w:t> </w:t>
            </w:r>
          </w:p>
          <w:p>
            <w:pPr>
              <w:pStyle w:val="TableContents"/>
              <w:bidi w:val="0"/>
              <w:spacing w:before="12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Sean Bohen</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Name: Sean Bohen</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Title: President and Chief Executive Officer</w:t>
            </w:r>
          </w:p>
        </w:tc>
      </w:tr>
      <w:tr>
        <w:trPr/>
        <w:tc>
          <w:tcPr>
            <w:tcW w:w="50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1</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COMPLIANCE STATEMENT</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TO: Silicon Valley Bank, a division of First-Citizens Bank &amp; Trust Company Date: </w:t>
      </w:r>
    </w:p>
    <w:p>
      <w:pPr>
        <w:pStyle w:val="TextBody"/>
        <w:bidi w:val="0"/>
        <w:jc w:val="left"/>
        <w:rPr>
          <w:rFonts w:ascii="Times New Roman" w:hAnsi="Times New Roman"/>
          <w:color w:val="000000"/>
          <w:sz w:val="24"/>
        </w:rPr>
      </w:pPr>
      <w:r>
        <w:rPr>
          <w:rFonts w:ascii="Times New Roman" w:hAnsi="Times New Roman"/>
          <w:color w:val="000000"/>
          <w:sz w:val="24"/>
        </w:rPr>
        <w:t>FROM: OLEMA PHARMACEUTICALS, INC.</w:t>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4"/>
        </w:rPr>
        <w:t>Under the terms and conditions of the Loan and Security Agreement between Borrower and Bank (as amended, modified, supplemented and/or restated from time to time,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Borrower is in complete compliance for the period ending _______________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tbl>
      <w:tblPr>
        <w:tblW w:w="10205" w:type="dxa"/>
        <w:jc w:val="left"/>
        <w:tblInd w:w="0" w:type="dxa"/>
        <w:tblLayout w:type="fixed"/>
        <w:tblCellMar>
          <w:top w:w="28" w:type="dxa"/>
          <w:left w:w="28" w:type="dxa"/>
          <w:bottom w:w="28" w:type="dxa"/>
          <w:right w:w="28" w:type="dxa"/>
        </w:tblCellMar>
      </w:tblPr>
      <w:tblGrid>
        <w:gridCol w:w="4345"/>
        <w:gridCol w:w="4763"/>
        <w:gridCol w:w="1097"/>
      </w:tblGrid>
      <w:tr>
        <w:trPr/>
        <w:tc>
          <w:tcPr>
            <w:tcW w:w="4345" w:type="dxa"/>
            <w:tcBorders/>
            <w:vAlign w:val="center"/>
          </w:tcPr>
          <w:p>
            <w:pPr>
              <w:pStyle w:val="TableContents"/>
              <w:bidi w:val="0"/>
              <w:spacing w:before="0" w:after="283"/>
              <w:jc w:val="left"/>
              <w:rPr>
                <w:sz w:val="4"/>
                <w:szCs w:val="4"/>
              </w:rPr>
            </w:pPr>
            <w:r>
              <w:rPr>
                <w:sz w:val="4"/>
                <w:szCs w:val="4"/>
              </w:rPr>
            </w:r>
          </w:p>
        </w:tc>
        <w:tc>
          <w:tcPr>
            <w:tcW w:w="476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Please indicate compliance status by circling Yes/No under “Complies” column.</w:t>
            </w:r>
          </w:p>
        </w:tc>
      </w:tr>
      <w:tr>
        <w:trPr/>
        <w:tc>
          <w:tcPr>
            <w:tcW w:w="1020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4"/>
                <w:u w:val="single"/>
              </w:rPr>
            </w:pPr>
            <w:r>
              <w:rPr>
                <w:rFonts w:ascii="Times New Roman" w:hAnsi="Times New Roman"/>
                <w:b/>
                <w:color w:val="000000"/>
                <w:sz w:val="24"/>
                <w:u w:val="single"/>
              </w:rPr>
              <w:t>Reporting Covenants</w:t>
            </w:r>
          </w:p>
        </w:tc>
        <w:tc>
          <w:tcPr>
            <w:tcW w:w="47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u w:val="single"/>
              </w:rPr>
            </w:pPr>
            <w:r>
              <w:rPr>
                <w:rFonts w:ascii="Times New Roman" w:hAnsi="Times New Roman"/>
                <w:b/>
                <w:color w:val="000000"/>
                <w:sz w:val="24"/>
                <w:u w:val="single"/>
              </w:rPr>
              <w:t>Required</w:t>
            </w:r>
          </w:p>
        </w:tc>
        <w:tc>
          <w:tcPr>
            <w:tcW w:w="10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u w:val="single"/>
              </w:rPr>
            </w:pPr>
            <w:r>
              <w:rPr>
                <w:rFonts w:ascii="Times New Roman" w:hAnsi="Times New Roman"/>
                <w:b/>
                <w:color w:val="000000"/>
                <w:sz w:val="24"/>
                <w:u w:val="single"/>
              </w:rPr>
              <w:t>Complies</w:t>
            </w:r>
          </w:p>
        </w:tc>
      </w:tr>
      <w:tr>
        <w:trPr/>
        <w:tc>
          <w:tcPr>
            <w:tcW w:w="43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7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0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3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Statement</w:t>
            </w:r>
          </w:p>
        </w:tc>
        <w:tc>
          <w:tcPr>
            <w:tcW w:w="476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Monthly within 30 days (except for the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months ending March 31, June 30, September 30, and December 31)</w:t>
            </w:r>
          </w:p>
        </w:tc>
        <w:tc>
          <w:tcPr>
            <w:tcW w:w="10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Yes No</w:t>
            </w:r>
          </w:p>
        </w:tc>
      </w:tr>
      <w:tr>
        <w:trPr/>
        <w:tc>
          <w:tcPr>
            <w:tcW w:w="43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Quarterly Compliance Statement</w:t>
            </w:r>
          </w:p>
        </w:tc>
        <w:tc>
          <w:tcPr>
            <w:tcW w:w="47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Q1, Q2, and Q3 within 45 days</w:t>
            </w:r>
          </w:p>
        </w:tc>
        <w:tc>
          <w:tcPr>
            <w:tcW w:w="10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 xml:space="preserve">Yes No </w:t>
            </w:r>
          </w:p>
        </w:tc>
      </w:tr>
      <w:tr>
        <w:trPr/>
        <w:tc>
          <w:tcPr>
            <w:tcW w:w="43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10-Q Report</w:t>
            </w:r>
          </w:p>
        </w:tc>
        <w:tc>
          <w:tcPr>
            <w:tcW w:w="47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Within 45 days of Q1, Q2, and Q3 </w:t>
            </w:r>
          </w:p>
        </w:tc>
        <w:tc>
          <w:tcPr>
            <w:tcW w:w="10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Yes No</w:t>
            </w:r>
          </w:p>
        </w:tc>
      </w:tr>
      <w:tr>
        <w:trPr/>
        <w:tc>
          <w:tcPr>
            <w:tcW w:w="43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10-K Report and Annual financial statements (CPA Audited)</w:t>
            </w:r>
          </w:p>
        </w:tc>
        <w:tc>
          <w:tcPr>
            <w:tcW w:w="47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FYE within 90 days</w:t>
            </w:r>
          </w:p>
        </w:tc>
        <w:tc>
          <w:tcPr>
            <w:tcW w:w="10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Yes No</w:t>
            </w:r>
          </w:p>
        </w:tc>
      </w:tr>
      <w:tr>
        <w:trPr/>
        <w:tc>
          <w:tcPr>
            <w:tcW w:w="43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Board approved projections</w:t>
            </w:r>
          </w:p>
        </w:tc>
        <w:tc>
          <w:tcPr>
            <w:tcW w:w="47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FYE within 30 days and as amended/updated</w:t>
            </w:r>
          </w:p>
        </w:tc>
        <w:tc>
          <w:tcPr>
            <w:tcW w:w="10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Yes No</w:t>
            </w:r>
          </w:p>
        </w:tc>
      </w:tr>
      <w:tr>
        <w:trPr/>
        <w:tc>
          <w:tcPr>
            <w:tcW w:w="43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Filed 10-Q, 10-K and 8-K</w:t>
            </w:r>
          </w:p>
        </w:tc>
        <w:tc>
          <w:tcPr>
            <w:tcW w:w="476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Within 10 days after filing with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w:t>
            </w:r>
          </w:p>
        </w:tc>
        <w:tc>
          <w:tcPr>
            <w:tcW w:w="109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Yes No</w:t>
            </w:r>
          </w:p>
        </w:tc>
      </w:tr>
      <w:tr>
        <w:trPr/>
        <w:tc>
          <w:tcPr>
            <w:tcW w:w="10205" w:type="dxa"/>
            <w:gridSpan w:val="3"/>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Section 5.7(a) (Operating Accounts):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Account balances in the name of Borrower and Guarantor at Bank and Bank’s Affiliates: $__________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Dollar Equivalent value of Borrower’s, its Subsidiaries’ and any Guarantor’s cash, wherever located: $__________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Outstanding Obligations under the Agreement: $_________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Is Line A at least 110% of Line C:</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rFonts w:ascii="Times New Roman" w:hAnsi="Times New Roman"/>
          <w:color w:val="000000"/>
          <w:sz w:val="24"/>
        </w:rPr>
      </w:pPr>
      <w:r>
        <w:rPr>
          <w:rFonts w:ascii="Times New Roman" w:hAnsi="Times New Roman"/>
          <w:color w:val="000000"/>
          <w:sz w:val="24"/>
        </w:rPr>
        <w:t>Yes, in compliance: ________</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not in compliance: _________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If not in compliance with Line D: is Line A equal to Line B?</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Yes, in compliance: 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not in compliance: _________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If in compliance with Line D, is Line A greater than or equal to 65% (excluding the account balance maintained in the Permitted JPM Operating Account) of Line B</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Yes, in compliance: 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not in compliance: 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Balance of accounts in the name of Australian Subsidiary: $____________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Yes, in compliance: 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not in compliance: 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Balance of accounts in the name of Irish Subsidiary during Irish Subsidiary Transition Period: $____________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Yes, in compliance: 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rFonts w:ascii="Times New Roman" w:hAnsi="Times New Roman"/>
          <w:color w:val="000000"/>
          <w:sz w:val="24"/>
        </w:rPr>
      </w:pPr>
      <w:r>
        <w:rPr>
          <w:rFonts w:ascii="Times New Roman" w:hAnsi="Times New Roman"/>
          <w:color w:val="000000"/>
          <w:sz w:val="24"/>
        </w:rPr>
        <w:t>No, not in compliance: ________</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5.15 Cash Collateralization: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Outstandings: Obligations with respect to the Term Loan Advances equals: $__________ (if greater than $25,000,000, proceed to (B) and (C) below)</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Liquidity: Unrestricted and unencumbered (other than Liens in favor of Bank arising under the Loan Documents) cash and Cash Equivalents in accounts in the name of Borrower maintained with Bank or Bank’s Affiliates or maintained with financial institutions other than Bank which are subject to a Control Agreement in favor of Bank: $__________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Cash Collateralization: Is Line B less than $100,000,000.00:</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no Trigger Event or Cash Collateralization requirement: _______</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rFonts w:ascii="Times New Roman" w:hAnsi="Times New Roman"/>
          <w:color w:val="000000"/>
          <w:sz w:val="24"/>
        </w:rPr>
      </w:pPr>
      <w:r>
        <w:rPr>
          <w:rFonts w:ascii="Times New Roman" w:hAnsi="Times New Roman"/>
          <w:color w:val="000000"/>
          <w:sz w:val="24"/>
        </w:rPr>
        <w:t>Yes, Trigger Event has occurred, and Cash Collateralization is required: 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following are the exceptions with respect to the statements above: (If no exceptions exist, state “No exceptions to note.”)</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The following bank account information set forth on Schedule 1 attached hereto is true and correct as of the date of this Compliance Statement:</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1</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BANK ACCOUNT REPORT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Under the terms and conditions of the Loan and Security Agreement between Borrower and Bank (as amended, modified, supplemented and/or restated from time to time,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Borrower confirms that the below disclosed accounts represent all depository accounts and securities accounts presently open in the name of each Borrower, Subsidiary, or Guarantor, as applicable.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Each new account that has been opened since delivery of the previous Compliance Certificate is designated below with a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22"/>
        <w:gridCol w:w="226"/>
        <w:gridCol w:w="1374"/>
        <w:gridCol w:w="1421"/>
        <w:gridCol w:w="2012"/>
        <w:gridCol w:w="1737"/>
        <w:gridCol w:w="1313"/>
      </w:tblGrid>
      <w:tr>
        <w:trPr/>
        <w:tc>
          <w:tcPr>
            <w:tcW w:w="21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2122" w:type="dxa"/>
            <w:tcBorders>
              <w:top w:val="single" w:sz="4" w:space="0" w:color="000000"/>
              <w:left w:val="single" w:sz="4" w:space="0" w:color="000000"/>
              <w:bottom w:val="single" w:sz="4" w:space="0" w:color="000000"/>
            </w:tcBorders>
            <w:tcMar>
              <w:left w:w="108"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37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Depository AC #</w:t>
            </w:r>
          </w:p>
        </w:tc>
        <w:tc>
          <w:tcPr>
            <w:tcW w:w="142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Financial Institution</w:t>
            </w:r>
          </w:p>
        </w:tc>
        <w:tc>
          <w:tcPr>
            <w:tcW w:w="2012"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Account Type (Depository / Securities)</w:t>
            </w:r>
          </w:p>
        </w:tc>
        <w:tc>
          <w:tcPr>
            <w:tcW w:w="173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Last Month Ending Account Balance</w:t>
            </w:r>
          </w:p>
        </w:tc>
        <w:tc>
          <w:tcPr>
            <w:tcW w:w="131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Purpose of Account</w:t>
            </w:r>
          </w:p>
        </w:tc>
      </w:tr>
      <w:tr>
        <w:trPr/>
        <w:tc>
          <w:tcPr>
            <w:tcW w:w="212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BORROWER Name/Address:</w:t>
            </w:r>
          </w:p>
        </w:tc>
        <w:tc>
          <w:tcPr>
            <w:tcW w:w="8083" w:type="dxa"/>
            <w:gridSpan w:val="6"/>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1</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2</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3</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4</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5</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6</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7</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0205" w:type="dxa"/>
            <w:gridSpan w:val="7"/>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r>
      <w:tr>
        <w:trPr/>
        <w:tc>
          <w:tcPr>
            <w:tcW w:w="212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SUBSIDIARY Name/Address</w:t>
            </w:r>
          </w:p>
        </w:tc>
        <w:tc>
          <w:tcPr>
            <w:tcW w:w="8083" w:type="dxa"/>
            <w:gridSpan w:val="6"/>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1</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2</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3</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4</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5</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6</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7</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0205" w:type="dxa"/>
            <w:gridSpan w:val="7"/>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r>
      <w:tr>
        <w:trPr/>
        <w:tc>
          <w:tcPr>
            <w:tcW w:w="212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Guarantor</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Name/Address</w:t>
            </w:r>
          </w:p>
        </w:tc>
        <w:tc>
          <w:tcPr>
            <w:tcW w:w="8083" w:type="dxa"/>
            <w:gridSpan w:val="6"/>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1</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2</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3</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4</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1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5</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1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62" w:type="dxa"/>
        <w:jc w:val="left"/>
        <w:tblInd w:w="0" w:type="dxa"/>
        <w:tblLayout w:type="fixed"/>
        <w:tblCellMar>
          <w:top w:w="28" w:type="dxa"/>
          <w:left w:w="28" w:type="dxa"/>
          <w:bottom w:w="28" w:type="dxa"/>
          <w:right w:w="28" w:type="dxa"/>
        </w:tblCellMar>
      </w:tblPr>
      <w:tblGrid>
        <w:gridCol w:w="161"/>
        <w:gridCol w:w="22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6</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161"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7</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2</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Perfection Certificate Updates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3" w:name="olma-ex31_1.htm"/>
      <w:bookmarkStart w:id="24" w:name="ksolma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Sean Bohen, M.D.,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518" w:type="dxa"/>
        <w:jc w:val="left"/>
        <w:tblInd w:w="0" w:type="dxa"/>
        <w:tblLayout w:type="fixed"/>
        <w:tblCellMar>
          <w:top w:w="28" w:type="dxa"/>
          <w:left w:w="28" w:type="dxa"/>
          <w:bottom w:w="28" w:type="dxa"/>
          <w:right w:w="28" w:type="dxa"/>
        </w:tblCellMar>
      </w:tblPr>
      <w:tblGrid>
        <w:gridCol w:w="1951"/>
        <w:gridCol w:w="406"/>
        <w:gridCol w:w="516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olma-ex32_1.htm"/>
      <w:bookmarkStart w:id="26" w:name="ksolma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Bohen, M.D. Ph.D., President and Chief Executive Officer of Olema Pharmaceuticals,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7518" w:type="dxa"/>
        <w:jc w:val="left"/>
        <w:tblInd w:w="0" w:type="dxa"/>
        <w:tblLayout w:type="fixed"/>
        <w:tblCellMar>
          <w:top w:w="28" w:type="dxa"/>
          <w:left w:w="28" w:type="dxa"/>
          <w:bottom w:w="28" w:type="dxa"/>
          <w:right w:w="28" w:type="dxa"/>
        </w:tblCellMar>
      </w:tblPr>
      <w:tblGrid>
        <w:gridCol w:w="1951"/>
        <w:gridCol w:w="406"/>
        <w:gridCol w:w="516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Principal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84/000110465920128482/tm2027048d18_ex3-1.htm" TargetMode="External"/><Relationship Id="rId3" Type="http://schemas.openxmlformats.org/officeDocument/2006/relationships/hyperlink" Target="https://www.sec.gov/Archives/edgar/data/1750284/000155837022018762/olma-20221215xex3d1.htm" TargetMode="External"/><Relationship Id="rId4" Type="http://schemas.openxmlformats.org/officeDocument/2006/relationships/hyperlink" Target="https://www.sec.gov/Archives/edgar/data/1750284/000119312526218156/olma-ex10_3.htm" TargetMode="External"/><Relationship Id="rId5" Type="http://schemas.openxmlformats.org/officeDocument/2006/relationships/hyperlink" Target="https://www.sec.gov/Archives/edgar/data/1750284/000119312526218156/olma-ex10_4.htm" TargetMode="External"/><Relationship Id="rId6" Type="http://schemas.openxmlformats.org/officeDocument/2006/relationships/hyperlink" Target="https://www.sec.gov/Archives/edgar/data/1750284/000119312526218156/olma-ex10_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76841</Words>
  <Characters>434874</Characters>
  <CharactersWithSpaces>513563</CharactersWithSpaces>
  <Paragraphs>7449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