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817245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834390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72" w:lineRule="exact"/>
        <w:rPr>
          <w:sz w:val="24"/>
          <w:szCs w:val="24"/>
          <w:color w:val="auto"/>
        </w:rPr>
      </w:pPr>
    </w:p>
    <w:p>
      <w:pPr>
        <w:ind w:left="520" w:hanging="508"/>
        <w:spacing w:after="0"/>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81" w:lineRule="exact"/>
        <w:rPr>
          <w:rFonts w:ascii="MS PGothic" w:cs="MS PGothic" w:eastAsia="MS PGothic" w:hAnsi="MS PGothic"/>
          <w:sz w:val="18"/>
          <w:szCs w:val="18"/>
          <w:color w:val="auto"/>
          <w:highlight w:val="black"/>
        </w:rPr>
      </w:pPr>
    </w:p>
    <w:p>
      <w:pPr>
        <w:ind w:left="368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For the quarterly period ended September 30, 2025</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81" w:lineRule="exact"/>
        <w:rPr>
          <w:sz w:val="24"/>
          <w:szCs w:val="24"/>
          <w:color w:val="auto"/>
        </w:rPr>
      </w:pPr>
    </w:p>
    <w:p>
      <w:pPr>
        <w:ind w:left="520" w:hanging="508"/>
        <w:spacing w:after="0"/>
        <w:tabs>
          <w:tab w:leader="none" w:pos="5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81"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For the transition period from _______ to _______</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001-39712</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OLEMA PHARMACEUTICALS,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70" w:lineRule="exact"/>
        <w:rPr>
          <w:sz w:val="24"/>
          <w:szCs w:val="24"/>
          <w:color w:val="auto"/>
        </w:rPr>
      </w:pPr>
    </w:p>
    <w:tbl>
      <w:tblPr>
        <w:tblLayout w:type="fixed"/>
        <w:tblInd w:w="1640" w:type="dxa"/>
        <w:tblCellMar>
          <w:top w:w="0" w:type="dxa"/>
          <w:left w:w="0" w:type="dxa"/>
          <w:bottom w:w="0" w:type="dxa"/>
          <w:right w:w="0" w:type="dxa"/>
        </w:tblCellMar>
      </w:tblPr>
      <w:tr>
        <w:trPr>
          <w:trHeight w:val="185"/>
        </w:trPr>
        <w:tc>
          <w:tcPr>
            <w:tcW w:w="4300" w:type="dxa"/>
            <w:vAlign w:val="bottom"/>
          </w:tcPr>
          <w:p>
            <w:pPr>
              <w:jc w:val="center"/>
              <w:ind w:right="1868"/>
              <w:spacing w:after="0"/>
              <w:rPr>
                <w:sz w:val="20"/>
                <w:szCs w:val="20"/>
                <w:color w:val="auto"/>
              </w:rPr>
            </w:pPr>
            <w:r>
              <w:rPr>
                <w:rFonts w:ascii="Arial" w:cs="Arial" w:eastAsia="Arial" w:hAnsi="Arial"/>
                <w:sz w:val="16"/>
                <w:szCs w:val="16"/>
                <w:b w:val="1"/>
                <w:bCs w:val="1"/>
                <w:color w:val="auto"/>
              </w:rPr>
              <w:t>Delaware</w:t>
            </w:r>
          </w:p>
        </w:tc>
        <w:tc>
          <w:tcPr>
            <w:tcW w:w="3020" w:type="dxa"/>
            <w:vAlign w:val="bottom"/>
          </w:tcPr>
          <w:p>
            <w:pPr>
              <w:jc w:val="right"/>
              <w:ind w:right="30"/>
              <w:spacing w:after="0"/>
              <w:rPr>
                <w:sz w:val="20"/>
                <w:szCs w:val="20"/>
                <w:color w:val="auto"/>
              </w:rPr>
            </w:pPr>
            <w:r>
              <w:rPr>
                <w:rFonts w:ascii="Arial" w:cs="Arial" w:eastAsia="Arial" w:hAnsi="Arial"/>
                <w:sz w:val="16"/>
                <w:szCs w:val="16"/>
                <w:b w:val="1"/>
                <w:bCs w:val="1"/>
                <w:color w:val="auto"/>
              </w:rPr>
              <w:t>30-0409740</w:t>
            </w:r>
          </w:p>
        </w:tc>
      </w:tr>
      <w:tr>
        <w:trPr>
          <w:trHeight w:val="135"/>
        </w:trPr>
        <w:tc>
          <w:tcPr>
            <w:tcW w:w="4300" w:type="dxa"/>
            <w:vAlign w:val="bottom"/>
          </w:tcPr>
          <w:p>
            <w:pPr>
              <w:jc w:val="center"/>
              <w:ind w:right="1868"/>
              <w:spacing w:after="0" w:line="135" w:lineRule="exact"/>
              <w:rPr>
                <w:sz w:val="20"/>
                <w:szCs w:val="20"/>
                <w:color w:val="auto"/>
              </w:rPr>
            </w:pPr>
            <w:r>
              <w:rPr>
                <w:rFonts w:ascii="Arial" w:cs="Arial" w:eastAsia="Arial" w:hAnsi="Arial"/>
                <w:sz w:val="13"/>
                <w:szCs w:val="13"/>
                <w:b w:val="1"/>
                <w:bCs w:val="1"/>
                <w:color w:val="auto"/>
                <w:w w:val="96"/>
              </w:rPr>
              <w:t>(State or other jurisdiction of</w:t>
            </w:r>
          </w:p>
        </w:tc>
        <w:tc>
          <w:tcPr>
            <w:tcW w:w="3020" w:type="dxa"/>
            <w:vAlign w:val="bottom"/>
          </w:tcPr>
          <w:p>
            <w:pPr>
              <w:jc w:val="center"/>
              <w:ind w:left="1890"/>
              <w:spacing w:after="0" w:line="135" w:lineRule="exact"/>
              <w:rPr>
                <w:sz w:val="20"/>
                <w:szCs w:val="20"/>
                <w:color w:val="auto"/>
              </w:rPr>
            </w:pPr>
            <w:r>
              <w:rPr>
                <w:rFonts w:ascii="Arial" w:cs="Arial" w:eastAsia="Arial" w:hAnsi="Arial"/>
                <w:sz w:val="13"/>
                <w:szCs w:val="13"/>
                <w:b w:val="1"/>
                <w:bCs w:val="1"/>
                <w:color w:val="auto"/>
                <w:w w:val="98"/>
              </w:rPr>
              <w:t>(I.R.S. Employer</w:t>
            </w:r>
          </w:p>
        </w:tc>
      </w:tr>
      <w:tr>
        <w:trPr>
          <w:trHeight w:val="139"/>
        </w:trPr>
        <w:tc>
          <w:tcPr>
            <w:tcW w:w="4300" w:type="dxa"/>
            <w:vAlign w:val="bottom"/>
          </w:tcPr>
          <w:p>
            <w:pPr>
              <w:jc w:val="center"/>
              <w:ind w:right="1868"/>
              <w:spacing w:after="0" w:line="139" w:lineRule="exact"/>
              <w:rPr>
                <w:sz w:val="20"/>
                <w:szCs w:val="20"/>
                <w:color w:val="auto"/>
              </w:rPr>
            </w:pPr>
            <w:r>
              <w:rPr>
                <w:rFonts w:ascii="Arial" w:cs="Arial" w:eastAsia="Arial" w:hAnsi="Arial"/>
                <w:sz w:val="13"/>
                <w:szCs w:val="13"/>
                <w:b w:val="1"/>
                <w:bCs w:val="1"/>
                <w:color w:val="auto"/>
                <w:w w:val="96"/>
              </w:rPr>
              <w:t>incorporation or organization)</w:t>
            </w:r>
          </w:p>
        </w:tc>
        <w:tc>
          <w:tcPr>
            <w:tcW w:w="3020" w:type="dxa"/>
            <w:vAlign w:val="bottom"/>
          </w:tcPr>
          <w:p>
            <w:pPr>
              <w:jc w:val="center"/>
              <w:ind w:left="1890"/>
              <w:spacing w:after="0" w:line="139" w:lineRule="exact"/>
              <w:rPr>
                <w:sz w:val="20"/>
                <w:szCs w:val="20"/>
                <w:color w:val="auto"/>
              </w:rPr>
            </w:pPr>
            <w:r>
              <w:rPr>
                <w:rFonts w:ascii="Arial" w:cs="Arial" w:eastAsia="Arial" w:hAnsi="Arial"/>
                <w:sz w:val="13"/>
                <w:szCs w:val="13"/>
                <w:b w:val="1"/>
                <w:bCs w:val="1"/>
                <w:color w:val="auto"/>
                <w:w w:val="96"/>
              </w:rPr>
              <w:t>Identification No.)</w:t>
            </w:r>
          </w:p>
        </w:tc>
      </w:tr>
      <w:tr>
        <w:trPr>
          <w:trHeight w:val="189"/>
        </w:trPr>
        <w:tc>
          <w:tcPr>
            <w:tcW w:w="4300" w:type="dxa"/>
            <w:vAlign w:val="bottom"/>
          </w:tcPr>
          <w:p>
            <w:pPr>
              <w:jc w:val="center"/>
              <w:ind w:right="1868"/>
              <w:spacing w:after="0"/>
              <w:rPr>
                <w:sz w:val="20"/>
                <w:szCs w:val="20"/>
                <w:color w:val="auto"/>
              </w:rPr>
            </w:pPr>
            <w:r>
              <w:rPr>
                <w:rFonts w:ascii="Arial" w:cs="Arial" w:eastAsia="Arial" w:hAnsi="Arial"/>
                <w:sz w:val="16"/>
                <w:szCs w:val="16"/>
                <w:b w:val="1"/>
                <w:bCs w:val="1"/>
                <w:color w:val="auto"/>
              </w:rPr>
              <w:t>780 Brannan Street</w:t>
            </w:r>
          </w:p>
        </w:tc>
        <w:tc>
          <w:tcPr>
            <w:tcW w:w="3020" w:type="dxa"/>
            <w:vAlign w:val="bottom"/>
          </w:tcPr>
          <w:p>
            <w:pPr>
              <w:spacing w:after="0"/>
              <w:rPr>
                <w:sz w:val="16"/>
                <w:szCs w:val="16"/>
                <w:color w:val="auto"/>
              </w:rPr>
            </w:pPr>
          </w:p>
        </w:tc>
      </w:tr>
      <w:tr>
        <w:trPr>
          <w:trHeight w:val="185"/>
        </w:trPr>
        <w:tc>
          <w:tcPr>
            <w:tcW w:w="4300" w:type="dxa"/>
            <w:vAlign w:val="bottom"/>
          </w:tcPr>
          <w:p>
            <w:pPr>
              <w:jc w:val="center"/>
              <w:ind w:right="1868"/>
              <w:spacing w:after="0"/>
              <w:rPr>
                <w:sz w:val="20"/>
                <w:szCs w:val="20"/>
                <w:color w:val="auto"/>
              </w:rPr>
            </w:pPr>
            <w:r>
              <w:rPr>
                <w:rFonts w:ascii="Arial" w:cs="Arial" w:eastAsia="Arial" w:hAnsi="Arial"/>
                <w:sz w:val="16"/>
                <w:szCs w:val="16"/>
                <w:b w:val="1"/>
                <w:bCs w:val="1"/>
                <w:color w:val="auto"/>
              </w:rPr>
              <w:t>San Francisco, CA</w:t>
            </w:r>
          </w:p>
        </w:tc>
        <w:tc>
          <w:tcPr>
            <w:tcW w:w="3020" w:type="dxa"/>
            <w:vAlign w:val="bottom"/>
          </w:tcPr>
          <w:p>
            <w:pPr>
              <w:jc w:val="right"/>
              <w:ind w:right="230"/>
              <w:spacing w:after="0"/>
              <w:rPr>
                <w:sz w:val="20"/>
                <w:szCs w:val="20"/>
                <w:color w:val="auto"/>
              </w:rPr>
            </w:pPr>
            <w:r>
              <w:rPr>
                <w:rFonts w:ascii="Arial" w:cs="Arial" w:eastAsia="Arial" w:hAnsi="Arial"/>
                <w:sz w:val="16"/>
                <w:szCs w:val="16"/>
                <w:b w:val="1"/>
                <w:bCs w:val="1"/>
                <w:color w:val="auto"/>
              </w:rPr>
              <w:t>94103</w:t>
            </w:r>
          </w:p>
        </w:tc>
      </w:tr>
      <w:tr>
        <w:trPr>
          <w:trHeight w:val="172"/>
        </w:trPr>
        <w:tc>
          <w:tcPr>
            <w:tcW w:w="4300" w:type="dxa"/>
            <w:vAlign w:val="bottom"/>
          </w:tcPr>
          <w:p>
            <w:pPr>
              <w:jc w:val="center"/>
              <w:ind w:right="1868"/>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3020" w:type="dxa"/>
            <w:vAlign w:val="bottom"/>
          </w:tcPr>
          <w:p>
            <w:pPr>
              <w:jc w:val="center"/>
              <w:ind w:left="1890"/>
              <w:spacing w:after="0"/>
              <w:rPr>
                <w:sz w:val="20"/>
                <w:szCs w:val="20"/>
                <w:color w:val="auto"/>
              </w:rPr>
            </w:pPr>
            <w:r>
              <w:rPr>
                <w:rFonts w:ascii="Arial" w:cs="Arial" w:eastAsia="Arial" w:hAnsi="Arial"/>
                <w:sz w:val="13"/>
                <w:szCs w:val="13"/>
                <w:b w:val="1"/>
                <w:bCs w:val="1"/>
                <w:color w:val="auto"/>
                <w:w w:val="96"/>
              </w:rPr>
              <w:t>(Zip Code)</w:t>
            </w:r>
          </w:p>
        </w:tc>
      </w:tr>
    </w:tbl>
    <w:p>
      <w:pPr>
        <w:spacing w:after="0" w:line="12"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b w:val="1"/>
          <w:bCs w:val="1"/>
          <w:color w:val="auto"/>
        </w:rPr>
        <w:t>Registrant’s telephone number, including area code: (415) 651</w:t>
      </w:r>
      <w:r>
        <w:rPr>
          <w:rFonts w:ascii="MS PGothic" w:cs="MS PGothic" w:eastAsia="MS PGothic" w:hAnsi="MS PGothic"/>
          <w:sz w:val="16"/>
          <w:szCs w:val="16"/>
          <w:color w:val="auto"/>
          <w:strike w:val="1"/>
        </w:rPr>
        <w:t>‑</w:t>
      </w:r>
      <w:r>
        <w:rPr>
          <w:rFonts w:ascii="Arial" w:cs="Arial" w:eastAsia="Arial" w:hAnsi="Arial"/>
          <w:sz w:val="16"/>
          <w:szCs w:val="16"/>
          <w:b w:val="1"/>
          <w:bCs w:val="1"/>
          <w:color w:val="auto"/>
        </w:rPr>
        <w:t>3316</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50" w:lineRule="exact"/>
        <w:rPr>
          <w:sz w:val="24"/>
          <w:szCs w:val="24"/>
          <w:color w:val="auto"/>
        </w:rPr>
      </w:pPr>
    </w:p>
    <w:tbl>
      <w:tblPr>
        <w:tblLayout w:type="fixed"/>
        <w:tblInd w:w="10" w:type="dxa"/>
        <w:tblCellMar>
          <w:top w:w="0" w:type="dxa"/>
          <w:left w:w="0" w:type="dxa"/>
          <w:bottom w:w="0" w:type="dxa"/>
          <w:right w:w="0" w:type="dxa"/>
        </w:tblCellMar>
      </w:tblPr>
      <w:tr>
        <w:trPr>
          <w:trHeight w:val="190"/>
        </w:trPr>
        <w:tc>
          <w:tcPr>
            <w:tcW w:w="396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900" w:type="dxa"/>
            <w:vAlign w:val="bottom"/>
          </w:tcPr>
          <w:p>
            <w:pPr>
              <w:spacing w:after="0"/>
              <w:rPr>
                <w:sz w:val="16"/>
                <w:szCs w:val="16"/>
                <w:color w:val="auto"/>
              </w:rPr>
            </w:pPr>
          </w:p>
        </w:tc>
        <w:tc>
          <w:tcPr>
            <w:tcW w:w="5380" w:type="dxa"/>
            <w:vAlign w:val="bottom"/>
          </w:tcPr>
          <w:p>
            <w:pPr>
              <w:spacing w:after="0"/>
              <w:rPr>
                <w:sz w:val="16"/>
                <w:szCs w:val="16"/>
                <w:color w:val="auto"/>
              </w:rPr>
            </w:pPr>
          </w:p>
        </w:tc>
      </w:tr>
      <w:tr>
        <w:trPr>
          <w:trHeight w:val="79"/>
        </w:trPr>
        <w:tc>
          <w:tcPr>
            <w:tcW w:w="3960" w:type="dxa"/>
            <w:vAlign w:val="bottom"/>
            <w:tcBorders>
              <w:bottom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5380" w:type="dxa"/>
            <w:vAlign w:val="bottom"/>
            <w:tcBorders>
              <w:bottom w:val="single" w:sz="8" w:color="auto"/>
            </w:tcBorders>
          </w:tcPr>
          <w:p>
            <w:pPr>
              <w:spacing w:after="0"/>
              <w:rPr>
                <w:sz w:val="6"/>
                <w:szCs w:val="6"/>
                <w:color w:val="auto"/>
              </w:rPr>
            </w:pPr>
          </w:p>
        </w:tc>
      </w:tr>
      <w:tr>
        <w:trPr>
          <w:trHeight w:val="155"/>
        </w:trPr>
        <w:tc>
          <w:tcPr>
            <w:tcW w:w="3960" w:type="dxa"/>
            <w:vAlign w:val="bottom"/>
            <w:tcBorders>
              <w:left w:val="single" w:sz="8" w:color="auto"/>
              <w:bottom w:val="single" w:sz="8" w:color="auto"/>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Title of Each Class of Securities Registered</w:t>
            </w:r>
          </w:p>
        </w:tc>
        <w:tc>
          <w:tcPr>
            <w:tcW w:w="1900" w:type="dxa"/>
            <w:vAlign w:val="bottom"/>
            <w:tcBorders>
              <w:bottom w:val="single" w:sz="8" w:color="auto"/>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Trading Symbol</w:t>
            </w:r>
          </w:p>
        </w:tc>
        <w:tc>
          <w:tcPr>
            <w:tcW w:w="5380" w:type="dxa"/>
            <w:vAlign w:val="bottom"/>
            <w:tcBorders>
              <w:bottom w:val="single" w:sz="8" w:color="auto"/>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Name of Each Exchange on which Securities are Registered</w:t>
            </w:r>
          </w:p>
        </w:tc>
      </w:tr>
      <w:tr>
        <w:trPr>
          <w:trHeight w:val="139"/>
        </w:trPr>
        <w:tc>
          <w:tcPr>
            <w:tcW w:w="3960" w:type="dxa"/>
            <w:vAlign w:val="bottom"/>
            <w:tcBorders>
              <w:left w:val="single" w:sz="8" w:color="auto"/>
              <w:bottom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color w:val="auto"/>
              </w:rPr>
              <w:t>Common Stock, par value $0.0001 per share</w:t>
            </w:r>
          </w:p>
        </w:tc>
        <w:tc>
          <w:tcPr>
            <w:tcW w:w="1900" w:type="dxa"/>
            <w:vAlign w:val="bottom"/>
            <w:tcBorders>
              <w:bottom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color w:val="auto"/>
              </w:rPr>
              <w:t>OLMA</w:t>
            </w:r>
          </w:p>
        </w:tc>
        <w:tc>
          <w:tcPr>
            <w:tcW w:w="5380" w:type="dxa"/>
            <w:vAlign w:val="bottom"/>
            <w:tcBorders>
              <w:bottom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color w:val="auto"/>
              </w:rPr>
              <w:t>The Nasdaq Global Select Market</w:t>
            </w:r>
          </w:p>
        </w:tc>
      </w:tr>
    </w:tbl>
    <w:p>
      <w:pPr>
        <w:spacing w:after="0" w:line="72" w:lineRule="exact"/>
        <w:rPr>
          <w:sz w:val="24"/>
          <w:szCs w:val="24"/>
          <w:color w:val="auto"/>
        </w:rPr>
      </w:pPr>
    </w:p>
    <w:p>
      <w:pPr>
        <w:jc w:val="both"/>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jc w:val="both"/>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jc w:val="both"/>
        <w:spacing w:after="0" w:line="186" w:lineRule="exact"/>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Arial" w:cs="Arial" w:eastAsia="Arial" w:hAnsi="Arial"/>
          <w:sz w:val="14"/>
          <w:szCs w:val="14"/>
          <w:color w:val="auto"/>
        </w:rPr>
        <w:t>2 of the Exchange Act.</w:t>
      </w:r>
    </w:p>
    <w:p>
      <w:pPr>
        <w:spacing w:after="0" w:line="16"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20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2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40" w:type="dxa"/>
            <w:vAlign w:val="bottom"/>
          </w:tcPr>
          <w:p>
            <w:pPr>
              <w:ind w:left="3080"/>
              <w:spacing w:after="0"/>
              <w:rPr>
                <w:sz w:val="20"/>
                <w:szCs w:val="20"/>
                <w:color w:val="auto"/>
              </w:rPr>
            </w:pPr>
            <w:r>
              <w:rPr>
                <w:rFonts w:ascii="Arial" w:cs="Arial" w:eastAsia="Arial" w:hAnsi="Arial"/>
                <w:sz w:val="14"/>
                <w:szCs w:val="14"/>
                <w:color w:val="auto"/>
              </w:rPr>
              <w:t>Accelerated filer</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6"/>
        </w:trPr>
        <w:tc>
          <w:tcPr>
            <w:tcW w:w="2000" w:type="dxa"/>
            <w:vAlign w:val="bottom"/>
          </w:tcPr>
          <w:p>
            <w:pPr>
              <w:spacing w:after="0"/>
              <w:rPr>
                <w:sz w:val="20"/>
                <w:szCs w:val="20"/>
                <w:color w:val="auto"/>
              </w:rPr>
            </w:pPr>
            <w:r>
              <w:rPr>
                <w:rFonts w:ascii="Arial" w:cs="Arial" w:eastAsia="Arial" w:hAnsi="Arial"/>
                <w:sz w:val="14"/>
                <w:szCs w:val="14"/>
                <w:color w:val="auto"/>
              </w:rPr>
              <w:t>Non-accelerated filer</w:t>
            </w:r>
          </w:p>
        </w:tc>
        <w:tc>
          <w:tcPr>
            <w:tcW w:w="352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40" w:type="dxa"/>
            <w:vAlign w:val="bottom"/>
          </w:tcPr>
          <w:p>
            <w:pPr>
              <w:ind w:left="3080"/>
              <w:spacing w:after="0"/>
              <w:rPr>
                <w:sz w:val="20"/>
                <w:szCs w:val="20"/>
                <w:color w:val="auto"/>
              </w:rPr>
            </w:pPr>
            <w:r>
              <w:rPr>
                <w:rFonts w:ascii="Arial" w:cs="Arial" w:eastAsia="Arial" w:hAnsi="Arial"/>
                <w:sz w:val="14"/>
                <w:szCs w:val="14"/>
                <w:color w:val="auto"/>
              </w:rPr>
              <w:t>Smaller reporting company</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0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52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40" w:type="dxa"/>
            <w:vAlign w:val="bottom"/>
          </w:tcPr>
          <w:p>
            <w:pPr>
              <w:spacing w:after="0"/>
              <w:rPr>
                <w:sz w:val="21"/>
                <w:szCs w:val="21"/>
                <w:color w:val="auto"/>
              </w:rPr>
            </w:pPr>
          </w:p>
        </w:tc>
        <w:tc>
          <w:tcPr>
            <w:tcW w:w="460" w:type="dxa"/>
            <w:vAlign w:val="bottom"/>
          </w:tcPr>
          <w:p>
            <w:pPr>
              <w:spacing w:after="0"/>
              <w:rPr>
                <w:sz w:val="21"/>
                <w:szCs w:val="21"/>
                <w:color w:val="auto"/>
              </w:rPr>
            </w:pPr>
          </w:p>
        </w:tc>
      </w:tr>
    </w:tbl>
    <w:p>
      <w:pPr>
        <w:spacing w:after="0" w:line="46" w:lineRule="exact"/>
        <w:rPr>
          <w:sz w:val="24"/>
          <w:szCs w:val="24"/>
          <w:color w:val="auto"/>
        </w:rPr>
      </w:pPr>
    </w:p>
    <w:p>
      <w:pPr>
        <w:jc w:val="both"/>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Arial" w:cs="Arial" w:eastAsia="Arial" w:hAnsi="Arial"/>
          <w:sz w:val="14"/>
          <w:szCs w:val="14"/>
          <w:color w:val="auto"/>
        </w:rPr>
        <w:t xml:space="preserve">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3" w:lineRule="exact"/>
        <w:rPr>
          <w:sz w:val="24"/>
          <w:szCs w:val="24"/>
          <w:color w:val="auto"/>
        </w:rPr>
      </w:pPr>
    </w:p>
    <w:p>
      <w:pPr>
        <w:jc w:val="both"/>
        <w:spacing w:after="0" w:line="263" w:lineRule="auto"/>
        <w:rPr>
          <w:sz w:val="20"/>
          <w:szCs w:val="20"/>
          <w:color w:val="auto"/>
        </w:rPr>
      </w:pPr>
      <w:r>
        <w:rPr>
          <w:rFonts w:ascii="Arial" w:cs="Arial" w:eastAsia="Arial" w:hAnsi="Arial"/>
          <w:sz w:val="14"/>
          <w:szCs w:val="14"/>
          <w:color w:val="auto"/>
        </w:rPr>
        <w:t>As of November 5, 2025, the number of outstanding shares of the Registrant’s common stock was 68,659,923. This number does not include 17,094,163 shares of common stock issuable upon the exercise of pre-funded warrants (which are immediately exercisable at an exercise price of $0.0001 per share of common stock, subject to beneficial ownership limitations) (See Notes 2 and 12 to Registrant's condensed consolidated financial statements).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985520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0" w:type="dxa"/>
            <w:vAlign w:val="bottom"/>
          </w:tcPr>
          <w:p>
            <w:pPr>
              <w:spacing w:after="0"/>
              <w:rPr>
                <w:sz w:val="19"/>
                <w:szCs w:val="19"/>
                <w:color w:val="auto"/>
              </w:rPr>
            </w:pPr>
          </w:p>
        </w:tc>
        <w:tc>
          <w:tcPr>
            <w:tcW w:w="2940" w:type="dxa"/>
            <w:vAlign w:val="bottom"/>
            <w:gridSpan w:val="8"/>
            <w:vMerge w:val="restart"/>
          </w:tcPr>
          <w:p>
            <w:pPr>
              <w:spacing w:after="0"/>
              <w:rPr>
                <w:sz w:val="20"/>
                <w:szCs w:val="20"/>
                <w:color w:val="auto"/>
              </w:rPr>
            </w:pPr>
            <w:r>
              <w:rPr>
                <w:rFonts w:ascii="Arial" w:cs="Arial" w:eastAsia="Arial" w:hAnsi="Arial"/>
                <w:sz w:val="18"/>
                <w:szCs w:val="18"/>
                <w:color w:val="0000EE"/>
                <w:w w:val="99"/>
              </w:rPr>
              <w:t>PART I. FINANCIAL INFORMATION</w:t>
            </w:r>
          </w:p>
        </w:tc>
        <w:tc>
          <w:tcPr>
            <w:tcW w:w="7520" w:type="dxa"/>
            <w:vAlign w:val="bottom"/>
            <w:gridSpan w:val="11"/>
            <w:vMerge w:val="restart"/>
          </w:tcPr>
          <w:p>
            <w:pPr>
              <w:spacing w:after="0"/>
              <w:rPr>
                <w:sz w:val="19"/>
                <w:szCs w:val="19"/>
                <w:color w:val="auto"/>
              </w:rPr>
            </w:pP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4"/>
                <w:szCs w:val="14"/>
                <w:color w:val="auto"/>
              </w:rPr>
            </w:pPr>
          </w:p>
        </w:tc>
        <w:tc>
          <w:tcPr>
            <w:tcW w:w="2940" w:type="dxa"/>
            <w:vAlign w:val="bottom"/>
            <w:tcBorders>
              <w:bottom w:val="single" w:sz="8" w:color="0000EE"/>
            </w:tcBorders>
            <w:gridSpan w:val="8"/>
            <w:vMerge w:val="continue"/>
          </w:tcPr>
          <w:p>
            <w:pPr>
              <w:spacing w:after="0"/>
              <w:rPr>
                <w:sz w:val="14"/>
                <w:szCs w:val="14"/>
                <w:color w:val="auto"/>
              </w:rPr>
            </w:pPr>
          </w:p>
        </w:tc>
        <w:tc>
          <w:tcPr>
            <w:tcW w:w="7520" w:type="dxa"/>
            <w:vAlign w:val="bottom"/>
            <w:gridSpan w:val="11"/>
            <w:vMerge w:val="continue"/>
          </w:tcPr>
          <w:p>
            <w:pPr>
              <w:spacing w:after="0"/>
              <w:rPr>
                <w:sz w:val="14"/>
                <w:szCs w:val="14"/>
                <w:color w:val="auto"/>
              </w:rPr>
            </w:pPr>
          </w:p>
        </w:tc>
        <w:tc>
          <w:tcPr>
            <w:tcW w:w="6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10460" w:type="dxa"/>
            <w:vAlign w:val="bottom"/>
            <w:gridSpan w:val="19"/>
          </w:tcPr>
          <w:p>
            <w:pPr>
              <w:spacing w:after="0" w:line="182" w:lineRule="exact"/>
              <w:rPr>
                <w:sz w:val="20"/>
                <w:szCs w:val="20"/>
                <w:color w:val="auto"/>
              </w:rPr>
            </w:pPr>
            <w:r>
              <w:rPr>
                <w:rFonts w:ascii="Arial" w:cs="Arial" w:eastAsia="Arial" w:hAnsi="Arial"/>
                <w:sz w:val="18"/>
                <w:szCs w:val="18"/>
                <w:color w:val="0000EE"/>
              </w:rPr>
              <w:t>Item 1. Financial Statements (unaudited)</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3240" w:type="dxa"/>
            <w:vAlign w:val="bottom"/>
            <w:tcBorders>
              <w:top w:val="single" w:sz="8" w:color="0000EE"/>
              <w:bottom w:val="single" w:sz="8" w:color="0000EE"/>
            </w:tcBorders>
            <w:gridSpan w:val="10"/>
          </w:tcPr>
          <w:p>
            <w:pPr>
              <w:spacing w:after="0" w:line="182" w:lineRule="exact"/>
              <w:rPr>
                <w:sz w:val="20"/>
                <w:szCs w:val="20"/>
                <w:color w:val="auto"/>
              </w:rPr>
            </w:pPr>
            <w:r>
              <w:rPr>
                <w:rFonts w:ascii="Arial" w:cs="Arial" w:eastAsia="Arial" w:hAnsi="Arial"/>
                <w:sz w:val="18"/>
                <w:szCs w:val="18"/>
                <w:color w:val="0000EE"/>
                <w:w w:val="96"/>
              </w:rPr>
              <w:t>Condensed Consolidated Balance Sheets</w:t>
            </w:r>
          </w:p>
        </w:tc>
        <w:tc>
          <w:tcPr>
            <w:tcW w:w="100" w:type="dxa"/>
            <w:vAlign w:val="bottom"/>
            <w:tcBorders>
              <w:bottom w:val="single" w:sz="8" w:color="0000EE"/>
            </w:tcBorders>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3340" w:type="dxa"/>
            <w:vAlign w:val="bottom"/>
            <w:gridSpan w:val="11"/>
          </w:tcPr>
          <w:p>
            <w:pPr>
              <w:spacing w:after="0" w:line="182" w:lineRule="exact"/>
              <w:rPr>
                <w:sz w:val="20"/>
                <w:szCs w:val="20"/>
                <w:color w:val="auto"/>
              </w:rPr>
            </w:pPr>
            <w:r>
              <w:rPr>
                <w:rFonts w:ascii="Arial" w:cs="Arial" w:eastAsia="Arial" w:hAnsi="Arial"/>
                <w:sz w:val="18"/>
                <w:szCs w:val="18"/>
                <w:color w:val="0000EE"/>
              </w:rPr>
              <w:t>Condensed Consolidated Statements of</w:t>
            </w:r>
          </w:p>
        </w:tc>
        <w:tc>
          <w:tcPr>
            <w:tcW w:w="7120" w:type="dxa"/>
            <w:vAlign w:val="bottom"/>
            <w:gridSpan w:val="8"/>
          </w:tcPr>
          <w:p>
            <w:pPr>
              <w:spacing w:after="0" w:line="182" w:lineRule="exact"/>
              <w:rPr>
                <w:sz w:val="20"/>
                <w:szCs w:val="20"/>
                <w:color w:val="auto"/>
              </w:rPr>
            </w:pPr>
            <w:r>
              <w:rPr>
                <w:rFonts w:ascii="Arial" w:cs="Arial" w:eastAsia="Arial" w:hAnsi="Arial"/>
                <w:sz w:val="18"/>
                <w:szCs w:val="18"/>
                <w:color w:val="0000EE"/>
              </w:rPr>
              <w:t>Operations and Comprehensive Loss</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620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0000EE"/>
              </w:rPr>
              <w:t>Condensed Consolidated Statements of Stockholders’ Equity</w:t>
            </w:r>
          </w:p>
        </w:tc>
        <w:tc>
          <w:tcPr>
            <w:tcW w:w="14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180" w:type="dxa"/>
            <w:vAlign w:val="bottom"/>
            <w:tcBorders>
              <w:top w:val="single" w:sz="8" w:color="0000EE"/>
              <w:bottom w:val="single" w:sz="8" w:color="0000EE"/>
            </w:tcBorders>
            <w:gridSpan w:val="12"/>
          </w:tcPr>
          <w:p>
            <w:pPr>
              <w:spacing w:after="0" w:line="182" w:lineRule="exact"/>
              <w:rPr>
                <w:sz w:val="20"/>
                <w:szCs w:val="20"/>
                <w:color w:val="auto"/>
              </w:rPr>
            </w:pPr>
            <w:r>
              <w:rPr>
                <w:rFonts w:ascii="Arial" w:cs="Arial" w:eastAsia="Arial" w:hAnsi="Arial"/>
                <w:sz w:val="18"/>
                <w:szCs w:val="18"/>
                <w:color w:val="0000EE"/>
                <w:w w:val="99"/>
              </w:rPr>
              <w:t>Condensed Consolidated Statements of Cash Flows</w:t>
            </w:r>
          </w:p>
        </w:tc>
        <w:tc>
          <w:tcPr>
            <w:tcW w:w="680" w:type="dxa"/>
            <w:vAlign w:val="bottom"/>
            <w:tcBorders>
              <w:top w:val="single" w:sz="8" w:color="0000EE"/>
            </w:tcBorders>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2"/>
          </w:tcPr>
          <w:p>
            <w:pPr>
              <w:spacing w:after="0"/>
              <w:rPr>
                <w:sz w:val="15"/>
                <w:szCs w:val="15"/>
                <w:color w:val="auto"/>
              </w:rPr>
            </w:pPr>
          </w:p>
        </w:tc>
        <w:tc>
          <w:tcPr>
            <w:tcW w:w="278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5360" w:type="dxa"/>
            <w:vAlign w:val="bottom"/>
            <w:tcBorders>
              <w:bottom w:val="single" w:sz="8" w:color="0000EE"/>
            </w:tcBorders>
            <w:gridSpan w:val="15"/>
          </w:tcPr>
          <w:p>
            <w:pPr>
              <w:spacing w:after="0" w:line="182" w:lineRule="exact"/>
              <w:rPr>
                <w:sz w:val="20"/>
                <w:szCs w:val="20"/>
                <w:color w:val="auto"/>
              </w:rPr>
            </w:pPr>
            <w:r>
              <w:rPr>
                <w:rFonts w:ascii="Arial" w:cs="Arial" w:eastAsia="Arial" w:hAnsi="Arial"/>
                <w:sz w:val="18"/>
                <w:szCs w:val="18"/>
                <w:color w:val="0000EE"/>
                <w:w w:val="99"/>
              </w:rPr>
              <w:t>Notes to Unaudited Condensed Consolidated Financial Statements</w:t>
            </w:r>
          </w:p>
        </w:tc>
        <w:tc>
          <w:tcPr>
            <w:tcW w:w="5100" w:type="dxa"/>
            <w:vAlign w:val="bottom"/>
            <w:gridSpan w:val="4"/>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10460" w:type="dxa"/>
            <w:vAlign w:val="bottom"/>
            <w:gridSpan w:val="19"/>
          </w:tcPr>
          <w:p>
            <w:pPr>
              <w:spacing w:after="0" w:line="182" w:lineRule="exact"/>
              <w:rPr>
                <w:sz w:val="20"/>
                <w:szCs w:val="20"/>
                <w:color w:val="auto"/>
              </w:rPr>
            </w:pPr>
            <w:r>
              <w:rPr>
                <w:rFonts w:ascii="Arial" w:cs="Arial" w:eastAsia="Arial" w:hAnsi="Arial"/>
                <w:sz w:val="18"/>
                <w:szCs w:val="18"/>
                <w:color w:val="0000EE"/>
              </w:rPr>
              <w:t>Item 2. Management’s Discussion and Analysis of Financial Condition and Results of Operations</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768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Item 3. Quantitative and Qualitative Disclosures About Market Risk</w:t>
            </w:r>
          </w:p>
        </w:tc>
        <w:tc>
          <w:tcPr>
            <w:tcW w:w="278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532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color w:val="0000EE"/>
              </w:rPr>
              <w:t>Item 4. Controls and Procedures</w:t>
            </w:r>
          </w:p>
        </w:tc>
        <w:tc>
          <w:tcPr>
            <w:tcW w:w="140" w:type="dxa"/>
            <w:vAlign w:val="bottom"/>
            <w:gridSpan w:val="2"/>
          </w:tcPr>
          <w:p>
            <w:pPr>
              <w:spacing w:after="0"/>
              <w:rPr>
                <w:sz w:val="15"/>
                <w:szCs w:val="15"/>
                <w:color w:val="auto"/>
              </w:rPr>
            </w:pPr>
          </w:p>
        </w:tc>
        <w:tc>
          <w:tcPr>
            <w:tcW w:w="5000" w:type="dxa"/>
            <w:vAlign w:val="bottom"/>
            <w:gridSpan w:val="3"/>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2600" w:type="dxa"/>
            <w:vAlign w:val="bottom"/>
            <w:tcBorders>
              <w:top w:val="single" w:sz="8" w:color="0000EE"/>
              <w:bottom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96"/>
              </w:rPr>
              <w:t>PART II. OTHER INFORMATION</w:t>
            </w:r>
          </w:p>
        </w:tc>
        <w:tc>
          <w:tcPr>
            <w:tcW w:w="80" w:type="dxa"/>
            <w:vAlign w:val="bottom"/>
            <w:tcBorders>
              <w:bottom w:val="single" w:sz="8" w:color="0000EE"/>
            </w:tcBorders>
          </w:tcPr>
          <w:p>
            <w:pPr>
              <w:spacing w:after="0"/>
              <w:rPr>
                <w:sz w:val="15"/>
                <w:szCs w:val="15"/>
                <w:color w:val="auto"/>
              </w:rPr>
            </w:pPr>
          </w:p>
        </w:tc>
        <w:tc>
          <w:tcPr>
            <w:tcW w:w="480" w:type="dxa"/>
            <w:vAlign w:val="bottom"/>
            <w:gridSpan w:val="2"/>
          </w:tcPr>
          <w:p>
            <w:pPr>
              <w:spacing w:after="0"/>
              <w:rPr>
                <w:sz w:val="15"/>
                <w:szCs w:val="15"/>
                <w:color w:val="auto"/>
              </w:rPr>
            </w:pPr>
          </w:p>
        </w:tc>
        <w:tc>
          <w:tcPr>
            <w:tcW w:w="2300" w:type="dxa"/>
            <w:vAlign w:val="bottom"/>
            <w:gridSpan w:val="7"/>
          </w:tcPr>
          <w:p>
            <w:pPr>
              <w:spacing w:after="0"/>
              <w:rPr>
                <w:sz w:val="15"/>
                <w:szCs w:val="15"/>
                <w:color w:val="auto"/>
              </w:rPr>
            </w:pPr>
          </w:p>
        </w:tc>
        <w:tc>
          <w:tcPr>
            <w:tcW w:w="5000" w:type="dxa"/>
            <w:vAlign w:val="bottom"/>
            <w:gridSpan w:val="3"/>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2680" w:type="dxa"/>
            <w:vAlign w:val="bottom"/>
            <w:gridSpan w:val="7"/>
          </w:tcPr>
          <w:p>
            <w:pPr>
              <w:spacing w:after="0" w:line="182" w:lineRule="exact"/>
              <w:rPr>
                <w:sz w:val="20"/>
                <w:szCs w:val="20"/>
                <w:color w:val="auto"/>
              </w:rPr>
            </w:pPr>
            <w:r>
              <w:rPr>
                <w:rFonts w:ascii="Arial" w:cs="Arial" w:eastAsia="Arial" w:hAnsi="Arial"/>
                <w:sz w:val="18"/>
                <w:szCs w:val="18"/>
                <w:color w:val="0000EE"/>
              </w:rPr>
              <w:t>Item 1. Legal Proceedings</w:t>
            </w:r>
          </w:p>
        </w:tc>
        <w:tc>
          <w:tcPr>
            <w:tcW w:w="480" w:type="dxa"/>
            <w:vAlign w:val="bottom"/>
            <w:gridSpan w:val="2"/>
          </w:tcPr>
          <w:p>
            <w:pPr>
              <w:spacing w:after="0"/>
              <w:rPr>
                <w:sz w:val="15"/>
                <w:szCs w:val="15"/>
                <w:color w:val="auto"/>
              </w:rPr>
            </w:pPr>
          </w:p>
        </w:tc>
        <w:tc>
          <w:tcPr>
            <w:tcW w:w="2300" w:type="dxa"/>
            <w:vAlign w:val="bottom"/>
            <w:gridSpan w:val="7"/>
          </w:tcPr>
          <w:p>
            <w:pPr>
              <w:spacing w:after="0"/>
              <w:rPr>
                <w:sz w:val="15"/>
                <w:szCs w:val="15"/>
                <w:color w:val="auto"/>
              </w:rPr>
            </w:pPr>
          </w:p>
        </w:tc>
        <w:tc>
          <w:tcPr>
            <w:tcW w:w="5000" w:type="dxa"/>
            <w:vAlign w:val="bottom"/>
            <w:gridSpan w:val="3"/>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210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rPr>
              <w:t>Item 1A. Risk Factors</w:t>
            </w:r>
          </w:p>
        </w:tc>
        <w:tc>
          <w:tcPr>
            <w:tcW w:w="440" w:type="dxa"/>
            <w:vAlign w:val="bottom"/>
          </w:tcPr>
          <w:p>
            <w:pPr>
              <w:spacing w:after="0"/>
              <w:rPr>
                <w:sz w:val="15"/>
                <w:szCs w:val="15"/>
                <w:color w:val="auto"/>
              </w:rPr>
            </w:pPr>
          </w:p>
        </w:tc>
        <w:tc>
          <w:tcPr>
            <w:tcW w:w="620" w:type="dxa"/>
            <w:vAlign w:val="bottom"/>
            <w:gridSpan w:val="4"/>
          </w:tcPr>
          <w:p>
            <w:pPr>
              <w:spacing w:after="0"/>
              <w:rPr>
                <w:sz w:val="15"/>
                <w:szCs w:val="15"/>
                <w:color w:val="auto"/>
              </w:rPr>
            </w:pPr>
          </w:p>
        </w:tc>
        <w:tc>
          <w:tcPr>
            <w:tcW w:w="2300" w:type="dxa"/>
            <w:vAlign w:val="bottom"/>
            <w:gridSpan w:val="7"/>
          </w:tcPr>
          <w:p>
            <w:pPr>
              <w:spacing w:after="0"/>
              <w:rPr>
                <w:sz w:val="15"/>
                <w:szCs w:val="15"/>
                <w:color w:val="auto"/>
              </w:rPr>
            </w:pPr>
          </w:p>
        </w:tc>
        <w:tc>
          <w:tcPr>
            <w:tcW w:w="5000" w:type="dxa"/>
            <w:vAlign w:val="bottom"/>
            <w:gridSpan w:val="3"/>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172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rPr>
              <w:t>Item 2. Unregistered</w:t>
            </w:r>
          </w:p>
        </w:tc>
        <w:tc>
          <w:tcPr>
            <w:tcW w:w="8740" w:type="dxa"/>
            <w:vAlign w:val="bottom"/>
            <w:gridSpan w:val="17"/>
          </w:tcPr>
          <w:p>
            <w:pPr>
              <w:spacing w:after="0" w:line="182" w:lineRule="exact"/>
              <w:rPr>
                <w:sz w:val="20"/>
                <w:szCs w:val="20"/>
                <w:color w:val="auto"/>
              </w:rPr>
            </w:pPr>
            <w:r>
              <w:rPr>
                <w:rFonts w:ascii="Arial" w:cs="Arial" w:eastAsia="Arial" w:hAnsi="Arial"/>
                <w:sz w:val="18"/>
                <w:szCs w:val="18"/>
                <w:color w:val="0000EE"/>
              </w:rPr>
              <w:t>Sales of Equity Securities and Use of Proceeds</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110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546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rPr>
              <w:t>Item 3. Defaults Upon Senior Securities</w:t>
            </w:r>
          </w:p>
        </w:tc>
        <w:tc>
          <w:tcPr>
            <w:tcW w:w="5000" w:type="dxa"/>
            <w:vAlign w:val="bottom"/>
            <w:gridSpan w:val="3"/>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110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316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0000EE"/>
              </w:rPr>
              <w:t>Item 4. Mine Safety Disclosures</w:t>
            </w:r>
          </w:p>
        </w:tc>
        <w:tc>
          <w:tcPr>
            <w:tcW w:w="7300" w:type="dxa"/>
            <w:vAlign w:val="bottom"/>
            <w:gridSpan w:val="10"/>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110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254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FF"/>
              </w:rPr>
              <w:t>Item 5. Other Information</w:t>
            </w:r>
          </w:p>
        </w:tc>
        <w:tc>
          <w:tcPr>
            <w:tcW w:w="7920" w:type="dxa"/>
            <w:vAlign w:val="bottom"/>
            <w:gridSpan w:val="14"/>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110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240" w:type="dxa"/>
            <w:vAlign w:val="bottom"/>
            <w:tcBorders>
              <w:top w:val="single" w:sz="8" w:color="0000FF"/>
              <w:bottom w:val="single" w:sz="8" w:color="0000EE"/>
            </w:tcBorders>
          </w:tcPr>
          <w:p>
            <w:pPr>
              <w:spacing w:after="0" w:line="182" w:lineRule="exact"/>
              <w:rPr>
                <w:sz w:val="20"/>
                <w:szCs w:val="20"/>
                <w:color w:val="auto"/>
              </w:rPr>
            </w:pPr>
            <w:r>
              <w:rPr>
                <w:rFonts w:ascii="Arial" w:cs="Arial" w:eastAsia="Arial" w:hAnsi="Arial"/>
                <w:sz w:val="18"/>
                <w:szCs w:val="18"/>
                <w:color w:val="0000EE"/>
                <w:w w:val="99"/>
              </w:rPr>
              <w:t>Item 6. Exhibits</w:t>
            </w:r>
          </w:p>
        </w:tc>
        <w:tc>
          <w:tcPr>
            <w:tcW w:w="760" w:type="dxa"/>
            <w:vAlign w:val="bottom"/>
            <w:tcBorders>
              <w:top w:val="single" w:sz="8" w:color="0000FF"/>
            </w:tcBorders>
            <w:gridSpan w:val="2"/>
          </w:tcPr>
          <w:p>
            <w:pPr>
              <w:spacing w:after="0"/>
              <w:rPr>
                <w:sz w:val="15"/>
                <w:szCs w:val="15"/>
                <w:color w:val="auto"/>
              </w:rPr>
            </w:pPr>
          </w:p>
        </w:tc>
        <w:tc>
          <w:tcPr>
            <w:tcW w:w="8460" w:type="dxa"/>
            <w:vAlign w:val="bottom"/>
            <w:gridSpan w:val="16"/>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111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6"/>
        </w:trPr>
        <w:tc>
          <w:tcPr>
            <w:tcW w:w="6260" w:type="dxa"/>
            <w:vAlign w:val="bottom"/>
            <w:gridSpan w:val="18"/>
          </w:tcPr>
          <w:p>
            <w:pPr>
              <w:jc w:val="right"/>
              <w:ind w:right="580"/>
              <w:spacing w:after="0"/>
              <w:rPr>
                <w:sz w:val="20"/>
                <w:szCs w:val="20"/>
                <w:color w:val="auto"/>
              </w:rPr>
            </w:pPr>
            <w:r>
              <w:rPr>
                <w:rFonts w:ascii="Arial" w:cs="Arial" w:eastAsia="Arial" w:hAnsi="Arial"/>
                <w:sz w:val="18"/>
                <w:szCs w:val="18"/>
                <w:color w:val="auto"/>
              </w:rPr>
              <w:t>2</w:t>
            </w:r>
          </w:p>
        </w:tc>
        <w:tc>
          <w:tcPr>
            <w:tcW w:w="14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color w:val="auto"/>
        </w:rPr>
        <w:t>(Amounts in thousands, except for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8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8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Assets</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828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35,260</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139,480</w:t>
            </w:r>
          </w:p>
        </w:tc>
      </w:tr>
      <w:tr>
        <w:trPr>
          <w:trHeight w:val="203"/>
        </w:trPr>
        <w:tc>
          <w:tcPr>
            <w:tcW w:w="8280" w:type="dxa"/>
            <w:vAlign w:val="bottom"/>
          </w:tcPr>
          <w:p>
            <w:pPr>
              <w:ind w:left="220"/>
              <w:spacing w:after="0" w:line="202" w:lineRule="exact"/>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293,700</w:t>
            </w:r>
          </w:p>
        </w:tc>
        <w:tc>
          <w:tcPr>
            <w:tcW w:w="160" w:type="dxa"/>
            <w:vAlign w:val="bottom"/>
          </w:tcPr>
          <w:p>
            <w:pPr>
              <w:spacing w:after="0"/>
              <w:rPr>
                <w:sz w:val="17"/>
                <w:szCs w:val="17"/>
                <w:color w:val="auto"/>
              </w:rPr>
            </w:pPr>
          </w:p>
        </w:tc>
        <w:tc>
          <w:tcPr>
            <w:tcW w:w="11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294,606</w:t>
            </w:r>
          </w:p>
        </w:tc>
      </w:tr>
      <w:tr>
        <w:trPr>
          <w:trHeight w:val="203"/>
        </w:trPr>
        <w:tc>
          <w:tcPr>
            <w:tcW w:w="8280" w:type="dxa"/>
            <w:vAlign w:val="bottom"/>
            <w:tcBorders>
              <w:bottom w:val="single" w:sz="8" w:color="CFF0FC"/>
            </w:tcBorders>
            <w:shd w:val="clear" w:color="auto" w:fill="CFF0FC"/>
          </w:tcPr>
          <w:p>
            <w:pPr>
              <w:ind w:left="2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231F20"/>
            </w:tcBorders>
            <w:shd w:val="clear" w:color="auto" w:fill="CFF0FC"/>
          </w:tcPr>
          <w:p>
            <w:pPr>
              <w:spacing w:after="0"/>
              <w:rPr>
                <w:sz w:val="17"/>
                <w:szCs w:val="17"/>
                <w:color w:val="auto"/>
              </w:rPr>
            </w:pPr>
          </w:p>
        </w:tc>
        <w:tc>
          <w:tcPr>
            <w:tcW w:w="1280" w:type="dxa"/>
            <w:vAlign w:val="bottom"/>
            <w:tcBorders>
              <w:bottom w:val="single" w:sz="8" w:color="231F20"/>
            </w:tcBorders>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5,369</w:t>
            </w:r>
          </w:p>
        </w:tc>
        <w:tc>
          <w:tcPr>
            <w:tcW w:w="160" w:type="dxa"/>
            <w:vAlign w:val="bottom"/>
            <w:tcBorders>
              <w:bottom w:val="single" w:sz="8" w:color="231F20"/>
            </w:tcBorders>
            <w:shd w:val="clear" w:color="auto" w:fill="CFF0FC"/>
          </w:tcPr>
          <w:p>
            <w:pPr>
              <w:spacing w:after="0"/>
              <w:rPr>
                <w:sz w:val="17"/>
                <w:szCs w:val="17"/>
                <w:color w:val="auto"/>
              </w:rPr>
            </w:pPr>
          </w:p>
        </w:tc>
        <w:tc>
          <w:tcPr>
            <w:tcW w:w="1160" w:type="dxa"/>
            <w:vAlign w:val="bottom"/>
            <w:tcBorders>
              <w:bottom w:val="single" w:sz="8" w:color="231F20"/>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4,387</w:t>
            </w:r>
          </w:p>
        </w:tc>
      </w:tr>
      <w:tr>
        <w:trPr>
          <w:trHeight w:val="196"/>
        </w:trPr>
        <w:tc>
          <w:tcPr>
            <w:tcW w:w="8280" w:type="dxa"/>
            <w:vAlign w:val="bottom"/>
          </w:tcPr>
          <w:p>
            <w:pPr>
              <w:ind w:left="440"/>
              <w:spacing w:after="0" w:line="196" w:lineRule="exact"/>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52"/>
              <w:spacing w:after="0" w:line="196" w:lineRule="exact"/>
              <w:rPr>
                <w:sz w:val="20"/>
                <w:szCs w:val="20"/>
                <w:color w:val="auto"/>
              </w:rPr>
            </w:pPr>
            <w:r>
              <w:rPr>
                <w:rFonts w:ascii="Arial" w:cs="Arial" w:eastAsia="Arial" w:hAnsi="Arial"/>
                <w:sz w:val="18"/>
                <w:szCs w:val="18"/>
                <w:color w:val="auto"/>
              </w:rPr>
              <w:t>334,329</w:t>
            </w:r>
          </w:p>
        </w:tc>
        <w:tc>
          <w:tcPr>
            <w:tcW w:w="160" w:type="dxa"/>
            <w:vAlign w:val="bottom"/>
          </w:tcPr>
          <w:p>
            <w:pPr>
              <w:spacing w:after="0"/>
              <w:rPr>
                <w:sz w:val="17"/>
                <w:szCs w:val="17"/>
                <w:color w:val="auto"/>
              </w:rPr>
            </w:pPr>
          </w:p>
        </w:tc>
        <w:tc>
          <w:tcPr>
            <w:tcW w:w="1160" w:type="dxa"/>
            <w:vAlign w:val="bottom"/>
          </w:tcPr>
          <w:p>
            <w:pPr>
              <w:jc w:val="right"/>
              <w:ind w:right="32"/>
              <w:spacing w:after="0" w:line="196" w:lineRule="exact"/>
              <w:rPr>
                <w:sz w:val="20"/>
                <w:szCs w:val="20"/>
                <w:color w:val="auto"/>
              </w:rPr>
            </w:pPr>
            <w:r>
              <w:rPr>
                <w:rFonts w:ascii="Arial" w:cs="Arial" w:eastAsia="Arial" w:hAnsi="Arial"/>
                <w:sz w:val="18"/>
                <w:szCs w:val="18"/>
                <w:color w:val="auto"/>
              </w:rPr>
              <w:t>438,473</w:t>
            </w:r>
          </w:p>
        </w:tc>
      </w:tr>
      <w:tr>
        <w:trPr>
          <w:trHeight w:val="203"/>
        </w:trPr>
        <w:tc>
          <w:tcPr>
            <w:tcW w:w="8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1,419</w:t>
            </w: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1,314</w:t>
            </w: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Other assets and long-term deposits</w:t>
            </w:r>
          </w:p>
        </w:tc>
        <w:tc>
          <w:tcPr>
            <w:tcW w:w="24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280" w:type="dxa"/>
            <w:vAlign w:val="bottom"/>
            <w:tcBorders>
              <w:bottom w:val="single" w:sz="8" w:color="231F20"/>
            </w:tcBorders>
          </w:tcPr>
          <w:p>
            <w:pPr>
              <w:jc w:val="right"/>
              <w:ind w:right="52"/>
              <w:spacing w:after="0" w:line="202" w:lineRule="exact"/>
              <w:rPr>
                <w:sz w:val="20"/>
                <w:szCs w:val="20"/>
                <w:color w:val="auto"/>
              </w:rPr>
            </w:pPr>
            <w:r>
              <w:rPr>
                <w:rFonts w:ascii="Arial" w:cs="Arial" w:eastAsia="Arial" w:hAnsi="Arial"/>
                <w:sz w:val="18"/>
                <w:szCs w:val="18"/>
                <w:color w:val="auto"/>
              </w:rPr>
              <w:t>16,705</w:t>
            </w:r>
          </w:p>
        </w:tc>
        <w:tc>
          <w:tcPr>
            <w:tcW w:w="160" w:type="dxa"/>
            <w:vAlign w:val="bottom"/>
            <w:tcBorders>
              <w:bottom w:val="single" w:sz="8" w:color="231F20"/>
            </w:tcBorders>
          </w:tcPr>
          <w:p>
            <w:pPr>
              <w:spacing w:after="0"/>
              <w:rPr>
                <w:sz w:val="17"/>
                <w:szCs w:val="17"/>
                <w:color w:val="auto"/>
              </w:rPr>
            </w:pPr>
          </w:p>
        </w:tc>
        <w:tc>
          <w:tcPr>
            <w:tcW w:w="1160" w:type="dxa"/>
            <w:vAlign w:val="bottom"/>
            <w:tcBorders>
              <w:bottom w:val="single" w:sz="8" w:color="231F20"/>
            </w:tcBorders>
          </w:tcPr>
          <w:p>
            <w:pPr>
              <w:jc w:val="right"/>
              <w:ind w:right="32"/>
              <w:spacing w:after="0" w:line="202" w:lineRule="exact"/>
              <w:rPr>
                <w:sz w:val="20"/>
                <w:szCs w:val="20"/>
                <w:color w:val="auto"/>
              </w:rPr>
            </w:pPr>
            <w:r>
              <w:rPr>
                <w:rFonts w:ascii="Arial" w:cs="Arial" w:eastAsia="Arial" w:hAnsi="Arial"/>
                <w:sz w:val="18"/>
                <w:szCs w:val="18"/>
                <w:color w:val="auto"/>
              </w:rPr>
              <w:t>11,192</w:t>
            </w:r>
          </w:p>
        </w:tc>
      </w:tr>
      <w:tr>
        <w:trPr>
          <w:trHeight w:val="196"/>
        </w:trPr>
        <w:tc>
          <w:tcPr>
            <w:tcW w:w="8280" w:type="dxa"/>
            <w:vAlign w:val="bottom"/>
          </w:tcPr>
          <w:p>
            <w:pPr>
              <w:ind w:left="440"/>
              <w:spacing w:after="0" w:line="182" w:lineRule="exact"/>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52"/>
              <w:spacing w:after="0" w:line="182" w:lineRule="exact"/>
              <w:rPr>
                <w:sz w:val="20"/>
                <w:szCs w:val="20"/>
                <w:color w:val="auto"/>
              </w:rPr>
            </w:pPr>
            <w:r>
              <w:rPr>
                <w:rFonts w:ascii="Arial" w:cs="Arial" w:eastAsia="Arial" w:hAnsi="Arial"/>
                <w:sz w:val="18"/>
                <w:szCs w:val="18"/>
                <w:color w:val="auto"/>
              </w:rPr>
              <w:t>352,453</w:t>
            </w: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2"/>
              <w:spacing w:after="0" w:line="182" w:lineRule="exact"/>
              <w:rPr>
                <w:sz w:val="20"/>
                <w:szCs w:val="20"/>
                <w:color w:val="auto"/>
              </w:rPr>
            </w:pPr>
            <w:r>
              <w:rPr>
                <w:rFonts w:ascii="Arial" w:cs="Arial" w:eastAsia="Arial" w:hAnsi="Arial"/>
                <w:sz w:val="18"/>
                <w:szCs w:val="18"/>
                <w:color w:val="auto"/>
              </w:rPr>
              <w:t>450,979</w:t>
            </w:r>
          </w:p>
        </w:tc>
      </w:tr>
      <w:tr>
        <w:trPr>
          <w:trHeight w:val="20"/>
        </w:trPr>
        <w:tc>
          <w:tcPr>
            <w:tcW w:w="8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8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Liabilities and stockholders’ equity</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8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r>
      <w:tr>
        <w:trPr>
          <w:trHeight w:val="203"/>
        </w:trPr>
        <w:tc>
          <w:tcPr>
            <w:tcW w:w="8280" w:type="dxa"/>
            <w:vAlign w:val="bottom"/>
          </w:tcPr>
          <w:p>
            <w:pPr>
              <w:ind w:left="220"/>
              <w:spacing w:after="0" w:line="202" w:lineRule="exact"/>
              <w:rPr>
                <w:sz w:val="20"/>
                <w:szCs w:val="20"/>
                <w:color w:val="auto"/>
              </w:rPr>
            </w:pPr>
            <w:r>
              <w:rPr>
                <w:rFonts w:ascii="Arial" w:cs="Arial" w:eastAsia="Arial" w:hAnsi="Arial"/>
                <w:sz w:val="18"/>
                <w:szCs w:val="18"/>
                <w:color w:val="auto"/>
              </w:rPr>
              <w:t>Accounts payable</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3,474</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4,460</w:t>
            </w:r>
          </w:p>
        </w:tc>
      </w:tr>
      <w:tr>
        <w:trPr>
          <w:trHeight w:val="203"/>
        </w:trPr>
        <w:tc>
          <w:tcPr>
            <w:tcW w:w="828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Operating lease liabilities, current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1,168</w:t>
            </w: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1,172</w:t>
            </w:r>
          </w:p>
        </w:tc>
      </w:tr>
      <w:tr>
        <w:trPr>
          <w:trHeight w:val="203"/>
        </w:trPr>
        <w:tc>
          <w:tcPr>
            <w:tcW w:w="8280" w:type="dxa"/>
            <w:vAlign w:val="bottom"/>
          </w:tcPr>
          <w:p>
            <w:pPr>
              <w:ind w:left="220"/>
              <w:spacing w:after="0" w:line="202" w:lineRule="exact"/>
              <w:rPr>
                <w:sz w:val="20"/>
                <w:szCs w:val="20"/>
                <w:color w:val="auto"/>
              </w:rPr>
            </w:pPr>
            <w:r>
              <w:rPr>
                <w:rFonts w:ascii="Arial" w:cs="Arial" w:eastAsia="Arial" w:hAnsi="Arial"/>
                <w:sz w:val="18"/>
                <w:szCs w:val="18"/>
                <w:color w:val="auto"/>
              </w:rPr>
              <w:t>Other current liabilities (Note 6)</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37,013</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36,126</w:t>
            </w:r>
          </w:p>
        </w:tc>
      </w:tr>
      <w:tr>
        <w:trPr>
          <w:trHeight w:val="196"/>
        </w:trPr>
        <w:tc>
          <w:tcPr>
            <w:tcW w:w="8280" w:type="dxa"/>
            <w:vAlign w:val="bottom"/>
            <w:shd w:val="clear" w:color="auto" w:fill="CFF0FC"/>
          </w:tcPr>
          <w:p>
            <w:pPr>
              <w:ind w:left="440"/>
              <w:spacing w:after="0" w:line="196" w:lineRule="exact"/>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rPr>
              <w:t>41,655</w:t>
            </w: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41,758</w:t>
            </w:r>
          </w:p>
        </w:tc>
      </w:tr>
      <w:tr>
        <w:trPr>
          <w:trHeight w:val="203"/>
        </w:trPr>
        <w:tc>
          <w:tcPr>
            <w:tcW w:w="8280" w:type="dxa"/>
            <w:vAlign w:val="bottom"/>
          </w:tcPr>
          <w:p>
            <w:pPr>
              <w:ind w:left="220"/>
              <w:spacing w:after="0" w:line="202" w:lineRule="exact"/>
              <w:rPr>
                <w:sz w:val="20"/>
                <w:szCs w:val="20"/>
                <w:color w:val="auto"/>
              </w:rPr>
            </w:pPr>
            <w:r>
              <w:rPr>
                <w:rFonts w:ascii="Arial" w:cs="Arial" w:eastAsia="Arial" w:hAnsi="Arial"/>
                <w:sz w:val="18"/>
                <w:szCs w:val="18"/>
                <w:color w:val="auto"/>
              </w:rPr>
              <w:t>Operating lease liabilities, net of current portion</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310</w:t>
            </w:r>
          </w:p>
        </w:tc>
        <w:tc>
          <w:tcPr>
            <w:tcW w:w="160" w:type="dxa"/>
            <w:vAlign w:val="bottom"/>
          </w:tcPr>
          <w:p>
            <w:pPr>
              <w:spacing w:after="0"/>
              <w:rPr>
                <w:sz w:val="17"/>
                <w:szCs w:val="17"/>
                <w:color w:val="auto"/>
              </w:rPr>
            </w:pPr>
          </w:p>
        </w:tc>
        <w:tc>
          <w:tcPr>
            <w:tcW w:w="11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257</w:t>
            </w:r>
          </w:p>
        </w:tc>
      </w:tr>
      <w:tr>
        <w:trPr>
          <w:trHeight w:val="203"/>
        </w:trPr>
        <w:tc>
          <w:tcPr>
            <w:tcW w:w="8280" w:type="dxa"/>
            <w:vAlign w:val="bottom"/>
            <w:tcBorders>
              <w:bottom w:val="single" w:sz="8" w:color="CFF0FC"/>
            </w:tcBorders>
            <w:shd w:val="clear" w:color="auto" w:fill="CFF0FC"/>
          </w:tcPr>
          <w:p>
            <w:pPr>
              <w:ind w:left="220"/>
              <w:spacing w:after="0" w:line="202" w:lineRule="exact"/>
              <w:rPr>
                <w:sz w:val="20"/>
                <w:szCs w:val="20"/>
                <w:color w:val="auto"/>
              </w:rPr>
            </w:pPr>
            <w:r>
              <w:rPr>
                <w:rFonts w:ascii="Arial" w:cs="Arial" w:eastAsia="Arial" w:hAnsi="Arial"/>
                <w:sz w:val="18"/>
                <w:szCs w:val="18"/>
                <w:color w:val="auto"/>
              </w:rPr>
              <w:t>Long-term borrowing</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3,000</w:t>
            </w:r>
          </w:p>
        </w:tc>
        <w:tc>
          <w:tcPr>
            <w:tcW w:w="1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r>
      <w:tr>
        <w:trPr>
          <w:trHeight w:val="196"/>
        </w:trPr>
        <w:tc>
          <w:tcPr>
            <w:tcW w:w="8280" w:type="dxa"/>
            <w:vAlign w:val="bottom"/>
          </w:tcPr>
          <w:p>
            <w:pPr>
              <w:ind w:left="440"/>
              <w:spacing w:after="0" w:line="196" w:lineRule="exact"/>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44,965</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42,015</w:t>
            </w:r>
          </w:p>
        </w:tc>
      </w:tr>
      <w:tr>
        <w:trPr>
          <w:trHeight w:val="196"/>
        </w:trPr>
        <w:tc>
          <w:tcPr>
            <w:tcW w:w="8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Commitments and contingencies (Note 10)</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84"/>
        </w:trPr>
        <w:tc>
          <w:tcPr>
            <w:tcW w:w="828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Preferred stock, $0.0001 par value; 10,000,000 shares authorized as of September 30, 2025 and</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r>
      <w:tr>
        <w:trPr>
          <w:trHeight w:val="203"/>
        </w:trPr>
        <w:tc>
          <w:tcPr>
            <w:tcW w:w="8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December 31, 2024; no shares issued and outstanding as of September 30, 2025 and December 31,</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r>
      <w:tr>
        <w:trPr>
          <w:trHeight w:val="221"/>
        </w:trPr>
        <w:tc>
          <w:tcPr>
            <w:tcW w:w="82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184"/>
        </w:trPr>
        <w:tc>
          <w:tcPr>
            <w:tcW w:w="8280" w:type="dxa"/>
            <w:vAlign w:val="bottom"/>
          </w:tcPr>
          <w:p>
            <w:pPr>
              <w:spacing w:after="0" w:line="183" w:lineRule="exact"/>
              <w:rPr>
                <w:sz w:val="20"/>
                <w:szCs w:val="20"/>
                <w:color w:val="auto"/>
              </w:rPr>
            </w:pPr>
            <w:r>
              <w:rPr>
                <w:rFonts w:ascii="Arial" w:cs="Arial" w:eastAsia="Arial" w:hAnsi="Arial"/>
                <w:sz w:val="18"/>
                <w:szCs w:val="18"/>
                <w:color w:val="auto"/>
              </w:rPr>
              <w:t>Common stock, $0.0001 par value; 490,000,000 shares authorized as of September 30, 2025 and</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December 31, 2024; 68,652,730 and 74,312,608 shares issued and outstanding as of September 30,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1"/>
        </w:trPr>
        <w:tc>
          <w:tcPr>
            <w:tcW w:w="8280" w:type="dxa"/>
            <w:vAlign w:val="bottom"/>
          </w:tcPr>
          <w:p>
            <w:pPr>
              <w:spacing w:after="0"/>
              <w:rPr>
                <w:sz w:val="20"/>
                <w:szCs w:val="20"/>
                <w:color w:val="auto"/>
              </w:rPr>
            </w:pPr>
            <w:r>
              <w:rPr>
                <w:rFonts w:ascii="Arial" w:cs="Arial" w:eastAsia="Arial" w:hAnsi="Arial"/>
                <w:sz w:val="18"/>
                <w:szCs w:val="18"/>
                <w:color w:val="auto"/>
              </w:rPr>
              <w:t>2025 and December 31, 2024, respectively.</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w:t>
            </w:r>
          </w:p>
        </w:tc>
      </w:tr>
      <w:tr>
        <w:trPr>
          <w:trHeight w:val="203"/>
        </w:trPr>
        <w:tc>
          <w:tcPr>
            <w:tcW w:w="8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858,451</w:t>
            </w: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843,920</w:t>
            </w: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526</w:t>
            </w:r>
          </w:p>
        </w:tc>
        <w:tc>
          <w:tcPr>
            <w:tcW w:w="160" w:type="dxa"/>
            <w:vAlign w:val="bottom"/>
          </w:tcPr>
          <w:p>
            <w:pPr>
              <w:spacing w:after="0"/>
              <w:rPr>
                <w:sz w:val="17"/>
                <w:szCs w:val="17"/>
                <w:color w:val="auto"/>
              </w:rPr>
            </w:pPr>
          </w:p>
        </w:tc>
        <w:tc>
          <w:tcPr>
            <w:tcW w:w="11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143</w:t>
            </w:r>
          </w:p>
        </w:tc>
      </w:tr>
      <w:tr>
        <w:trPr>
          <w:trHeight w:val="203"/>
        </w:trPr>
        <w:tc>
          <w:tcPr>
            <w:tcW w:w="82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231F20"/>
            </w:tcBorders>
            <w:shd w:val="clear" w:color="auto" w:fill="CFF0FC"/>
          </w:tcPr>
          <w:p>
            <w:pPr>
              <w:spacing w:after="0"/>
              <w:rPr>
                <w:sz w:val="17"/>
                <w:szCs w:val="17"/>
                <w:color w:val="auto"/>
              </w:rPr>
            </w:pPr>
          </w:p>
        </w:tc>
        <w:tc>
          <w:tcPr>
            <w:tcW w:w="1280" w:type="dxa"/>
            <w:vAlign w:val="bottom"/>
            <w:tcBorders>
              <w:bottom w:val="single" w:sz="8" w:color="231F20"/>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(551,496)</w:t>
            </w:r>
          </w:p>
        </w:tc>
        <w:tc>
          <w:tcPr>
            <w:tcW w:w="160" w:type="dxa"/>
            <w:vAlign w:val="bottom"/>
            <w:tcBorders>
              <w:bottom w:val="single" w:sz="8" w:color="231F20"/>
            </w:tcBorders>
            <w:shd w:val="clear" w:color="auto" w:fill="CFF0FC"/>
          </w:tcPr>
          <w:p>
            <w:pPr>
              <w:spacing w:after="0"/>
              <w:rPr>
                <w:sz w:val="17"/>
                <w:szCs w:val="17"/>
                <w:color w:val="auto"/>
              </w:rPr>
            </w:pPr>
          </w:p>
        </w:tc>
        <w:tc>
          <w:tcPr>
            <w:tcW w:w="1160" w:type="dxa"/>
            <w:vAlign w:val="bottom"/>
            <w:tcBorders>
              <w:bottom w:val="single" w:sz="8" w:color="231F20"/>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(435,106)</w:t>
            </w:r>
          </w:p>
        </w:tc>
      </w:tr>
      <w:tr>
        <w:trPr>
          <w:trHeight w:val="196"/>
        </w:trPr>
        <w:tc>
          <w:tcPr>
            <w:tcW w:w="8280" w:type="dxa"/>
            <w:vAlign w:val="bottom"/>
          </w:tcPr>
          <w:p>
            <w:pPr>
              <w:ind w:left="440"/>
              <w:spacing w:after="0" w:line="182" w:lineRule="exact"/>
              <w:rPr>
                <w:sz w:val="20"/>
                <w:szCs w:val="20"/>
                <w:color w:val="auto"/>
              </w:rPr>
            </w:pPr>
            <w:r>
              <w:rPr>
                <w:rFonts w:ascii="Arial" w:cs="Arial" w:eastAsia="Arial" w:hAnsi="Arial"/>
                <w:sz w:val="18"/>
                <w:szCs w:val="18"/>
                <w:color w:val="auto"/>
              </w:rPr>
              <w:t>Total stockholders’ equity</w:t>
            </w:r>
          </w:p>
        </w:tc>
        <w:tc>
          <w:tcPr>
            <w:tcW w:w="3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307,488</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line="182" w:lineRule="exact"/>
              <w:rPr>
                <w:sz w:val="20"/>
                <w:szCs w:val="20"/>
                <w:color w:val="auto"/>
              </w:rPr>
            </w:pPr>
            <w:r>
              <w:rPr>
                <w:rFonts w:ascii="Arial" w:cs="Arial" w:eastAsia="Arial" w:hAnsi="Arial"/>
                <w:sz w:val="18"/>
                <w:szCs w:val="18"/>
                <w:color w:val="auto"/>
              </w:rPr>
              <w:t>408,964</w:t>
            </w:r>
          </w:p>
        </w:tc>
      </w:tr>
      <w:tr>
        <w:trPr>
          <w:trHeight w:val="20"/>
        </w:trPr>
        <w:tc>
          <w:tcPr>
            <w:tcW w:w="8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8280" w:type="dxa"/>
            <w:vAlign w:val="bottom"/>
            <w:tcBorders>
              <w:bottom w:val="single" w:sz="8" w:color="auto"/>
            </w:tcBorders>
            <w:shd w:val="clear" w:color="auto" w:fill="CCECFF"/>
          </w:tcPr>
          <w:p>
            <w:pPr>
              <w:ind w:left="440"/>
              <w:spacing w:after="0" w:line="183" w:lineRule="exact"/>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gridSpan w:val="2"/>
            <w:shd w:val="clear" w:color="auto" w:fill="CCECFF"/>
          </w:tcPr>
          <w:p>
            <w:pPr>
              <w:jc w:val="right"/>
              <w:spacing w:after="0" w:line="183"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CFF"/>
          </w:tcPr>
          <w:p>
            <w:pPr>
              <w:jc w:val="right"/>
              <w:ind w:right="52"/>
              <w:spacing w:after="0" w:line="183" w:lineRule="exact"/>
              <w:rPr>
                <w:sz w:val="20"/>
                <w:szCs w:val="20"/>
                <w:color w:val="auto"/>
              </w:rPr>
            </w:pPr>
            <w:r>
              <w:rPr>
                <w:rFonts w:ascii="Arial" w:cs="Arial" w:eastAsia="Arial" w:hAnsi="Arial"/>
                <w:sz w:val="18"/>
                <w:szCs w:val="18"/>
                <w:color w:val="auto"/>
              </w:rPr>
              <w:t>352,453</w:t>
            </w:r>
          </w:p>
        </w:tc>
        <w:tc>
          <w:tcPr>
            <w:tcW w:w="160" w:type="dxa"/>
            <w:vAlign w:val="bottom"/>
            <w:tcBorders>
              <w:bottom w:val="single" w:sz="8" w:color="auto"/>
            </w:tcBorders>
            <w:shd w:val="clear" w:color="auto" w:fill="CCECFF"/>
          </w:tcPr>
          <w:p>
            <w:pPr>
              <w:jc w:val="right"/>
              <w:spacing w:after="0" w:line="183"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CFF"/>
          </w:tcPr>
          <w:p>
            <w:pPr>
              <w:jc w:val="right"/>
              <w:ind w:right="32"/>
              <w:spacing w:after="0" w:line="183" w:lineRule="exact"/>
              <w:rPr>
                <w:sz w:val="20"/>
                <w:szCs w:val="20"/>
                <w:color w:val="auto"/>
              </w:rPr>
            </w:pPr>
            <w:r>
              <w:rPr>
                <w:rFonts w:ascii="Arial" w:cs="Arial" w:eastAsia="Arial" w:hAnsi="Arial"/>
                <w:sz w:val="18"/>
                <w:szCs w:val="18"/>
                <w:color w:val="auto"/>
              </w:rPr>
              <w:t>450,979</w:t>
            </w: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 and Comprehensive Loss</w:t>
      </w:r>
    </w:p>
    <w:p>
      <w:pPr>
        <w:spacing w:after="0" w:line="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color w:val="auto"/>
        </w:rPr>
        <w:t>(Amounts in thousands, except for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44"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6350</wp:posOffset>
            </wp:positionV>
            <wp:extent cx="20828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5" w:lineRule="exact"/>
        <w:rPr>
          <w:sz w:val="20"/>
          <w:szCs w:val="20"/>
          <w:color w:val="auto"/>
        </w:rPr>
      </w:pPr>
    </w:p>
    <w:p>
      <w:pPr>
        <w:ind w:left="5360"/>
        <w:spacing w:after="0"/>
        <w:tabs>
          <w:tab w:leader="none" w:pos="7020" w:val="left"/>
        </w:tabs>
        <w:rPr>
          <w:sz w:val="20"/>
          <w:szCs w:val="20"/>
          <w:color w:val="auto"/>
        </w:rPr>
      </w:pP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2024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6350</wp:posOffset>
            </wp:positionV>
            <wp:extent cx="20313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5" w:lineRule="exact"/>
        <w:rPr>
          <w:sz w:val="20"/>
          <w:szCs w:val="20"/>
          <w:color w:val="auto"/>
        </w:rPr>
      </w:pPr>
    </w:p>
    <w:p>
      <w:pPr>
        <w:ind w:left="280"/>
        <w:spacing w:after="0"/>
        <w:tabs>
          <w:tab w:leader="none" w:pos="1900" w:val="left"/>
        </w:tabs>
        <w:rPr>
          <w:sz w:val="20"/>
          <w:szCs w:val="20"/>
          <w:color w:val="auto"/>
        </w:rPr>
      </w:pP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2024</w:t>
      </w:r>
    </w:p>
    <w:p>
      <w:pPr>
        <w:spacing w:after="0" w:line="1" w:lineRule="exact"/>
        <w:rPr>
          <w:sz w:val="20"/>
          <w:szCs w:val="20"/>
          <w:color w:val="auto"/>
        </w:rPr>
      </w:pPr>
    </w:p>
    <w:p>
      <w:pPr>
        <w:sectPr>
          <w:pgSz w:w="11900" w:h="16838" w:orient="portrait"/>
          <w:cols w:equalWidth="0" w:num="2">
            <w:col w:w="7680" w:space="720"/>
            <w:col w:w="284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4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r>
      <w:tr>
        <w:trPr>
          <w:trHeight w:val="203"/>
        </w:trPr>
        <w:tc>
          <w:tcPr>
            <w:tcW w:w="4700" w:type="dxa"/>
            <w:vAlign w:val="bottom"/>
          </w:tcPr>
          <w:p>
            <w:pPr>
              <w:ind w:left="180"/>
              <w:spacing w:after="0" w:line="202" w:lineRule="exact"/>
              <w:rPr>
                <w:sz w:val="20"/>
                <w:szCs w:val="20"/>
                <w:color w:val="auto"/>
              </w:rPr>
            </w:pPr>
            <w:r>
              <w:rPr>
                <w:rFonts w:ascii="Arial" w:cs="Arial" w:eastAsia="Arial" w:hAnsi="Arial"/>
                <w:sz w:val="18"/>
                <w:szCs w:val="18"/>
                <w:color w:val="auto"/>
              </w:rPr>
              <w:t>Research and development¹</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39,951</w:t>
            </w:r>
          </w:p>
        </w:tc>
        <w:tc>
          <w:tcPr>
            <w:tcW w:w="4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33,226</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114,477</w:t>
            </w:r>
          </w:p>
        </w:tc>
        <w:tc>
          <w:tcPr>
            <w:tcW w:w="3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92,218</w:t>
            </w:r>
          </w:p>
        </w:tc>
      </w:tr>
      <w:tr>
        <w:trPr>
          <w:trHeight w:val="203"/>
        </w:trPr>
        <w:tc>
          <w:tcPr>
            <w:tcW w:w="470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5,926</w:t>
            </w:r>
          </w:p>
        </w:tc>
        <w:tc>
          <w:tcPr>
            <w:tcW w:w="4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4,395</w:t>
            </w:r>
          </w:p>
        </w:tc>
        <w:tc>
          <w:tcPr>
            <w:tcW w:w="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14,137</w:t>
            </w:r>
          </w:p>
        </w:tc>
        <w:tc>
          <w:tcPr>
            <w:tcW w:w="3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13,272</w:t>
            </w:r>
          </w:p>
        </w:tc>
      </w:tr>
      <w:tr>
        <w:trPr>
          <w:trHeight w:val="196"/>
        </w:trPr>
        <w:tc>
          <w:tcPr>
            <w:tcW w:w="4700" w:type="dxa"/>
            <w:vAlign w:val="bottom"/>
          </w:tcPr>
          <w:p>
            <w:pPr>
              <w:ind w:left="180"/>
              <w:spacing w:after="0" w:line="196"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45,877</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37,621</w:t>
            </w: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128,614</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105,490</w:t>
            </w:r>
          </w:p>
        </w:tc>
      </w:tr>
      <w:tr>
        <w:trPr>
          <w:trHeight w:val="196"/>
        </w:trPr>
        <w:tc>
          <w:tcPr>
            <w:tcW w:w="4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(45,877)</w:t>
            </w: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(37,621)</w:t>
            </w: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(128,614)</w:t>
            </w: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(105,490)</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7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Interest income</w:t>
            </w:r>
          </w:p>
        </w:tc>
        <w:tc>
          <w:tcPr>
            <w:tcW w:w="16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3,648</w:t>
            </w: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2,928</w:t>
            </w: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12,214</w:t>
            </w: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9,388</w:t>
            </w:r>
          </w:p>
        </w:tc>
      </w:tr>
      <w:tr>
        <w:trPr>
          <w:trHeight w:val="203"/>
        </w:trPr>
        <w:tc>
          <w:tcPr>
            <w:tcW w:w="4700" w:type="dxa"/>
            <w:vAlign w:val="bottom"/>
          </w:tcPr>
          <w:p>
            <w:pPr>
              <w:ind w:left="120"/>
              <w:spacing w:after="0" w:line="202" w:lineRule="exact"/>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7"/>
                <w:szCs w:val="17"/>
                <w:color w:val="auto"/>
              </w:rPr>
            </w:pPr>
          </w:p>
        </w:tc>
        <w:tc>
          <w:tcPr>
            <w:tcW w:w="148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12</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138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10</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195</w:t>
            </w:r>
          </w:p>
        </w:tc>
      </w:tr>
      <w:tr>
        <w:trPr>
          <w:trHeight w:val="196"/>
        </w:trPr>
        <w:tc>
          <w:tcPr>
            <w:tcW w:w="4700" w:type="dxa"/>
            <w:vAlign w:val="bottom"/>
            <w:tcBorders>
              <w:bottom w:val="single" w:sz="8" w:color="CFF0FC"/>
            </w:tcBorders>
            <w:shd w:val="clear" w:color="auto" w:fill="CFF0FC"/>
          </w:tcPr>
          <w:p>
            <w:pPr>
              <w:ind w:left="120"/>
              <w:spacing w:after="0" w:line="196" w:lineRule="exact"/>
              <w:rPr>
                <w:sz w:val="20"/>
                <w:szCs w:val="20"/>
                <w:color w:val="auto"/>
              </w:rPr>
            </w:pPr>
            <w:r>
              <w:rPr>
                <w:rFonts w:ascii="Arial" w:cs="Arial" w:eastAsia="Arial" w:hAnsi="Arial"/>
                <w:sz w:val="18"/>
                <w:szCs w:val="18"/>
                <w:color w:val="auto"/>
              </w:rPr>
              <w:t>Total other income</w:t>
            </w:r>
          </w:p>
        </w:tc>
        <w:tc>
          <w:tcPr>
            <w:tcW w:w="16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3,660</w:t>
            </w:r>
          </w:p>
        </w:tc>
        <w:tc>
          <w:tcPr>
            <w:tcW w:w="4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3,066</w:t>
            </w:r>
          </w:p>
        </w:tc>
        <w:tc>
          <w:tcPr>
            <w:tcW w:w="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12,224</w:t>
            </w:r>
          </w:p>
        </w:tc>
        <w:tc>
          <w:tcPr>
            <w:tcW w:w="3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9,583</w:t>
            </w:r>
          </w:p>
        </w:tc>
      </w:tr>
      <w:tr>
        <w:trPr>
          <w:trHeight w:val="196"/>
        </w:trPr>
        <w:tc>
          <w:tcPr>
            <w:tcW w:w="4700" w:type="dxa"/>
            <w:vAlign w:val="bottom"/>
          </w:tcPr>
          <w:p>
            <w:pPr>
              <w:ind w:left="180"/>
              <w:spacing w:after="0" w:line="182" w:lineRule="exact"/>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(42,217)</w:t>
            </w:r>
          </w:p>
        </w:tc>
        <w:tc>
          <w:tcPr>
            <w:tcW w:w="400" w:type="dxa"/>
            <w:vAlign w:val="bottom"/>
          </w:tcPr>
          <w:p>
            <w:pPr>
              <w:jc w:val="right"/>
              <w:ind w:right="130"/>
              <w:spacing w:after="0" w:line="18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(34,555)</w:t>
            </w:r>
          </w:p>
        </w:tc>
        <w:tc>
          <w:tcPr>
            <w:tcW w:w="2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(116,390)</w:t>
            </w:r>
          </w:p>
        </w:tc>
        <w:tc>
          <w:tcPr>
            <w:tcW w:w="380" w:type="dxa"/>
            <w:vAlign w:val="bottom"/>
          </w:tcPr>
          <w:p>
            <w:pPr>
              <w:jc w:val="right"/>
              <w:ind w:right="130"/>
              <w:spacing w:after="0" w:line="18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(95,907)</w:t>
            </w:r>
          </w:p>
        </w:tc>
      </w:tr>
      <w:tr>
        <w:trPr>
          <w:trHeight w:val="20"/>
        </w:trPr>
        <w:tc>
          <w:tcPr>
            <w:tcW w:w="4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470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Net loss per share, basic and diluted</w:t>
            </w:r>
          </w:p>
        </w:tc>
        <w:tc>
          <w:tcPr>
            <w:tcW w:w="1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(0.49)</w:t>
            </w:r>
          </w:p>
        </w:tc>
        <w:tc>
          <w:tcPr>
            <w:tcW w:w="400" w:type="dxa"/>
            <w:vAlign w:val="bottom"/>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(0.60)</w:t>
            </w:r>
          </w:p>
        </w:tc>
        <w:tc>
          <w:tcPr>
            <w:tcW w:w="200" w:type="dxa"/>
            <w:vAlign w:val="bottom"/>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(1.36)</w:t>
            </w:r>
          </w:p>
        </w:tc>
        <w:tc>
          <w:tcPr>
            <w:tcW w:w="380" w:type="dxa"/>
            <w:vAlign w:val="bottom"/>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(1.80)</w:t>
            </w:r>
          </w:p>
        </w:tc>
      </w:tr>
      <w:tr>
        <w:trPr>
          <w:trHeight w:val="164"/>
        </w:trPr>
        <w:tc>
          <w:tcPr>
            <w:tcW w:w="4700" w:type="dxa"/>
            <w:vAlign w:val="bottom"/>
            <w:tcBorders>
              <w:top w:val="single" w:sz="8" w:color="CFF0FC"/>
            </w:tcBorders>
          </w:tcPr>
          <w:p>
            <w:pPr>
              <w:spacing w:after="0" w:line="164" w:lineRule="exact"/>
              <w:rPr>
                <w:sz w:val="20"/>
                <w:szCs w:val="20"/>
                <w:color w:val="auto"/>
              </w:rPr>
            </w:pPr>
            <w:r>
              <w:rPr>
                <w:rFonts w:ascii="Arial" w:cs="Arial" w:eastAsia="Arial" w:hAnsi="Arial"/>
                <w:sz w:val="18"/>
                <w:szCs w:val="18"/>
                <w:color w:val="auto"/>
              </w:rPr>
              <w:t>Weighted average shares used to compute net loss per</w:t>
            </w: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6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r>
      <w:tr>
        <w:trPr>
          <w:trHeight w:val="221"/>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 basic and diluted²</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85,732,221</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57,262,803</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85,553,078</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53,194,081</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-1396365</wp:posOffset>
            </wp:positionV>
            <wp:extent cx="431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-599440</wp:posOffset>
            </wp:positionV>
            <wp:extent cx="431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-307975</wp:posOffset>
            </wp:positionV>
            <wp:extent cx="431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-290830</wp:posOffset>
            </wp:positionV>
            <wp:extent cx="431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68" w:lineRule="exact"/>
        <w:rPr>
          <w:sz w:val="20"/>
          <w:szCs w:val="20"/>
          <w:color w:val="auto"/>
        </w:rPr>
      </w:pPr>
    </w:p>
    <w:p>
      <w:pPr>
        <w:ind w:right="760"/>
        <w:spacing w:after="0" w:line="286" w:lineRule="auto"/>
        <w:rPr>
          <w:sz w:val="20"/>
          <w:szCs w:val="20"/>
          <w:color w:val="auto"/>
        </w:rPr>
      </w:pPr>
      <w:r>
        <w:rPr>
          <w:rFonts w:ascii="Arial" w:cs="Arial" w:eastAsia="Arial" w:hAnsi="Arial"/>
          <w:sz w:val="16"/>
          <w:szCs w:val="16"/>
          <w:color w:val="auto"/>
        </w:rPr>
        <w:t>¹The amounts for the nine months ended September 30, 2025 and 2024 include one-time milestone payments to Aurigene of $10,000 and $5,000, respectively.</w:t>
      </w:r>
    </w:p>
    <w:p>
      <w:pPr>
        <w:spacing w:after="0" w:line="129" w:lineRule="exact"/>
        <w:rPr>
          <w:sz w:val="20"/>
          <w:szCs w:val="20"/>
          <w:color w:val="auto"/>
        </w:rPr>
      </w:pPr>
    </w:p>
    <w:p>
      <w:pPr>
        <w:ind w:right="300" w:firstLine="8"/>
        <w:spacing w:after="0" w:line="286" w:lineRule="auto"/>
        <w:tabs>
          <w:tab w:leader="none" w:pos="99" w:val="left"/>
        </w:tabs>
        <w:numPr>
          <w:ilvl w:val="0"/>
          <w:numId w:val="3"/>
        </w:numPr>
        <w:rPr>
          <w:rFonts w:ascii="Arial" w:cs="Arial" w:eastAsia="Arial" w:hAnsi="Arial"/>
          <w:sz w:val="16"/>
          <w:szCs w:val="16"/>
          <w:color w:val="auto"/>
        </w:rPr>
      </w:pPr>
      <w:r>
        <w:rPr>
          <w:rFonts w:ascii="Arial" w:cs="Arial" w:eastAsia="Arial" w:hAnsi="Arial"/>
          <w:sz w:val="16"/>
          <w:szCs w:val="16"/>
          <w:color w:val="auto"/>
        </w:rPr>
        <w:t>For the three and nine months ended September 30, 2025, the weighted average shares used to compute net loss per share, basic and diluted, include the effect from the pre-funded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p>
      <w:pPr>
        <w:spacing w:after="0" w:line="201"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6350</wp:posOffset>
            </wp:positionV>
            <wp:extent cx="18688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5" w:lineRule="exact"/>
        <w:rPr>
          <w:sz w:val="20"/>
          <w:szCs w:val="20"/>
          <w:color w:val="auto"/>
        </w:rPr>
      </w:pPr>
    </w:p>
    <w:p>
      <w:pPr>
        <w:ind w:left="5720"/>
        <w:spacing w:after="0"/>
        <w:tabs>
          <w:tab w:leader="none" w:pos="7300" w:val="left"/>
        </w:tabs>
        <w:rPr>
          <w:sz w:val="20"/>
          <w:szCs w:val="20"/>
          <w:color w:val="auto"/>
        </w:rPr>
      </w:pP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2024</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6350</wp:posOffset>
            </wp:positionV>
            <wp:extent cx="18084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5" w:lineRule="exact"/>
        <w:rPr>
          <w:sz w:val="20"/>
          <w:szCs w:val="20"/>
          <w:color w:val="auto"/>
        </w:rPr>
      </w:pPr>
    </w:p>
    <w:p>
      <w:pPr>
        <w:ind w:left="320"/>
        <w:spacing w:after="0"/>
        <w:tabs>
          <w:tab w:leader="none" w:pos="1840" w:val="left"/>
        </w:tabs>
        <w:rPr>
          <w:sz w:val="20"/>
          <w:szCs w:val="20"/>
          <w:color w:val="auto"/>
        </w:rPr>
      </w:pP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2024</w:t>
      </w:r>
    </w:p>
    <w:p>
      <w:pPr>
        <w:spacing w:after="0" w:line="1" w:lineRule="exact"/>
        <w:rPr>
          <w:sz w:val="20"/>
          <w:szCs w:val="20"/>
          <w:color w:val="auto"/>
        </w:rPr>
      </w:pPr>
    </w:p>
    <w:p>
      <w:pPr>
        <w:sectPr>
          <w:pgSz w:w="11900" w:h="16838" w:orient="portrait"/>
          <w:cols w:equalWidth="0" w:num="2">
            <w:col w:w="7860" w:space="720"/>
            <w:col w:w="266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w:t>
            </w:r>
          </w:p>
        </w:tc>
        <w:tc>
          <w:tcPr>
            <w:tcW w:w="380" w:type="dxa"/>
            <w:vAlign w:val="bottom"/>
            <w:tcBorders>
              <w:top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(42,217)</w:t>
            </w:r>
          </w:p>
        </w:tc>
        <w:tc>
          <w:tcPr>
            <w:tcW w:w="50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(34,555)</w:t>
            </w:r>
          </w:p>
        </w:tc>
        <w:tc>
          <w:tcPr>
            <w:tcW w:w="2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(116,390)</w:t>
            </w:r>
          </w:p>
        </w:tc>
        <w:tc>
          <w:tcPr>
            <w:tcW w:w="46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(95,907)</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Other comprehensive gain:</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20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Net unrealized gain on marketable securities</w:t>
            </w:r>
          </w:p>
        </w:tc>
        <w:tc>
          <w:tcPr>
            <w:tcW w:w="3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212</w:t>
            </w:r>
          </w:p>
        </w:tc>
        <w:tc>
          <w:tcPr>
            <w:tcW w:w="5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582</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383</w:t>
            </w:r>
          </w:p>
        </w:tc>
        <w:tc>
          <w:tcPr>
            <w:tcW w:w="4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117</w:t>
            </w:r>
          </w:p>
        </w:tc>
      </w:tr>
      <w:tr>
        <w:trPr>
          <w:trHeight w:val="196"/>
        </w:trPr>
        <w:tc>
          <w:tcPr>
            <w:tcW w:w="5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comprehensive loss</w:t>
            </w:r>
          </w:p>
        </w:tc>
        <w:tc>
          <w:tcPr>
            <w:tcW w:w="38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(42,005)</w:t>
            </w:r>
          </w:p>
        </w:tc>
        <w:tc>
          <w:tcPr>
            <w:tcW w:w="5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(33,973)</w:t>
            </w:r>
          </w:p>
        </w:tc>
        <w:tc>
          <w:tcPr>
            <w:tcW w:w="560" w:type="dxa"/>
            <w:vAlign w:val="bottom"/>
            <w:tcBorders>
              <w:bottom w:val="single" w:sz="8" w:color="auto"/>
            </w:tcBorders>
            <w:gridSpan w:val="2"/>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(116,007)</w:t>
            </w:r>
          </w:p>
        </w:tc>
        <w:tc>
          <w:tcPr>
            <w:tcW w:w="4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(95,790)</w:t>
            </w: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-162560</wp:posOffset>
            </wp:positionV>
            <wp:extent cx="1543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for share amounts)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Borders>
              <w:top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3660" w:type="dxa"/>
            <w:vAlign w:val="bottom"/>
            <w:tcBorders>
              <w:top w:val="single" w:sz="8" w:color="auto"/>
              <w:bottom w:val="single" w:sz="8" w:color="auto"/>
            </w:tcBorders>
            <w:gridSpan w:val="6"/>
          </w:tcPr>
          <w:p>
            <w:pPr>
              <w:jc w:val="right"/>
              <w:ind w:right="780"/>
              <w:spacing w:after="0"/>
              <w:rPr>
                <w:sz w:val="20"/>
                <w:szCs w:val="20"/>
                <w:color w:val="auto"/>
              </w:rPr>
            </w:pPr>
            <w:r>
              <w:rPr>
                <w:rFonts w:ascii="Arial" w:cs="Arial" w:eastAsia="Arial" w:hAnsi="Arial"/>
                <w:sz w:val="14"/>
                <w:szCs w:val="14"/>
                <w:b w:val="1"/>
                <w:bCs w:val="1"/>
                <w:color w:val="auto"/>
              </w:rPr>
              <w:t>Three Months Ended September 30, 2025</w:t>
            </w: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101"/>
              <w:spacing w:after="0" w:line="147" w:lineRule="exact"/>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120" w:type="dxa"/>
            <w:vAlign w:val="bottom"/>
          </w:tcPr>
          <w:p>
            <w:pPr>
              <w:spacing w:after="0"/>
              <w:rPr>
                <w:sz w:val="15"/>
                <w:szCs w:val="15"/>
                <w:color w:val="auto"/>
              </w:rPr>
            </w:pPr>
          </w:p>
        </w:tc>
        <w:tc>
          <w:tcPr>
            <w:tcW w:w="1540" w:type="dxa"/>
            <w:vAlign w:val="bottom"/>
            <w:gridSpan w:val="2"/>
            <w:vMerge w:val="restart"/>
          </w:tcPr>
          <w:p>
            <w:pPr>
              <w:jc w:val="right"/>
              <w:ind w:right="22"/>
              <w:spacing w:after="0"/>
              <w:rPr>
                <w:sz w:val="20"/>
                <w:szCs w:val="20"/>
                <w:color w:val="auto"/>
              </w:rPr>
            </w:pPr>
            <w:r>
              <w:rPr>
                <w:rFonts w:ascii="Arial" w:cs="Arial" w:eastAsia="Arial" w:hAnsi="Arial"/>
                <w:sz w:val="14"/>
                <w:szCs w:val="14"/>
                <w:b w:val="1"/>
                <w:bCs w:val="1"/>
                <w:color w:val="auto"/>
              </w:rPr>
              <w:t>Common Stock</w:t>
            </w:r>
          </w:p>
        </w:tc>
        <w:tc>
          <w:tcPr>
            <w:tcW w:w="380" w:type="dxa"/>
            <w:vAlign w:val="bottom"/>
          </w:tcPr>
          <w:p>
            <w:pPr>
              <w:spacing w:after="0"/>
              <w:rPr>
                <w:sz w:val="15"/>
                <w:szCs w:val="15"/>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center"/>
              <w:ind w:right="361"/>
              <w:spacing w:after="0"/>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center"/>
              <w:ind w:right="3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120" w:type="dxa"/>
            <w:vAlign w:val="bottom"/>
          </w:tcPr>
          <w:p>
            <w:pPr>
              <w:spacing w:after="0"/>
              <w:rPr>
                <w:sz w:val="13"/>
                <w:szCs w:val="13"/>
                <w:color w:val="auto"/>
              </w:rPr>
            </w:pPr>
          </w:p>
        </w:tc>
        <w:tc>
          <w:tcPr>
            <w:tcW w:w="1540" w:type="dxa"/>
            <w:vAlign w:val="bottom"/>
            <w:tcBorders>
              <w:bottom w:val="single" w:sz="8" w:color="auto"/>
            </w:tcBorders>
            <w:gridSpan w:val="2"/>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center"/>
              <w:ind w:right="162"/>
              <w:spacing w:after="0" w:line="158"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3"/>
                <w:szCs w:val="13"/>
                <w:color w:val="auto"/>
              </w:rPr>
            </w:pPr>
          </w:p>
        </w:tc>
        <w:tc>
          <w:tcPr>
            <w:tcW w:w="1280" w:type="dxa"/>
            <w:vAlign w:val="bottom"/>
            <w:gridSpan w:val="2"/>
          </w:tcPr>
          <w:p>
            <w:pPr>
              <w:jc w:val="center"/>
              <w:ind w:right="121"/>
              <w:spacing w:after="0" w:line="158" w:lineRule="exact"/>
              <w:rPr>
                <w:sz w:val="20"/>
                <w:szCs w:val="20"/>
                <w:color w:val="auto"/>
              </w:rPr>
            </w:pPr>
            <w:r>
              <w:rPr>
                <w:rFonts w:ascii="Arial" w:cs="Arial" w:eastAsia="Arial" w:hAnsi="Arial"/>
                <w:sz w:val="14"/>
                <w:szCs w:val="14"/>
                <w:b w:val="1"/>
                <w:bCs w:val="1"/>
                <w:color w:val="auto"/>
              </w:rPr>
              <w:t>Comprehensive</w:t>
            </w:r>
          </w:p>
        </w:tc>
        <w:tc>
          <w:tcPr>
            <w:tcW w:w="13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rPr>
              <w:t>Accumulated</w:t>
            </w:r>
          </w:p>
        </w:tc>
        <w:tc>
          <w:tcPr>
            <w:tcW w:w="13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4120" w:type="dxa"/>
            <w:vAlign w:val="bottom"/>
          </w:tcPr>
          <w:p>
            <w:pPr>
              <w:spacing w:after="0"/>
              <w:rPr>
                <w:sz w:val="13"/>
                <w:szCs w:val="13"/>
                <w:color w:val="auto"/>
              </w:rPr>
            </w:pPr>
          </w:p>
        </w:tc>
        <w:tc>
          <w:tcPr>
            <w:tcW w:w="1140" w:type="dxa"/>
            <w:vAlign w:val="bottom"/>
            <w:tcBorders>
              <w:bottom w:val="single" w:sz="8" w:color="auto"/>
            </w:tcBorders>
          </w:tcPr>
          <w:p>
            <w:pPr>
              <w:jc w:val="right"/>
              <w:ind w:right="301"/>
              <w:spacing w:after="0" w:line="155" w:lineRule="exact"/>
              <w:rPr>
                <w:sz w:val="20"/>
                <w:szCs w:val="20"/>
                <w:color w:val="auto"/>
              </w:rPr>
            </w:pPr>
            <w:r>
              <w:rPr>
                <w:rFonts w:ascii="Arial" w:cs="Arial" w:eastAsia="Arial" w:hAnsi="Arial"/>
                <w:sz w:val="14"/>
                <w:szCs w:val="14"/>
                <w:b w:val="1"/>
                <w:bCs w:val="1"/>
                <w:color w:val="auto"/>
              </w:rPr>
              <w:t>Shares</w:t>
            </w:r>
          </w:p>
        </w:tc>
        <w:tc>
          <w:tcPr>
            <w:tcW w:w="780" w:type="dxa"/>
            <w:vAlign w:val="bottom"/>
            <w:tcBorders>
              <w:bottom w:val="single" w:sz="8" w:color="auto"/>
            </w:tcBorders>
            <w:gridSpan w:val="2"/>
          </w:tcPr>
          <w:p>
            <w:pPr>
              <w:jc w:val="right"/>
              <w:ind w:right="59"/>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62"/>
              <w:spacing w:after="0" w:line="155" w:lineRule="exact"/>
              <w:rPr>
                <w:sz w:val="20"/>
                <w:szCs w:val="20"/>
                <w:color w:val="auto"/>
              </w:rPr>
            </w:pPr>
            <w:r>
              <w:rPr>
                <w:rFonts w:ascii="Arial" w:cs="Arial" w:eastAsia="Arial" w:hAnsi="Arial"/>
                <w:sz w:val="14"/>
                <w:szCs w:val="14"/>
                <w:b w:val="1"/>
                <w:bCs w:val="1"/>
                <w:color w:val="auto"/>
              </w:rPr>
              <w:t>Capital</w:t>
            </w: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361"/>
              <w:spacing w:after="0" w:line="155" w:lineRule="exact"/>
              <w:rPr>
                <w:sz w:val="20"/>
                <w:szCs w:val="20"/>
                <w:color w:val="auto"/>
              </w:rPr>
            </w:pPr>
            <w:r>
              <w:rPr>
                <w:rFonts w:ascii="Arial" w:cs="Arial" w:eastAsia="Arial" w:hAnsi="Arial"/>
                <w:sz w:val="14"/>
                <w:szCs w:val="14"/>
                <w:b w:val="1"/>
                <w:bCs w:val="1"/>
                <w:color w:val="auto"/>
              </w:rPr>
              <w:t>Income</w:t>
            </w: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280"/>
              <w:spacing w:after="0" w:line="155" w:lineRule="exact"/>
              <w:rPr>
                <w:sz w:val="20"/>
                <w:szCs w:val="20"/>
                <w:color w:val="auto"/>
              </w:rPr>
            </w:pPr>
            <w:r>
              <w:rPr>
                <w:rFonts w:ascii="Arial" w:cs="Arial" w:eastAsia="Arial" w:hAnsi="Arial"/>
                <w:sz w:val="14"/>
                <w:szCs w:val="14"/>
                <w:b w:val="1"/>
                <w:bCs w:val="1"/>
                <w:color w:val="auto"/>
              </w:rPr>
              <w:t>Deficit</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81"/>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41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Balances at June 30, 2025</w:t>
            </w:r>
          </w:p>
        </w:tc>
        <w:tc>
          <w:tcPr>
            <w:tcW w:w="114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68,627,886</w:t>
            </w:r>
          </w:p>
        </w:tc>
        <w:tc>
          <w:tcPr>
            <w:tcW w:w="400" w:type="dxa"/>
            <w:vAlign w:val="bottom"/>
            <w:shd w:val="clear" w:color="auto" w:fill="CFF0FC"/>
          </w:tcPr>
          <w:p>
            <w:pPr>
              <w:jc w:val="right"/>
              <w:ind w:right="162"/>
              <w:spacing w:after="0" w:line="183" w:lineRule="exact"/>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7</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42"/>
              <w:spacing w:after="0" w:line="183" w:lineRule="exact"/>
              <w:rPr>
                <w:sz w:val="20"/>
                <w:szCs w:val="20"/>
                <w:color w:val="auto"/>
              </w:rPr>
            </w:pPr>
            <w:r>
              <w:rPr>
                <w:rFonts w:ascii="Arial" w:cs="Arial" w:eastAsia="Arial" w:hAnsi="Arial"/>
                <w:sz w:val="16"/>
                <w:szCs w:val="16"/>
                <w:color w:val="auto"/>
              </w:rPr>
              <w:t>854,194</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1"/>
              <w:spacing w:after="0" w:line="183" w:lineRule="exact"/>
              <w:rPr>
                <w:sz w:val="20"/>
                <w:szCs w:val="20"/>
                <w:color w:val="auto"/>
              </w:rPr>
            </w:pPr>
            <w:r>
              <w:rPr>
                <w:rFonts w:ascii="Arial" w:cs="Arial" w:eastAsia="Arial" w:hAnsi="Arial"/>
                <w:sz w:val="16"/>
                <w:szCs w:val="16"/>
                <w:color w:val="auto"/>
              </w:rPr>
              <w:t>314</w:t>
            </w:r>
          </w:p>
        </w:tc>
        <w:tc>
          <w:tcPr>
            <w:tcW w:w="340" w:type="dxa"/>
            <w:vAlign w:val="bottom"/>
            <w:shd w:val="clear" w:color="auto" w:fill="CFF0FC"/>
          </w:tcPr>
          <w:p>
            <w:pPr>
              <w:jc w:val="right"/>
              <w:ind w:right="82"/>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(509,279)</w:t>
            </w:r>
          </w:p>
        </w:tc>
        <w:tc>
          <w:tcPr>
            <w:tcW w:w="320" w:type="dxa"/>
            <w:vAlign w:val="bottom"/>
            <w:shd w:val="clear" w:color="auto" w:fill="CFF0FC"/>
          </w:tcPr>
          <w:p>
            <w:pPr>
              <w:jc w:val="right"/>
              <w:ind w:right="82"/>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345,236</w:t>
            </w:r>
          </w:p>
        </w:tc>
        <w:tc>
          <w:tcPr>
            <w:tcW w:w="0" w:type="dxa"/>
            <w:vAlign w:val="bottom"/>
          </w:tcPr>
          <w:p>
            <w:pPr>
              <w:spacing w:after="0"/>
              <w:rPr>
                <w:sz w:val="1"/>
                <w:szCs w:val="1"/>
                <w:color w:val="auto"/>
              </w:rPr>
            </w:pPr>
          </w:p>
        </w:tc>
      </w:tr>
      <w:tr>
        <w:trPr>
          <w:trHeight w:val="175"/>
        </w:trPr>
        <w:tc>
          <w:tcPr>
            <w:tcW w:w="4120" w:type="dxa"/>
            <w:vAlign w:val="bottom"/>
          </w:tcPr>
          <w:p>
            <w:pPr>
              <w:spacing w:after="0" w:line="175" w:lineRule="exact"/>
              <w:rPr>
                <w:sz w:val="20"/>
                <w:szCs w:val="20"/>
                <w:color w:val="auto"/>
              </w:rPr>
            </w:pPr>
            <w:r>
              <w:rPr>
                <w:rFonts w:ascii="Arial" w:cs="Arial" w:eastAsia="Arial" w:hAnsi="Arial"/>
                <w:sz w:val="16"/>
                <w:szCs w:val="16"/>
                <w:color w:val="auto"/>
              </w:rPr>
              <w:t>Stock-based compensation expense, including</w:t>
            </w: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20"/>
                <w:szCs w:val="20"/>
                <w:color w:val="auto"/>
              </w:rPr>
            </w:pPr>
            <w:r>
              <w:rPr>
                <w:rFonts w:ascii="Arial" w:cs="Arial" w:eastAsia="Arial" w:hAnsi="Arial"/>
                <w:sz w:val="16"/>
                <w:szCs w:val="16"/>
                <w:color w:val="auto"/>
              </w:rPr>
              <w:t>employee stock purchase plan expense</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4,250</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4,250</w:t>
            </w:r>
          </w:p>
        </w:tc>
        <w:tc>
          <w:tcPr>
            <w:tcW w:w="0" w:type="dxa"/>
            <w:vAlign w:val="bottom"/>
          </w:tcPr>
          <w:p>
            <w:pPr>
              <w:spacing w:after="0"/>
              <w:rPr>
                <w:sz w:val="1"/>
                <w:szCs w:val="1"/>
                <w:color w:val="auto"/>
              </w:rPr>
            </w:pPr>
          </w:p>
        </w:tc>
      </w:tr>
      <w:tr>
        <w:trPr>
          <w:trHeight w:val="189"/>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Exercise of stock options</w:t>
            </w: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24,844</w:t>
            </w:r>
          </w:p>
        </w:tc>
        <w:tc>
          <w:tcPr>
            <w:tcW w:w="400" w:type="dxa"/>
            <w:vAlign w:val="bottom"/>
            <w:shd w:val="clear" w:color="auto" w:fill="CFF0FC"/>
          </w:tcPr>
          <w:p>
            <w:pPr>
              <w:spacing w:after="0"/>
              <w:rPr>
                <w:sz w:val="16"/>
                <w:szCs w:val="16"/>
                <w:color w:val="auto"/>
              </w:rPr>
            </w:pPr>
          </w:p>
        </w:tc>
        <w:tc>
          <w:tcPr>
            <w:tcW w:w="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7</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9"/>
        </w:trPr>
        <w:tc>
          <w:tcPr>
            <w:tcW w:w="4120" w:type="dxa"/>
            <w:vAlign w:val="bottom"/>
          </w:tcPr>
          <w:p>
            <w:pPr>
              <w:spacing w:after="0"/>
              <w:rPr>
                <w:sz w:val="20"/>
                <w:szCs w:val="20"/>
                <w:color w:val="auto"/>
              </w:rPr>
            </w:pPr>
            <w:r>
              <w:rPr>
                <w:rFonts w:ascii="Arial" w:cs="Arial" w:eastAsia="Arial" w:hAnsi="Arial"/>
                <w:sz w:val="16"/>
                <w:szCs w:val="16"/>
                <w:color w:val="auto"/>
              </w:rPr>
              <w:t>Net unrealized gain on marketable securities</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212</w:t>
            </w:r>
          </w:p>
        </w:tc>
        <w:tc>
          <w:tcPr>
            <w:tcW w:w="340" w:type="dxa"/>
            <w:vAlign w:val="bottom"/>
          </w:tcPr>
          <w:p>
            <w:pPr>
              <w:spacing w:after="0"/>
              <w:rPr>
                <w:sz w:val="16"/>
                <w:szCs w:val="16"/>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189"/>
        </w:trPr>
        <w:tc>
          <w:tcPr>
            <w:tcW w:w="4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loss</w:t>
            </w:r>
          </w:p>
        </w:tc>
        <w:tc>
          <w:tcPr>
            <w:tcW w:w="11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(42,217)</w:t>
            </w:r>
          </w:p>
        </w:tc>
        <w:tc>
          <w:tcPr>
            <w:tcW w:w="3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(42,217)</w:t>
            </w:r>
          </w:p>
        </w:tc>
        <w:tc>
          <w:tcPr>
            <w:tcW w:w="0" w:type="dxa"/>
            <w:vAlign w:val="bottom"/>
          </w:tcPr>
          <w:p>
            <w:pPr>
              <w:spacing w:after="0"/>
              <w:rPr>
                <w:sz w:val="1"/>
                <w:szCs w:val="1"/>
                <w:color w:val="auto"/>
              </w:rPr>
            </w:pPr>
          </w:p>
        </w:tc>
      </w:tr>
      <w:tr>
        <w:trPr>
          <w:trHeight w:val="183"/>
        </w:trPr>
        <w:tc>
          <w:tcPr>
            <w:tcW w:w="4120" w:type="dxa"/>
            <w:vAlign w:val="bottom"/>
          </w:tcPr>
          <w:p>
            <w:pPr>
              <w:spacing w:after="0" w:line="183" w:lineRule="exact"/>
              <w:rPr>
                <w:sz w:val="20"/>
                <w:szCs w:val="20"/>
                <w:color w:val="auto"/>
              </w:rPr>
            </w:pPr>
            <w:r>
              <w:rPr>
                <w:rFonts w:ascii="Arial" w:cs="Arial" w:eastAsia="Arial" w:hAnsi="Arial"/>
                <w:sz w:val="16"/>
                <w:szCs w:val="16"/>
                <w:color w:val="auto"/>
              </w:rPr>
              <w:t>Balances at September 30, 2025</w:t>
            </w:r>
          </w:p>
        </w:tc>
        <w:tc>
          <w:tcPr>
            <w:tcW w:w="1140" w:type="dxa"/>
            <w:vAlign w:val="bottom"/>
            <w:tcBorders>
              <w:bottom w:val="single" w:sz="8" w:color="auto"/>
            </w:tcBorders>
          </w:tcPr>
          <w:p>
            <w:pPr>
              <w:jc w:val="right"/>
              <w:ind w:right="41"/>
              <w:spacing w:after="0" w:line="183" w:lineRule="exact"/>
              <w:rPr>
                <w:sz w:val="20"/>
                <w:szCs w:val="20"/>
                <w:color w:val="auto"/>
              </w:rPr>
            </w:pPr>
            <w:r>
              <w:rPr>
                <w:rFonts w:ascii="Arial" w:cs="Arial" w:eastAsia="Arial" w:hAnsi="Arial"/>
                <w:sz w:val="16"/>
                <w:szCs w:val="16"/>
                <w:color w:val="auto"/>
              </w:rPr>
              <w:t>68,652,730</w:t>
            </w:r>
          </w:p>
        </w:tc>
        <w:tc>
          <w:tcPr>
            <w:tcW w:w="400" w:type="dxa"/>
            <w:vAlign w:val="bottom"/>
            <w:tcBorders>
              <w:bottom w:val="single" w:sz="8" w:color="auto"/>
            </w:tcBorders>
          </w:tcPr>
          <w:p>
            <w:pPr>
              <w:jc w:val="right"/>
              <w:ind w:right="22"/>
              <w:spacing w:after="0" w:line="183" w:lineRule="exact"/>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7</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42"/>
              <w:spacing w:after="0" w:line="183" w:lineRule="exact"/>
              <w:rPr>
                <w:sz w:val="20"/>
                <w:szCs w:val="20"/>
                <w:color w:val="auto"/>
              </w:rPr>
            </w:pPr>
            <w:r>
              <w:rPr>
                <w:rFonts w:ascii="Arial" w:cs="Arial" w:eastAsia="Arial" w:hAnsi="Arial"/>
                <w:sz w:val="16"/>
                <w:szCs w:val="16"/>
                <w:color w:val="auto"/>
              </w:rPr>
              <w:t>858,451</w:t>
            </w: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1"/>
              <w:spacing w:after="0" w:line="183" w:lineRule="exact"/>
              <w:rPr>
                <w:sz w:val="20"/>
                <w:szCs w:val="20"/>
                <w:color w:val="auto"/>
              </w:rPr>
            </w:pPr>
            <w:r>
              <w:rPr>
                <w:rFonts w:ascii="Arial" w:cs="Arial" w:eastAsia="Arial" w:hAnsi="Arial"/>
                <w:sz w:val="16"/>
                <w:szCs w:val="16"/>
                <w:color w:val="auto"/>
              </w:rPr>
              <w:t>526</w:t>
            </w:r>
          </w:p>
        </w:tc>
        <w:tc>
          <w:tcPr>
            <w:tcW w:w="340" w:type="dxa"/>
            <w:vAlign w:val="bottom"/>
            <w:tcBorders>
              <w:bottom w:val="single" w:sz="8" w:color="auto"/>
            </w:tcBorders>
          </w:tcPr>
          <w:p>
            <w:pPr>
              <w:jc w:val="right"/>
              <w:ind w:right="22"/>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(551,496)</w:t>
            </w:r>
          </w:p>
        </w:tc>
        <w:tc>
          <w:tcPr>
            <w:tcW w:w="320" w:type="dxa"/>
            <w:vAlign w:val="bottom"/>
            <w:tcBorders>
              <w:bottom w:val="single" w:sz="8" w:color="auto"/>
            </w:tcBorders>
          </w:tcPr>
          <w:p>
            <w:pPr>
              <w:jc w:val="right"/>
              <w:ind w:right="22"/>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1"/>
              <w:spacing w:after="0" w:line="183" w:lineRule="exact"/>
              <w:rPr>
                <w:sz w:val="20"/>
                <w:szCs w:val="20"/>
                <w:color w:val="auto"/>
              </w:rPr>
            </w:pPr>
            <w:r>
              <w:rPr>
                <w:rFonts w:ascii="Arial" w:cs="Arial" w:eastAsia="Arial" w:hAnsi="Arial"/>
                <w:sz w:val="16"/>
                <w:szCs w:val="16"/>
                <w:color w:val="auto"/>
              </w:rPr>
              <w:t>307,488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gridSpan w:val="6"/>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4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6"/>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4"/>
                <w:szCs w:val="14"/>
                <w:b w:val="1"/>
                <w:bCs w:val="1"/>
                <w:color w:val="auto"/>
              </w:rPr>
              <w:t>Nine Months Ended September 30, 2025</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101"/>
              <w:spacing w:after="0" w:line="147" w:lineRule="exact"/>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120" w:type="dxa"/>
            <w:vAlign w:val="bottom"/>
          </w:tcPr>
          <w:p>
            <w:pPr>
              <w:spacing w:after="0"/>
              <w:rPr>
                <w:sz w:val="15"/>
                <w:szCs w:val="15"/>
                <w:color w:val="auto"/>
              </w:rPr>
            </w:pPr>
          </w:p>
        </w:tc>
        <w:tc>
          <w:tcPr>
            <w:tcW w:w="1540" w:type="dxa"/>
            <w:vAlign w:val="bottom"/>
            <w:gridSpan w:val="2"/>
            <w:vMerge w:val="restart"/>
          </w:tcPr>
          <w:p>
            <w:pPr>
              <w:jc w:val="right"/>
              <w:ind w:right="22"/>
              <w:spacing w:after="0"/>
              <w:rPr>
                <w:sz w:val="20"/>
                <w:szCs w:val="20"/>
                <w:color w:val="auto"/>
              </w:rPr>
            </w:pPr>
            <w:r>
              <w:rPr>
                <w:rFonts w:ascii="Arial" w:cs="Arial" w:eastAsia="Arial" w:hAnsi="Arial"/>
                <w:sz w:val="14"/>
                <w:szCs w:val="14"/>
                <w:b w:val="1"/>
                <w:bCs w:val="1"/>
                <w:color w:val="auto"/>
              </w:rPr>
              <w:t>Common Stock</w:t>
            </w:r>
          </w:p>
        </w:tc>
        <w:tc>
          <w:tcPr>
            <w:tcW w:w="380" w:type="dxa"/>
            <w:vAlign w:val="bottom"/>
          </w:tcPr>
          <w:p>
            <w:pPr>
              <w:spacing w:after="0"/>
              <w:rPr>
                <w:sz w:val="15"/>
                <w:szCs w:val="15"/>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center"/>
              <w:ind w:right="361"/>
              <w:spacing w:after="0"/>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center"/>
              <w:ind w:right="3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120" w:type="dxa"/>
            <w:vAlign w:val="bottom"/>
          </w:tcPr>
          <w:p>
            <w:pPr>
              <w:spacing w:after="0"/>
              <w:rPr>
                <w:sz w:val="13"/>
                <w:szCs w:val="13"/>
                <w:color w:val="auto"/>
              </w:rPr>
            </w:pPr>
          </w:p>
        </w:tc>
        <w:tc>
          <w:tcPr>
            <w:tcW w:w="1540" w:type="dxa"/>
            <w:vAlign w:val="bottom"/>
            <w:tcBorders>
              <w:bottom w:val="single" w:sz="8" w:color="auto"/>
            </w:tcBorders>
            <w:gridSpan w:val="2"/>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center"/>
              <w:ind w:right="162"/>
              <w:spacing w:after="0" w:line="158"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3"/>
                <w:szCs w:val="13"/>
                <w:color w:val="auto"/>
              </w:rPr>
            </w:pPr>
          </w:p>
        </w:tc>
        <w:tc>
          <w:tcPr>
            <w:tcW w:w="1280" w:type="dxa"/>
            <w:vAlign w:val="bottom"/>
            <w:gridSpan w:val="2"/>
          </w:tcPr>
          <w:p>
            <w:pPr>
              <w:jc w:val="center"/>
              <w:ind w:right="121"/>
              <w:spacing w:after="0" w:line="158" w:lineRule="exact"/>
              <w:rPr>
                <w:sz w:val="20"/>
                <w:szCs w:val="20"/>
                <w:color w:val="auto"/>
              </w:rPr>
            </w:pPr>
            <w:r>
              <w:rPr>
                <w:rFonts w:ascii="Arial" w:cs="Arial" w:eastAsia="Arial" w:hAnsi="Arial"/>
                <w:sz w:val="14"/>
                <w:szCs w:val="14"/>
                <w:b w:val="1"/>
                <w:bCs w:val="1"/>
                <w:color w:val="auto"/>
              </w:rPr>
              <w:t>Comprehensive</w:t>
            </w:r>
          </w:p>
        </w:tc>
        <w:tc>
          <w:tcPr>
            <w:tcW w:w="13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rPr>
              <w:t>Accumulated</w:t>
            </w:r>
          </w:p>
        </w:tc>
        <w:tc>
          <w:tcPr>
            <w:tcW w:w="13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4120" w:type="dxa"/>
            <w:vAlign w:val="bottom"/>
          </w:tcPr>
          <w:p>
            <w:pPr>
              <w:spacing w:after="0"/>
              <w:rPr>
                <w:sz w:val="13"/>
                <w:szCs w:val="13"/>
                <w:color w:val="auto"/>
              </w:rPr>
            </w:pPr>
          </w:p>
        </w:tc>
        <w:tc>
          <w:tcPr>
            <w:tcW w:w="1140" w:type="dxa"/>
            <w:vAlign w:val="bottom"/>
            <w:tcBorders>
              <w:bottom w:val="single" w:sz="8" w:color="auto"/>
            </w:tcBorders>
          </w:tcPr>
          <w:p>
            <w:pPr>
              <w:jc w:val="right"/>
              <w:ind w:right="301"/>
              <w:spacing w:after="0" w:line="155" w:lineRule="exact"/>
              <w:rPr>
                <w:sz w:val="20"/>
                <w:szCs w:val="20"/>
                <w:color w:val="auto"/>
              </w:rPr>
            </w:pPr>
            <w:r>
              <w:rPr>
                <w:rFonts w:ascii="Arial" w:cs="Arial" w:eastAsia="Arial" w:hAnsi="Arial"/>
                <w:sz w:val="14"/>
                <w:szCs w:val="14"/>
                <w:b w:val="1"/>
                <w:bCs w:val="1"/>
                <w:color w:val="auto"/>
              </w:rPr>
              <w:t>Shares</w:t>
            </w:r>
          </w:p>
        </w:tc>
        <w:tc>
          <w:tcPr>
            <w:tcW w:w="780" w:type="dxa"/>
            <w:vAlign w:val="bottom"/>
            <w:tcBorders>
              <w:bottom w:val="single" w:sz="8" w:color="auto"/>
            </w:tcBorders>
            <w:gridSpan w:val="2"/>
          </w:tcPr>
          <w:p>
            <w:pPr>
              <w:jc w:val="right"/>
              <w:ind w:right="59"/>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62"/>
              <w:spacing w:after="0" w:line="155" w:lineRule="exact"/>
              <w:rPr>
                <w:sz w:val="20"/>
                <w:szCs w:val="20"/>
                <w:color w:val="auto"/>
              </w:rPr>
            </w:pPr>
            <w:r>
              <w:rPr>
                <w:rFonts w:ascii="Arial" w:cs="Arial" w:eastAsia="Arial" w:hAnsi="Arial"/>
                <w:sz w:val="14"/>
                <w:szCs w:val="14"/>
                <w:b w:val="1"/>
                <w:bCs w:val="1"/>
                <w:color w:val="auto"/>
              </w:rPr>
              <w:t>Capital</w:t>
            </w: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361"/>
              <w:spacing w:after="0" w:line="155" w:lineRule="exact"/>
              <w:rPr>
                <w:sz w:val="20"/>
                <w:szCs w:val="20"/>
                <w:color w:val="auto"/>
              </w:rPr>
            </w:pPr>
            <w:r>
              <w:rPr>
                <w:rFonts w:ascii="Arial" w:cs="Arial" w:eastAsia="Arial" w:hAnsi="Arial"/>
                <w:sz w:val="14"/>
                <w:szCs w:val="14"/>
                <w:b w:val="1"/>
                <w:bCs w:val="1"/>
                <w:color w:val="auto"/>
              </w:rPr>
              <w:t>Income</w:t>
            </w: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280"/>
              <w:spacing w:after="0" w:line="155" w:lineRule="exact"/>
              <w:rPr>
                <w:sz w:val="20"/>
                <w:szCs w:val="20"/>
                <w:color w:val="auto"/>
              </w:rPr>
            </w:pPr>
            <w:r>
              <w:rPr>
                <w:rFonts w:ascii="Arial" w:cs="Arial" w:eastAsia="Arial" w:hAnsi="Arial"/>
                <w:sz w:val="14"/>
                <w:szCs w:val="14"/>
                <w:b w:val="1"/>
                <w:bCs w:val="1"/>
                <w:color w:val="auto"/>
              </w:rPr>
              <w:t>Deficit</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81"/>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41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Balances at December 31, 2024</w:t>
            </w:r>
          </w:p>
        </w:tc>
        <w:tc>
          <w:tcPr>
            <w:tcW w:w="114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74,312,608</w:t>
            </w:r>
          </w:p>
        </w:tc>
        <w:tc>
          <w:tcPr>
            <w:tcW w:w="400" w:type="dxa"/>
            <w:vAlign w:val="bottom"/>
            <w:shd w:val="clear" w:color="auto" w:fill="CFF0FC"/>
          </w:tcPr>
          <w:p>
            <w:pPr>
              <w:jc w:val="right"/>
              <w:ind w:right="22"/>
              <w:spacing w:after="0" w:line="183" w:lineRule="exact"/>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7</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42"/>
              <w:spacing w:after="0" w:line="183" w:lineRule="exact"/>
              <w:rPr>
                <w:sz w:val="20"/>
                <w:szCs w:val="20"/>
                <w:color w:val="auto"/>
              </w:rPr>
            </w:pPr>
            <w:r>
              <w:rPr>
                <w:rFonts w:ascii="Arial" w:cs="Arial" w:eastAsia="Arial" w:hAnsi="Arial"/>
                <w:sz w:val="16"/>
                <w:szCs w:val="16"/>
                <w:color w:val="auto"/>
              </w:rPr>
              <w:t>843,920</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21"/>
              <w:spacing w:after="0" w:line="183" w:lineRule="exact"/>
              <w:rPr>
                <w:sz w:val="20"/>
                <w:szCs w:val="20"/>
                <w:color w:val="auto"/>
              </w:rPr>
            </w:pPr>
            <w:r>
              <w:rPr>
                <w:rFonts w:ascii="Arial" w:cs="Arial" w:eastAsia="Arial" w:hAnsi="Arial"/>
                <w:sz w:val="16"/>
                <w:szCs w:val="16"/>
                <w:color w:val="auto"/>
              </w:rPr>
              <w:t>143</w:t>
            </w:r>
          </w:p>
        </w:tc>
        <w:tc>
          <w:tcPr>
            <w:tcW w:w="340" w:type="dxa"/>
            <w:vAlign w:val="bottom"/>
            <w:shd w:val="clear" w:color="auto" w:fill="CFF0FC"/>
          </w:tcPr>
          <w:p>
            <w:pPr>
              <w:jc w:val="right"/>
              <w:ind w:right="22"/>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(435,106)</w:t>
            </w:r>
          </w:p>
        </w:tc>
        <w:tc>
          <w:tcPr>
            <w:tcW w:w="320" w:type="dxa"/>
            <w:vAlign w:val="bottom"/>
            <w:shd w:val="clear" w:color="auto" w:fill="CFF0FC"/>
          </w:tcPr>
          <w:p>
            <w:pPr>
              <w:jc w:val="right"/>
              <w:ind w:right="22"/>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408,964</w:t>
            </w:r>
          </w:p>
        </w:tc>
        <w:tc>
          <w:tcPr>
            <w:tcW w:w="0" w:type="dxa"/>
            <w:vAlign w:val="bottom"/>
          </w:tcPr>
          <w:p>
            <w:pPr>
              <w:spacing w:after="0"/>
              <w:rPr>
                <w:sz w:val="1"/>
                <w:szCs w:val="1"/>
                <w:color w:val="auto"/>
              </w:rPr>
            </w:pPr>
          </w:p>
        </w:tc>
      </w:tr>
      <w:tr>
        <w:trPr>
          <w:trHeight w:val="175"/>
        </w:trPr>
        <w:tc>
          <w:tcPr>
            <w:tcW w:w="4120" w:type="dxa"/>
            <w:vAlign w:val="bottom"/>
          </w:tcPr>
          <w:p>
            <w:pPr>
              <w:spacing w:after="0" w:line="175" w:lineRule="exact"/>
              <w:rPr>
                <w:sz w:val="20"/>
                <w:szCs w:val="20"/>
                <w:color w:val="auto"/>
              </w:rPr>
            </w:pPr>
            <w:r>
              <w:rPr>
                <w:rFonts w:ascii="Arial" w:cs="Arial" w:eastAsia="Arial" w:hAnsi="Arial"/>
                <w:sz w:val="16"/>
                <w:szCs w:val="16"/>
                <w:color w:val="auto"/>
              </w:rPr>
              <w:t>Stock-based compensation expense, including</w:t>
            </w: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20"/>
                <w:szCs w:val="20"/>
                <w:color w:val="auto"/>
              </w:rPr>
            </w:pPr>
            <w:r>
              <w:rPr>
                <w:rFonts w:ascii="Arial" w:cs="Arial" w:eastAsia="Arial" w:hAnsi="Arial"/>
                <w:sz w:val="16"/>
                <w:szCs w:val="16"/>
                <w:color w:val="auto"/>
              </w:rPr>
              <w:t>employee stock purchase plan expense</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13,320</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13,320</w:t>
            </w:r>
          </w:p>
        </w:tc>
        <w:tc>
          <w:tcPr>
            <w:tcW w:w="0" w:type="dxa"/>
            <w:vAlign w:val="bottom"/>
          </w:tcPr>
          <w:p>
            <w:pPr>
              <w:spacing w:after="0"/>
              <w:rPr>
                <w:sz w:val="1"/>
                <w:szCs w:val="1"/>
                <w:color w:val="auto"/>
              </w:rPr>
            </w:pPr>
          </w:p>
        </w:tc>
      </w:tr>
      <w:tr>
        <w:trPr>
          <w:trHeight w:val="175"/>
        </w:trPr>
        <w:tc>
          <w:tcPr>
            <w:tcW w:w="412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Issuance of shares under employee stock purchase</w:t>
            </w:r>
          </w:p>
        </w:tc>
        <w:tc>
          <w:tcPr>
            <w:tcW w:w="11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plan</w:t>
            </w: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206,609</w:t>
            </w:r>
          </w:p>
        </w:tc>
        <w:tc>
          <w:tcPr>
            <w:tcW w:w="40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748</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189"/>
        </w:trPr>
        <w:tc>
          <w:tcPr>
            <w:tcW w:w="412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203,513</w:t>
            </w:r>
          </w:p>
        </w:tc>
        <w:tc>
          <w:tcPr>
            <w:tcW w:w="400" w:type="dxa"/>
            <w:vAlign w:val="bottom"/>
          </w:tcPr>
          <w:p>
            <w:pPr>
              <w:spacing w:after="0"/>
              <w:rPr>
                <w:sz w:val="16"/>
                <w:szCs w:val="16"/>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477</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189"/>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Issuance cost associated with private equity placement</w:t>
            </w: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6"/>
                <w:szCs w:val="16"/>
                <w:color w:val="auto"/>
              </w:rPr>
            </w:pPr>
          </w:p>
        </w:tc>
        <w:tc>
          <w:tcPr>
            <w:tcW w:w="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75"/>
        </w:trPr>
        <w:tc>
          <w:tcPr>
            <w:tcW w:w="4120" w:type="dxa"/>
            <w:vAlign w:val="bottom"/>
          </w:tcPr>
          <w:p>
            <w:pPr>
              <w:spacing w:after="0" w:line="175" w:lineRule="exact"/>
              <w:rPr>
                <w:sz w:val="20"/>
                <w:szCs w:val="20"/>
                <w:color w:val="auto"/>
              </w:rPr>
            </w:pPr>
            <w:r>
              <w:rPr>
                <w:rFonts w:ascii="Arial" w:cs="Arial" w:eastAsia="Arial" w:hAnsi="Arial"/>
                <w:sz w:val="16"/>
                <w:szCs w:val="16"/>
                <w:color w:val="auto"/>
              </w:rPr>
              <w:t>Exchange of common stock shares for pre-funded</w:t>
            </w: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20"/>
                <w:szCs w:val="20"/>
                <w:color w:val="auto"/>
              </w:rPr>
            </w:pPr>
            <w:r>
              <w:rPr>
                <w:rFonts w:ascii="Arial" w:cs="Arial" w:eastAsia="Arial" w:hAnsi="Arial"/>
                <w:sz w:val="16"/>
                <w:szCs w:val="16"/>
                <w:color w:val="auto"/>
              </w:rPr>
              <w:t>warrants</w:t>
            </w:r>
          </w:p>
        </w:tc>
        <w:tc>
          <w:tcPr>
            <w:tcW w:w="1140" w:type="dxa"/>
            <w:vAlign w:val="bottom"/>
          </w:tcPr>
          <w:p>
            <w:pPr>
              <w:jc w:val="right"/>
              <w:spacing w:after="0"/>
              <w:rPr>
                <w:sz w:val="20"/>
                <w:szCs w:val="20"/>
                <w:color w:val="auto"/>
              </w:rPr>
            </w:pPr>
            <w:r>
              <w:rPr>
                <w:rFonts w:ascii="Arial" w:cs="Arial" w:eastAsia="Arial" w:hAnsi="Arial"/>
                <w:sz w:val="16"/>
                <w:szCs w:val="16"/>
                <w:color w:val="auto"/>
              </w:rPr>
              <w:t>(6,070,000)</w:t>
            </w:r>
          </w:p>
        </w:tc>
        <w:tc>
          <w:tcPr>
            <w:tcW w:w="400" w:type="dxa"/>
            <w:vAlign w:val="bottom"/>
          </w:tcPr>
          <w:p>
            <w:pPr>
              <w:spacing w:after="0"/>
              <w:rPr>
                <w:sz w:val="17"/>
                <w:szCs w:val="17"/>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Net unrealized gain on marketable securities</w:t>
            </w: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6"/>
                <w:szCs w:val="16"/>
                <w:color w:val="auto"/>
              </w:rPr>
            </w:pPr>
          </w:p>
        </w:tc>
        <w:tc>
          <w:tcPr>
            <w:tcW w:w="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383</w:t>
            </w:r>
          </w:p>
        </w:tc>
        <w:tc>
          <w:tcPr>
            <w:tcW w:w="3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189"/>
        </w:trPr>
        <w:tc>
          <w:tcPr>
            <w:tcW w:w="4120" w:type="dxa"/>
            <w:vAlign w:val="bottom"/>
          </w:tcPr>
          <w:p>
            <w:pPr>
              <w:spacing w:after="0"/>
              <w:rPr>
                <w:sz w:val="20"/>
                <w:szCs w:val="20"/>
                <w:color w:val="auto"/>
              </w:rPr>
            </w:pPr>
            <w:r>
              <w:rPr>
                <w:rFonts w:ascii="Arial" w:cs="Arial" w:eastAsia="Arial" w:hAnsi="Arial"/>
                <w:sz w:val="16"/>
                <w:szCs w:val="16"/>
                <w:color w:val="auto"/>
              </w:rPr>
              <w:t>Net loss</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(116,390)</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(116,390)</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Balances at September 30, 2025</w:t>
            </w:r>
          </w:p>
        </w:tc>
        <w:tc>
          <w:tcPr>
            <w:tcW w:w="1140" w:type="dxa"/>
            <w:vAlign w:val="bottom"/>
            <w:tcBorders>
              <w:bottom w:val="single" w:sz="8" w:color="auto"/>
            </w:tcBorders>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68,652,730</w:t>
            </w:r>
          </w:p>
        </w:tc>
        <w:tc>
          <w:tcPr>
            <w:tcW w:w="400" w:type="dxa"/>
            <w:vAlign w:val="bottom"/>
            <w:tcBorders>
              <w:bottom w:val="single" w:sz="8" w:color="auto"/>
            </w:tcBorders>
            <w:shd w:val="clear" w:color="auto" w:fill="CFF0FC"/>
          </w:tcPr>
          <w:p>
            <w:pPr>
              <w:jc w:val="right"/>
              <w:ind w:right="22"/>
              <w:spacing w:after="0" w:line="183" w:lineRule="exact"/>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7</w:t>
            </w: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FF0FC"/>
          </w:tcPr>
          <w:p>
            <w:pPr>
              <w:jc w:val="right"/>
              <w:ind w:right="42"/>
              <w:spacing w:after="0" w:line="183" w:lineRule="exact"/>
              <w:rPr>
                <w:sz w:val="20"/>
                <w:szCs w:val="20"/>
                <w:color w:val="auto"/>
              </w:rPr>
            </w:pPr>
            <w:r>
              <w:rPr>
                <w:rFonts w:ascii="Arial" w:cs="Arial" w:eastAsia="Arial" w:hAnsi="Arial"/>
                <w:sz w:val="16"/>
                <w:szCs w:val="16"/>
                <w:color w:val="auto"/>
              </w:rPr>
              <w:t>858,451</w:t>
            </w:r>
          </w:p>
        </w:tc>
        <w:tc>
          <w:tcPr>
            <w:tcW w:w="16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ind w:right="21"/>
              <w:spacing w:after="0" w:line="183" w:lineRule="exact"/>
              <w:rPr>
                <w:sz w:val="20"/>
                <w:szCs w:val="20"/>
                <w:color w:val="auto"/>
              </w:rPr>
            </w:pPr>
            <w:r>
              <w:rPr>
                <w:rFonts w:ascii="Arial" w:cs="Arial" w:eastAsia="Arial" w:hAnsi="Arial"/>
                <w:sz w:val="16"/>
                <w:szCs w:val="16"/>
                <w:color w:val="auto"/>
              </w:rPr>
              <w:t>526</w:t>
            </w:r>
          </w:p>
        </w:tc>
        <w:tc>
          <w:tcPr>
            <w:tcW w:w="340" w:type="dxa"/>
            <w:vAlign w:val="bottom"/>
            <w:tcBorders>
              <w:bottom w:val="single" w:sz="8" w:color="auto"/>
            </w:tcBorders>
            <w:shd w:val="clear" w:color="auto" w:fill="CFF0FC"/>
          </w:tcPr>
          <w:p>
            <w:pPr>
              <w:jc w:val="right"/>
              <w:ind w:right="22"/>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(551,496)</w:t>
            </w:r>
          </w:p>
        </w:tc>
        <w:tc>
          <w:tcPr>
            <w:tcW w:w="320" w:type="dxa"/>
            <w:vAlign w:val="bottom"/>
            <w:tcBorders>
              <w:bottom w:val="single" w:sz="8" w:color="auto"/>
            </w:tcBorders>
            <w:shd w:val="clear" w:color="auto" w:fill="CFF0FC"/>
          </w:tcPr>
          <w:p>
            <w:pPr>
              <w:jc w:val="right"/>
              <w:ind w:right="22"/>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307,488</w:t>
            </w:r>
          </w:p>
        </w:tc>
        <w:tc>
          <w:tcPr>
            <w:tcW w:w="0" w:type="dxa"/>
            <w:vAlign w:val="bottom"/>
          </w:tcPr>
          <w:p>
            <w:pPr>
              <w:spacing w:after="0"/>
              <w:rPr>
                <w:sz w:val="1"/>
                <w:szCs w:val="1"/>
                <w:color w:val="auto"/>
              </w:rPr>
            </w:pPr>
          </w:p>
        </w:tc>
      </w:tr>
    </w:tbl>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 except for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right"/>
        <w:ind w:right="2180"/>
        <w:spacing w:after="0"/>
        <w:rPr>
          <w:sz w:val="20"/>
          <w:szCs w:val="20"/>
          <w:color w:val="auto"/>
        </w:rPr>
      </w:pPr>
      <w:r>
        <w:rPr>
          <w:rFonts w:ascii="Arial" w:cs="Arial" w:eastAsia="Arial" w:hAnsi="Arial"/>
          <w:sz w:val="14"/>
          <w:szCs w:val="14"/>
          <w:b w:val="1"/>
          <w:bCs w:val="1"/>
          <w:color w:val="auto"/>
        </w:rPr>
        <w:t>Three Months Ended September 30, 2024</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Balances at June 30, 2024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Employee stock purchase plan expense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Exercise of stock options</w:t>
      </w:r>
    </w:p>
    <w:p>
      <w:pPr>
        <w:spacing w:after="0" w:line="5" w:lineRule="exact"/>
        <w:rPr>
          <w:sz w:val="20"/>
          <w:szCs w:val="20"/>
          <w:color w:val="auto"/>
        </w:rPr>
      </w:pPr>
    </w:p>
    <w:p>
      <w:pPr>
        <w:ind w:right="260"/>
        <w:spacing w:after="0" w:line="252" w:lineRule="auto"/>
        <w:rPr>
          <w:sz w:val="20"/>
          <w:szCs w:val="20"/>
          <w:color w:val="auto"/>
        </w:rPr>
      </w:pPr>
      <w:r>
        <w:rPr>
          <w:rFonts w:ascii="Arial" w:cs="Arial" w:eastAsia="Arial" w:hAnsi="Arial"/>
          <w:sz w:val="16"/>
          <w:szCs w:val="16"/>
          <w:color w:val="auto"/>
        </w:rPr>
        <w:t>Net unrealized gain on marketable securities Net loss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Balances at September 30,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6"/>
        </w:trPr>
        <w:tc>
          <w:tcPr>
            <w:tcW w:w="10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Accumulated</w:t>
            </w:r>
          </w:p>
        </w:tc>
        <w:tc>
          <w:tcPr>
            <w:tcW w:w="1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480" w:type="dxa"/>
            <w:vAlign w:val="bottom"/>
            <w:gridSpan w:val="2"/>
            <w:vMerge w:val="restart"/>
          </w:tcPr>
          <w:p>
            <w:pPr>
              <w:jc w:val="right"/>
              <w:ind w:right="2"/>
              <w:spacing w:after="0"/>
              <w:rPr>
                <w:sz w:val="20"/>
                <w:szCs w:val="20"/>
                <w:color w:val="auto"/>
              </w:rPr>
            </w:pPr>
            <w:r>
              <w:rPr>
                <w:rFonts w:ascii="Arial" w:cs="Arial" w:eastAsia="Arial" w:hAnsi="Arial"/>
                <w:sz w:val="14"/>
                <w:szCs w:val="14"/>
                <w:b w:val="1"/>
                <w:bCs w:val="1"/>
                <w:color w:val="auto"/>
              </w:rPr>
              <w:t>Common Stock</w:t>
            </w:r>
          </w:p>
        </w:tc>
        <w:tc>
          <w:tcPr>
            <w:tcW w:w="380" w:type="dxa"/>
            <w:vAlign w:val="bottom"/>
          </w:tcPr>
          <w:p>
            <w:pPr>
              <w:spacing w:after="0"/>
              <w:rPr>
                <w:sz w:val="15"/>
                <w:szCs w:val="15"/>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center"/>
              <w:ind w:right="480"/>
              <w:spacing w:after="0"/>
              <w:rPr>
                <w:sz w:val="20"/>
                <w:szCs w:val="20"/>
                <w:color w:val="auto"/>
              </w:rPr>
            </w:pPr>
            <w:r>
              <w:rPr>
                <w:rFonts w:ascii="Arial" w:cs="Arial" w:eastAsia="Arial" w:hAnsi="Arial"/>
                <w:sz w:val="14"/>
                <w:szCs w:val="14"/>
                <w:b w:val="1"/>
                <w:bCs w:val="1"/>
                <w:color w:val="auto"/>
              </w:rPr>
              <w:t>Other</w:t>
            </w:r>
          </w:p>
        </w:tc>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center"/>
              <w:ind w:right="3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1480" w:type="dxa"/>
            <w:vAlign w:val="bottom"/>
            <w:tcBorders>
              <w:bottom w:val="single" w:sz="8" w:color="auto"/>
            </w:tcBorders>
            <w:gridSpan w:val="2"/>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181"/>
              <w:spacing w:after="0" w:line="158"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3"/>
                <w:szCs w:val="13"/>
                <w:color w:val="auto"/>
              </w:rPr>
            </w:pPr>
          </w:p>
        </w:tc>
        <w:tc>
          <w:tcPr>
            <w:tcW w:w="14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rPr>
              <w:t>Comprehensive</w:t>
            </w:r>
          </w:p>
        </w:tc>
        <w:tc>
          <w:tcPr>
            <w:tcW w:w="1280" w:type="dxa"/>
            <w:vAlign w:val="bottom"/>
          </w:tcPr>
          <w:p>
            <w:pPr>
              <w:jc w:val="right"/>
              <w:ind w:right="181"/>
              <w:spacing w:after="0" w:line="158" w:lineRule="exact"/>
              <w:rPr>
                <w:sz w:val="20"/>
                <w:szCs w:val="20"/>
                <w:color w:val="auto"/>
              </w:rPr>
            </w:pPr>
            <w:r>
              <w:rPr>
                <w:rFonts w:ascii="Arial" w:cs="Arial" w:eastAsia="Arial" w:hAnsi="Arial"/>
                <w:sz w:val="14"/>
                <w:szCs w:val="14"/>
                <w:b w:val="1"/>
                <w:bCs w:val="1"/>
                <w:color w:val="auto"/>
              </w:rPr>
              <w:t>Accumulated</w:t>
            </w:r>
          </w:p>
        </w:tc>
        <w:tc>
          <w:tcPr>
            <w:tcW w:w="13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5"/>
        </w:trPr>
        <w:tc>
          <w:tcPr>
            <w:tcW w:w="1060" w:type="dxa"/>
            <w:vAlign w:val="bottom"/>
            <w:tcBorders>
              <w:bottom w:val="single" w:sz="8" w:color="auto"/>
            </w:tcBorders>
          </w:tcPr>
          <w:p>
            <w:pPr>
              <w:jc w:val="right"/>
              <w:ind w:right="261"/>
              <w:spacing w:after="0" w:line="155" w:lineRule="exact"/>
              <w:rPr>
                <w:sz w:val="20"/>
                <w:szCs w:val="20"/>
                <w:color w:val="auto"/>
              </w:rPr>
            </w:pPr>
            <w:r>
              <w:rPr>
                <w:rFonts w:ascii="Arial" w:cs="Arial" w:eastAsia="Arial" w:hAnsi="Arial"/>
                <w:sz w:val="14"/>
                <w:szCs w:val="14"/>
                <w:b w:val="1"/>
                <w:bCs w:val="1"/>
                <w:color w:val="auto"/>
              </w:rPr>
              <w:t>Shares</w:t>
            </w:r>
          </w:p>
        </w:tc>
        <w:tc>
          <w:tcPr>
            <w:tcW w:w="800" w:type="dxa"/>
            <w:vAlign w:val="bottom"/>
            <w:tcBorders>
              <w:bottom w:val="single" w:sz="8" w:color="auto"/>
            </w:tcBorders>
            <w:gridSpan w:val="2"/>
          </w:tcPr>
          <w:p>
            <w:pPr>
              <w:jc w:val="right"/>
              <w:ind w:right="59"/>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81"/>
              <w:spacing w:after="0" w:line="155" w:lineRule="exact"/>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rPr>
              <w:t>(Loss) Income</w:t>
            </w:r>
          </w:p>
        </w:tc>
        <w:tc>
          <w:tcPr>
            <w:tcW w:w="1280" w:type="dxa"/>
            <w:vAlign w:val="bottom"/>
            <w:tcBorders>
              <w:bottom w:val="single" w:sz="8" w:color="auto"/>
            </w:tcBorders>
          </w:tcPr>
          <w:p>
            <w:pPr>
              <w:jc w:val="right"/>
              <w:ind w:right="401"/>
              <w:spacing w:after="0" w:line="155" w:lineRule="exact"/>
              <w:rPr>
                <w:sz w:val="20"/>
                <w:szCs w:val="20"/>
                <w:color w:val="auto"/>
              </w:rPr>
            </w:pPr>
            <w:r>
              <w:rPr>
                <w:rFonts w:ascii="Arial" w:cs="Arial" w:eastAsia="Arial" w:hAnsi="Arial"/>
                <w:sz w:val="14"/>
                <w:szCs w:val="14"/>
                <w:b w:val="1"/>
                <w:bCs w:val="1"/>
                <w:color w:val="auto"/>
              </w:rPr>
              <w:t>Deficit</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301"/>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8"/>
        </w:trPr>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1"/>
              <w:spacing w:after="0" w:line="168" w:lineRule="exact"/>
              <w:rPr>
                <w:sz w:val="20"/>
                <w:szCs w:val="20"/>
                <w:color w:val="auto"/>
              </w:rPr>
            </w:pPr>
            <w:r>
              <w:rPr>
                <w:rFonts w:ascii="Arial" w:cs="Arial" w:eastAsia="Arial" w:hAnsi="Arial"/>
                <w:sz w:val="16"/>
                <w:szCs w:val="16"/>
                <w:color w:val="auto"/>
              </w:rPr>
              <w:t>594,26</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60" w:type="dxa"/>
            <w:vAlign w:val="bottom"/>
          </w:tcPr>
          <w:p>
            <w:pPr>
              <w:jc w:val="right"/>
              <w:ind w:right="21"/>
              <w:spacing w:after="0"/>
              <w:rPr>
                <w:sz w:val="20"/>
                <w:szCs w:val="20"/>
                <w:color w:val="auto"/>
              </w:rPr>
            </w:pPr>
            <w:r>
              <w:rPr>
                <w:rFonts w:ascii="Arial" w:cs="Arial" w:eastAsia="Arial" w:hAnsi="Arial"/>
                <w:sz w:val="16"/>
                <w:szCs w:val="16"/>
                <w:color w:val="auto"/>
              </w:rPr>
              <w:t>57,246,411</w:t>
            </w:r>
          </w:p>
        </w:tc>
        <w:tc>
          <w:tcPr>
            <w:tcW w:w="42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(118)</w:t>
            </w:r>
          </w:p>
        </w:tc>
        <w:tc>
          <w:tcPr>
            <w:tcW w:w="1280" w:type="dxa"/>
            <w:vAlign w:val="bottom"/>
          </w:tcPr>
          <w:p>
            <w:pPr>
              <w:jc w:val="right"/>
              <w:spacing w:after="0"/>
              <w:rPr>
                <w:sz w:val="20"/>
                <w:szCs w:val="20"/>
                <w:color w:val="auto"/>
              </w:rPr>
            </w:pPr>
            <w:r>
              <w:rPr>
                <w:rFonts w:ascii="Arial" w:cs="Arial" w:eastAsia="Arial" w:hAnsi="Arial"/>
                <w:sz w:val="16"/>
                <w:szCs w:val="16"/>
                <w:color w:val="auto"/>
              </w:rPr>
              <w:t>(366,984)</w:t>
            </w:r>
          </w:p>
        </w:tc>
        <w:tc>
          <w:tcPr>
            <w:tcW w:w="32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227,163</w:t>
            </w:r>
          </w:p>
        </w:tc>
        <w:tc>
          <w:tcPr>
            <w:tcW w:w="0" w:type="dxa"/>
            <w:vAlign w:val="bottom"/>
          </w:tcPr>
          <w:p>
            <w:pPr>
              <w:spacing w:after="0"/>
              <w:rPr>
                <w:sz w:val="1"/>
                <w:szCs w:val="1"/>
                <w:color w:val="auto"/>
              </w:rPr>
            </w:pPr>
          </w:p>
        </w:tc>
      </w:tr>
      <w:tr>
        <w:trPr>
          <w:trHeight w:val="189"/>
        </w:trPr>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5,572</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5,572</w:t>
            </w:r>
          </w:p>
        </w:tc>
        <w:tc>
          <w:tcPr>
            <w:tcW w:w="0" w:type="dxa"/>
            <w:vAlign w:val="bottom"/>
          </w:tcPr>
          <w:p>
            <w:pPr>
              <w:spacing w:after="0"/>
              <w:rPr>
                <w:sz w:val="1"/>
                <w:szCs w:val="1"/>
                <w:color w:val="auto"/>
              </w:rPr>
            </w:pPr>
          </w:p>
        </w:tc>
      </w:tr>
      <w:tr>
        <w:trPr>
          <w:trHeight w:val="189"/>
        </w:trPr>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54</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89"/>
        </w:trPr>
        <w:tc>
          <w:tcPr>
            <w:tcW w:w="1060" w:type="dxa"/>
            <w:vAlign w:val="bottom"/>
          </w:tcPr>
          <w:p>
            <w:pPr>
              <w:jc w:val="right"/>
              <w:ind w:right="21"/>
              <w:spacing w:after="0"/>
              <w:rPr>
                <w:sz w:val="20"/>
                <w:szCs w:val="20"/>
                <w:color w:val="auto"/>
              </w:rPr>
            </w:pPr>
            <w:r>
              <w:rPr>
                <w:rFonts w:ascii="Arial" w:cs="Arial" w:eastAsia="Arial" w:hAnsi="Arial"/>
                <w:sz w:val="16"/>
                <w:szCs w:val="16"/>
                <w:color w:val="auto"/>
              </w:rPr>
              <w:t>41,908</w:t>
            </w:r>
          </w:p>
        </w:tc>
        <w:tc>
          <w:tcPr>
            <w:tcW w:w="420" w:type="dxa"/>
            <w:vAlign w:val="bottom"/>
          </w:tcPr>
          <w:p>
            <w:pPr>
              <w:spacing w:after="0"/>
              <w:rPr>
                <w:sz w:val="16"/>
                <w:szCs w:val="16"/>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95</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89"/>
        </w:trPr>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582</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582</w:t>
            </w:r>
          </w:p>
        </w:tc>
        <w:tc>
          <w:tcPr>
            <w:tcW w:w="0" w:type="dxa"/>
            <w:vAlign w:val="bottom"/>
          </w:tcPr>
          <w:p>
            <w:pPr>
              <w:spacing w:after="0"/>
              <w:rPr>
                <w:sz w:val="1"/>
                <w:szCs w:val="1"/>
                <w:color w:val="auto"/>
              </w:rPr>
            </w:pPr>
          </w:p>
        </w:tc>
      </w:tr>
      <w:tr>
        <w:trPr>
          <w:trHeight w:val="203"/>
        </w:trPr>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(34,555)</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(34,555)</w:t>
            </w:r>
          </w:p>
        </w:tc>
        <w:tc>
          <w:tcPr>
            <w:tcW w:w="0" w:type="dxa"/>
            <w:vAlign w:val="bottom"/>
          </w:tcPr>
          <w:p>
            <w:pPr>
              <w:spacing w:after="0"/>
              <w:rPr>
                <w:sz w:val="1"/>
                <w:szCs w:val="1"/>
                <w:color w:val="auto"/>
              </w:rPr>
            </w:pPr>
          </w:p>
        </w:tc>
      </w:tr>
      <w:tr>
        <w:trPr>
          <w:trHeight w:val="168"/>
        </w:trPr>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1"/>
              <w:spacing w:after="0" w:line="168" w:lineRule="exact"/>
              <w:rPr>
                <w:sz w:val="20"/>
                <w:szCs w:val="20"/>
                <w:color w:val="auto"/>
              </w:rPr>
            </w:pPr>
            <w:r>
              <w:rPr>
                <w:rFonts w:ascii="Arial" w:cs="Arial" w:eastAsia="Arial" w:hAnsi="Arial"/>
                <w:sz w:val="16"/>
                <w:szCs w:val="16"/>
                <w:color w:val="auto"/>
              </w:rPr>
              <w:t>599,98</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57,288,319</w:t>
            </w:r>
          </w:p>
        </w:tc>
        <w:tc>
          <w:tcPr>
            <w:tcW w:w="4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464</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(401,539)</w:t>
            </w:r>
          </w:p>
        </w:tc>
        <w:tc>
          <w:tcPr>
            <w:tcW w:w="3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198,911</w:t>
            </w:r>
          </w:p>
        </w:tc>
        <w:tc>
          <w:tcPr>
            <w:tcW w:w="0" w:type="dxa"/>
            <w:vAlign w:val="bottom"/>
          </w:tcPr>
          <w:p>
            <w:pPr>
              <w:spacing w:after="0"/>
              <w:rPr>
                <w:sz w:val="1"/>
                <w:szCs w:val="1"/>
                <w:color w:val="auto"/>
              </w:rPr>
            </w:pPr>
          </w:p>
        </w:tc>
      </w:tr>
      <w:tr>
        <w:trPr>
          <w:trHeight w:val="20"/>
        </w:trPr>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-1113790</wp:posOffset>
            </wp:positionV>
            <wp:extent cx="7132320" cy="240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-753745</wp:posOffset>
            </wp:positionV>
            <wp:extent cx="7132320" cy="120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-513715</wp:posOffset>
            </wp:positionV>
            <wp:extent cx="7132320" cy="120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-264795</wp:posOffset>
            </wp:positionV>
            <wp:extent cx="7132320" cy="265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60" w:space="720"/>
            <w:col w:w="7060"/>
          </w:cols>
          <w:pgMar w:left="320" w:top="117" w:right="339" w:bottom="1440" w:gutter="0" w:footer="0" w:header="0"/>
          <w:type w:val="continuous"/>
        </w:sectPr>
      </w:pP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80" w:type="dxa"/>
            <w:vAlign w:val="bottom"/>
            <w:tcBorders>
              <w:top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3700" w:type="dxa"/>
            <w:vAlign w:val="bottom"/>
            <w:tcBorders>
              <w:top w:val="single" w:sz="8" w:color="auto"/>
              <w:bottom w:val="single" w:sz="8" w:color="auto"/>
            </w:tcBorders>
            <w:gridSpan w:val="4"/>
          </w:tcPr>
          <w:p>
            <w:pPr>
              <w:jc w:val="right"/>
              <w:ind w:right="841"/>
              <w:spacing w:after="0"/>
              <w:rPr>
                <w:sz w:val="20"/>
                <w:szCs w:val="20"/>
                <w:color w:val="auto"/>
              </w:rPr>
            </w:pPr>
            <w:r>
              <w:rPr>
                <w:rFonts w:ascii="Arial" w:cs="Arial" w:eastAsia="Arial" w:hAnsi="Arial"/>
                <w:sz w:val="14"/>
                <w:szCs w:val="14"/>
                <w:b w:val="1"/>
                <w:bCs w:val="1"/>
                <w:color w:val="auto"/>
              </w:rPr>
              <w:t>Nine Months Ended September 30, 2024</w:t>
            </w: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20" w:type="dxa"/>
            <w:vAlign w:val="bottom"/>
            <w:gridSpan w:val="2"/>
          </w:tcPr>
          <w:p>
            <w:pPr>
              <w:jc w:val="center"/>
              <w:ind w:right="20"/>
              <w:spacing w:after="0" w:line="147" w:lineRule="exact"/>
              <w:rPr>
                <w:sz w:val="20"/>
                <w:szCs w:val="20"/>
                <w:color w:val="auto"/>
              </w:rPr>
            </w:pPr>
            <w:r>
              <w:rPr>
                <w:rFonts w:ascii="Arial" w:cs="Arial" w:eastAsia="Arial" w:hAnsi="Arial"/>
                <w:sz w:val="14"/>
                <w:szCs w:val="14"/>
                <w:b w:val="1"/>
                <w:bCs w:val="1"/>
                <w:color w:val="auto"/>
              </w:rPr>
              <w:t>Accumulated</w:t>
            </w: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180" w:type="dxa"/>
            <w:vAlign w:val="bottom"/>
          </w:tcPr>
          <w:p>
            <w:pPr>
              <w:spacing w:after="0"/>
              <w:rPr>
                <w:sz w:val="15"/>
                <w:szCs w:val="15"/>
                <w:color w:val="auto"/>
              </w:rPr>
            </w:pPr>
          </w:p>
        </w:tc>
        <w:tc>
          <w:tcPr>
            <w:tcW w:w="1480" w:type="dxa"/>
            <w:vAlign w:val="bottom"/>
            <w:gridSpan w:val="2"/>
            <w:vMerge w:val="restart"/>
          </w:tcPr>
          <w:p>
            <w:pPr>
              <w:jc w:val="right"/>
              <w:ind w:right="2"/>
              <w:spacing w:after="0"/>
              <w:rPr>
                <w:sz w:val="20"/>
                <w:szCs w:val="20"/>
                <w:color w:val="auto"/>
              </w:rPr>
            </w:pPr>
            <w:r>
              <w:rPr>
                <w:rFonts w:ascii="Arial" w:cs="Arial" w:eastAsia="Arial" w:hAnsi="Arial"/>
                <w:sz w:val="14"/>
                <w:szCs w:val="14"/>
                <w:b w:val="1"/>
                <w:bCs w:val="1"/>
                <w:color w:val="auto"/>
              </w:rPr>
              <w:t>Common Stock</w:t>
            </w:r>
          </w:p>
        </w:tc>
        <w:tc>
          <w:tcPr>
            <w:tcW w:w="380" w:type="dxa"/>
            <w:vAlign w:val="bottom"/>
          </w:tcPr>
          <w:p>
            <w:pPr>
              <w:spacing w:after="0"/>
              <w:rPr>
                <w:sz w:val="15"/>
                <w:szCs w:val="15"/>
                <w:color w:val="auto"/>
              </w:rPr>
            </w:pPr>
          </w:p>
        </w:tc>
        <w:tc>
          <w:tcPr>
            <w:tcW w:w="1020" w:type="dxa"/>
            <w:vAlign w:val="bottom"/>
            <w:gridSpan w:val="2"/>
          </w:tcPr>
          <w:p>
            <w:pPr>
              <w:jc w:val="right"/>
              <w:ind w:right="121"/>
              <w:spacing w:after="0"/>
              <w:rPr>
                <w:sz w:val="20"/>
                <w:szCs w:val="20"/>
                <w:color w:val="auto"/>
              </w:rPr>
            </w:pPr>
            <w:r>
              <w:rPr>
                <w:rFonts w:ascii="Arial" w:cs="Arial" w:eastAsia="Arial" w:hAnsi="Arial"/>
                <w:sz w:val="14"/>
                <w:szCs w:val="14"/>
                <w:b w:val="1"/>
                <w:bCs w:val="1"/>
                <w:color w:val="auto"/>
              </w:rPr>
              <w:t>Additional</w:t>
            </w:r>
          </w:p>
        </w:tc>
        <w:tc>
          <w:tcPr>
            <w:tcW w:w="420" w:type="dxa"/>
            <w:vAlign w:val="bottom"/>
          </w:tcPr>
          <w:p>
            <w:pPr>
              <w:spacing w:after="0"/>
              <w:rPr>
                <w:sz w:val="15"/>
                <w:szCs w:val="15"/>
                <w:color w:val="auto"/>
              </w:rPr>
            </w:pPr>
          </w:p>
        </w:tc>
        <w:tc>
          <w:tcPr>
            <w:tcW w:w="1100" w:type="dxa"/>
            <w:vAlign w:val="bottom"/>
          </w:tcPr>
          <w:p>
            <w:pPr>
              <w:jc w:val="center"/>
              <w:ind w:right="440"/>
              <w:spacing w:after="0"/>
              <w:rPr>
                <w:sz w:val="20"/>
                <w:szCs w:val="20"/>
                <w:color w:val="auto"/>
              </w:rPr>
            </w:pPr>
            <w:r>
              <w:rPr>
                <w:rFonts w:ascii="Arial" w:cs="Arial" w:eastAsia="Arial" w:hAnsi="Arial"/>
                <w:sz w:val="14"/>
                <w:szCs w:val="14"/>
                <w:b w:val="1"/>
                <w:bCs w:val="1"/>
                <w:color w:val="auto"/>
              </w:rPr>
              <w:t>Other</w:t>
            </w: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center"/>
              <w:ind w:right="3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180" w:type="dxa"/>
            <w:vAlign w:val="bottom"/>
          </w:tcPr>
          <w:p>
            <w:pPr>
              <w:spacing w:after="0"/>
              <w:rPr>
                <w:sz w:val="13"/>
                <w:szCs w:val="13"/>
                <w:color w:val="auto"/>
              </w:rPr>
            </w:pPr>
          </w:p>
        </w:tc>
        <w:tc>
          <w:tcPr>
            <w:tcW w:w="1480" w:type="dxa"/>
            <w:vAlign w:val="bottom"/>
            <w:tcBorders>
              <w:bottom w:val="single" w:sz="8" w:color="auto"/>
            </w:tcBorders>
            <w:gridSpan w:val="2"/>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241"/>
              <w:spacing w:after="0" w:line="158" w:lineRule="exact"/>
              <w:rPr>
                <w:sz w:val="20"/>
                <w:szCs w:val="20"/>
                <w:color w:val="auto"/>
              </w:rPr>
            </w:pPr>
            <w:r>
              <w:rPr>
                <w:rFonts w:ascii="Arial" w:cs="Arial" w:eastAsia="Arial" w:hAnsi="Arial"/>
                <w:sz w:val="14"/>
                <w:szCs w:val="14"/>
                <w:b w:val="1"/>
                <w:bCs w:val="1"/>
                <w:color w:val="auto"/>
              </w:rPr>
              <w:t>Paid-in</w:t>
            </w:r>
          </w:p>
        </w:tc>
        <w:tc>
          <w:tcPr>
            <w:tcW w:w="152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rPr>
              <w:t>Comprehensive</w:t>
            </w:r>
          </w:p>
        </w:tc>
        <w:tc>
          <w:tcPr>
            <w:tcW w:w="1360" w:type="dxa"/>
            <w:vAlign w:val="bottom"/>
          </w:tcPr>
          <w:p>
            <w:pPr>
              <w:jc w:val="right"/>
              <w:ind w:right="221"/>
              <w:spacing w:after="0" w:line="158" w:lineRule="exact"/>
              <w:rPr>
                <w:sz w:val="20"/>
                <w:szCs w:val="20"/>
                <w:color w:val="auto"/>
              </w:rPr>
            </w:pPr>
            <w:r>
              <w:rPr>
                <w:rFonts w:ascii="Arial" w:cs="Arial" w:eastAsia="Arial" w:hAnsi="Arial"/>
                <w:sz w:val="14"/>
                <w:szCs w:val="14"/>
                <w:b w:val="1"/>
                <w:bCs w:val="1"/>
                <w:color w:val="auto"/>
              </w:rPr>
              <w:t>Accumulated</w:t>
            </w:r>
          </w:p>
        </w:tc>
        <w:tc>
          <w:tcPr>
            <w:tcW w:w="1300" w:type="dxa"/>
            <w:vAlign w:val="bottom"/>
            <w:gridSpan w:val="2"/>
          </w:tcPr>
          <w:p>
            <w:pPr>
              <w:jc w:val="center"/>
              <w:ind w:right="21"/>
              <w:spacing w:after="0" w:line="158"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4180" w:type="dxa"/>
            <w:vAlign w:val="bottom"/>
          </w:tcPr>
          <w:p>
            <w:pPr>
              <w:spacing w:after="0"/>
              <w:rPr>
                <w:sz w:val="13"/>
                <w:szCs w:val="13"/>
                <w:color w:val="auto"/>
              </w:rPr>
            </w:pPr>
          </w:p>
        </w:tc>
        <w:tc>
          <w:tcPr>
            <w:tcW w:w="1060" w:type="dxa"/>
            <w:vAlign w:val="bottom"/>
            <w:tcBorders>
              <w:bottom w:val="single" w:sz="8" w:color="auto"/>
            </w:tcBorders>
          </w:tcPr>
          <w:p>
            <w:pPr>
              <w:jc w:val="right"/>
              <w:ind w:right="261"/>
              <w:spacing w:after="0" w:line="155" w:lineRule="exact"/>
              <w:rPr>
                <w:sz w:val="20"/>
                <w:szCs w:val="20"/>
                <w:color w:val="auto"/>
              </w:rPr>
            </w:pPr>
            <w:r>
              <w:rPr>
                <w:rFonts w:ascii="Arial" w:cs="Arial" w:eastAsia="Arial" w:hAnsi="Arial"/>
                <w:sz w:val="14"/>
                <w:szCs w:val="14"/>
                <w:b w:val="1"/>
                <w:bCs w:val="1"/>
                <w:color w:val="auto"/>
              </w:rPr>
              <w:t>Shares</w:t>
            </w:r>
          </w:p>
        </w:tc>
        <w:tc>
          <w:tcPr>
            <w:tcW w:w="800" w:type="dxa"/>
            <w:vAlign w:val="bottom"/>
            <w:tcBorders>
              <w:bottom w:val="single" w:sz="8" w:color="auto"/>
            </w:tcBorders>
            <w:gridSpan w:val="2"/>
          </w:tcPr>
          <w:p>
            <w:pPr>
              <w:jc w:val="right"/>
              <w:ind w:right="59"/>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41"/>
              <w:spacing w:after="0" w:line="155" w:lineRule="exact"/>
              <w:rPr>
                <w:sz w:val="20"/>
                <w:szCs w:val="20"/>
                <w:color w:val="auto"/>
              </w:rPr>
            </w:pPr>
            <w:r>
              <w:rPr>
                <w:rFonts w:ascii="Arial" w:cs="Arial" w:eastAsia="Arial" w:hAnsi="Arial"/>
                <w:sz w:val="14"/>
                <w:szCs w:val="14"/>
                <w:b w:val="1"/>
                <w:bCs w:val="1"/>
                <w:color w:val="auto"/>
              </w:rPr>
              <w:t>Capital</w:t>
            </w:r>
          </w:p>
        </w:tc>
        <w:tc>
          <w:tcPr>
            <w:tcW w:w="1520" w:type="dxa"/>
            <w:vAlign w:val="bottom"/>
            <w:tcBorders>
              <w:bottom w:val="single" w:sz="8" w:color="auto"/>
            </w:tcBorders>
            <w:gridSpan w:val="2"/>
          </w:tcPr>
          <w:p>
            <w:pPr>
              <w:jc w:val="center"/>
              <w:ind w:right="20"/>
              <w:spacing w:after="0" w:line="155" w:lineRule="exact"/>
              <w:rPr>
                <w:sz w:val="20"/>
                <w:szCs w:val="20"/>
                <w:color w:val="auto"/>
              </w:rPr>
            </w:pPr>
            <w:r>
              <w:rPr>
                <w:rFonts w:ascii="Arial" w:cs="Arial" w:eastAsia="Arial" w:hAnsi="Arial"/>
                <w:sz w:val="14"/>
                <w:szCs w:val="14"/>
                <w:b w:val="1"/>
                <w:bCs w:val="1"/>
                <w:color w:val="auto"/>
              </w:rPr>
              <w:t>(Loss) Income</w:t>
            </w:r>
          </w:p>
        </w:tc>
        <w:tc>
          <w:tcPr>
            <w:tcW w:w="1360" w:type="dxa"/>
            <w:vAlign w:val="bottom"/>
            <w:tcBorders>
              <w:bottom w:val="single" w:sz="8" w:color="auto"/>
            </w:tcBorders>
          </w:tcPr>
          <w:p>
            <w:pPr>
              <w:jc w:val="right"/>
              <w:ind w:right="441"/>
              <w:spacing w:after="0" w:line="155" w:lineRule="exact"/>
              <w:rPr>
                <w:sz w:val="20"/>
                <w:szCs w:val="20"/>
                <w:color w:val="auto"/>
              </w:rPr>
            </w:pPr>
            <w:r>
              <w:rPr>
                <w:rFonts w:ascii="Arial" w:cs="Arial" w:eastAsia="Arial" w:hAnsi="Arial"/>
                <w:sz w:val="14"/>
                <w:szCs w:val="14"/>
                <w:b w:val="1"/>
                <w:bCs w:val="1"/>
                <w:color w:val="auto"/>
              </w:rPr>
              <w:t>Deficit</w:t>
            </w: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301"/>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8"/>
        </w:trPr>
        <w:tc>
          <w:tcPr>
            <w:tcW w:w="4180" w:type="dxa"/>
            <w:vAlign w:val="bottom"/>
            <w:shd w:val="clear" w:color="auto" w:fill="CFF0FC"/>
          </w:tcPr>
          <w:p>
            <w:pPr>
              <w:spacing w:after="0" w:line="168" w:lineRule="exact"/>
              <w:rPr>
                <w:sz w:val="20"/>
                <w:szCs w:val="20"/>
                <w:color w:val="auto"/>
              </w:rPr>
            </w:pPr>
            <w:r>
              <w:rPr>
                <w:rFonts w:ascii="Arial" w:cs="Arial" w:eastAsia="Arial" w:hAnsi="Arial"/>
                <w:sz w:val="16"/>
                <w:szCs w:val="16"/>
                <w:color w:val="auto"/>
              </w:rPr>
              <w:t>Balances at December 31, 2023</w:t>
            </w:r>
          </w:p>
        </w:tc>
        <w:tc>
          <w:tcPr>
            <w:tcW w:w="10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81"/>
              <w:spacing w:after="0" w:line="168" w:lineRule="exact"/>
              <w:rPr>
                <w:sz w:val="20"/>
                <w:szCs w:val="20"/>
                <w:color w:val="auto"/>
              </w:rPr>
            </w:pPr>
            <w:r>
              <w:rPr>
                <w:rFonts w:ascii="Arial" w:cs="Arial" w:eastAsia="Arial" w:hAnsi="Arial"/>
                <w:sz w:val="16"/>
                <w:szCs w:val="16"/>
                <w:color w:val="auto"/>
              </w:rPr>
              <w:t>559,17</w:t>
            </w:r>
          </w:p>
        </w:tc>
        <w:tc>
          <w:tcPr>
            <w:tcW w:w="4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54,992,784</w:t>
            </w:r>
          </w:p>
        </w:tc>
        <w:tc>
          <w:tcPr>
            <w:tcW w:w="4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rPr>
              <w:t>6</w:t>
            </w:r>
          </w:p>
        </w:tc>
        <w:tc>
          <w:tcPr>
            <w:tcW w:w="42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347</w:t>
            </w:r>
          </w:p>
        </w:tc>
        <w:tc>
          <w:tcPr>
            <w:tcW w:w="136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(305,632)</w:t>
            </w:r>
          </w:p>
        </w:tc>
        <w:tc>
          <w:tcPr>
            <w:tcW w:w="2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253,895</w:t>
            </w:r>
          </w:p>
        </w:tc>
        <w:tc>
          <w:tcPr>
            <w:tcW w:w="0" w:type="dxa"/>
            <w:vAlign w:val="bottom"/>
          </w:tcPr>
          <w:p>
            <w:pPr>
              <w:spacing w:after="0"/>
              <w:rPr>
                <w:sz w:val="1"/>
                <w:szCs w:val="1"/>
                <w:color w:val="auto"/>
              </w:rPr>
            </w:pPr>
          </w:p>
        </w:tc>
      </w:tr>
      <w:tr>
        <w:trPr>
          <w:trHeight w:val="175"/>
        </w:trPr>
        <w:tc>
          <w:tcPr>
            <w:tcW w:w="4180" w:type="dxa"/>
            <w:vAlign w:val="bottom"/>
          </w:tcPr>
          <w:p>
            <w:pPr>
              <w:spacing w:after="0" w:line="175" w:lineRule="exact"/>
              <w:rPr>
                <w:sz w:val="20"/>
                <w:szCs w:val="20"/>
                <w:color w:val="auto"/>
              </w:rPr>
            </w:pPr>
            <w:r>
              <w:rPr>
                <w:rFonts w:ascii="Arial" w:cs="Arial" w:eastAsia="Arial" w:hAnsi="Arial"/>
                <w:sz w:val="16"/>
                <w:szCs w:val="16"/>
                <w:color w:val="auto"/>
              </w:rPr>
              <w:t>Issuance of shares under at-the-market offering, net of</w:t>
            </w: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Arial" w:cs="Arial" w:eastAsia="Arial" w:hAnsi="Arial"/>
                <w:sz w:val="16"/>
                <w:szCs w:val="16"/>
                <w:color w:val="auto"/>
              </w:rPr>
              <w:t>issuance costs of $166</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1,772,278</w:t>
            </w:r>
          </w:p>
        </w:tc>
        <w:tc>
          <w:tcPr>
            <w:tcW w:w="420" w:type="dxa"/>
            <w:vAlign w:val="bottom"/>
          </w:tcPr>
          <w:p>
            <w:pPr>
              <w:spacing w:after="0"/>
              <w:rPr>
                <w:sz w:val="17"/>
                <w:szCs w:val="17"/>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ind w:right="81"/>
              <w:spacing w:after="0"/>
              <w:rPr>
                <w:sz w:val="20"/>
                <w:szCs w:val="20"/>
                <w:color w:val="auto"/>
              </w:rPr>
            </w:pPr>
            <w:r>
              <w:rPr>
                <w:rFonts w:ascii="Arial" w:cs="Arial" w:eastAsia="Arial" w:hAnsi="Arial"/>
                <w:sz w:val="16"/>
                <w:szCs w:val="16"/>
                <w:color w:val="auto"/>
              </w:rPr>
              <w:t>22,787</w:t>
            </w:r>
          </w:p>
        </w:tc>
        <w:tc>
          <w:tcPr>
            <w:tcW w:w="42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22,787</w:t>
            </w:r>
          </w:p>
        </w:tc>
        <w:tc>
          <w:tcPr>
            <w:tcW w:w="0" w:type="dxa"/>
            <w:vAlign w:val="bottom"/>
          </w:tcPr>
          <w:p>
            <w:pPr>
              <w:spacing w:after="0"/>
              <w:rPr>
                <w:sz w:val="1"/>
                <w:szCs w:val="1"/>
                <w:color w:val="auto"/>
              </w:rPr>
            </w:pPr>
          </w:p>
        </w:tc>
      </w:tr>
      <w:tr>
        <w:trPr>
          <w:trHeight w:val="189"/>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 expense</w:t>
            </w:r>
          </w:p>
        </w:tc>
        <w:tc>
          <w:tcPr>
            <w:tcW w:w="106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6"/>
                <w:szCs w:val="16"/>
                <w:color w:val="auto"/>
              </w:rPr>
            </w:pPr>
          </w:p>
        </w:tc>
        <w:tc>
          <w:tcPr>
            <w:tcW w:w="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rPr>
              <w:t>15,818</w:t>
            </w:r>
          </w:p>
        </w:tc>
        <w:tc>
          <w:tcPr>
            <w:tcW w:w="42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15,818</w:t>
            </w:r>
          </w:p>
        </w:tc>
        <w:tc>
          <w:tcPr>
            <w:tcW w:w="0" w:type="dxa"/>
            <w:vAlign w:val="bottom"/>
          </w:tcPr>
          <w:p>
            <w:pPr>
              <w:spacing w:after="0"/>
              <w:rPr>
                <w:sz w:val="1"/>
                <w:szCs w:val="1"/>
                <w:color w:val="auto"/>
              </w:rPr>
            </w:pPr>
          </w:p>
        </w:tc>
      </w:tr>
      <w:tr>
        <w:trPr>
          <w:trHeight w:val="189"/>
        </w:trPr>
        <w:tc>
          <w:tcPr>
            <w:tcW w:w="418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359,897</w:t>
            </w:r>
          </w:p>
        </w:tc>
        <w:tc>
          <w:tcPr>
            <w:tcW w:w="420" w:type="dxa"/>
            <w:vAlign w:val="bottom"/>
          </w:tcPr>
          <w:p>
            <w:pPr>
              <w:spacing w:after="0"/>
              <w:rPr>
                <w:sz w:val="16"/>
                <w:szCs w:val="16"/>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20" w:type="dxa"/>
            <w:vAlign w:val="bottom"/>
          </w:tcPr>
          <w:p>
            <w:pPr>
              <w:jc w:val="right"/>
              <w:ind w:right="81"/>
              <w:spacing w:after="0"/>
              <w:rPr>
                <w:sz w:val="20"/>
                <w:szCs w:val="20"/>
                <w:color w:val="auto"/>
              </w:rPr>
            </w:pPr>
            <w:r>
              <w:rPr>
                <w:rFonts w:ascii="Arial" w:cs="Arial" w:eastAsia="Arial" w:hAnsi="Arial"/>
                <w:sz w:val="16"/>
                <w:szCs w:val="16"/>
                <w:color w:val="auto"/>
              </w:rPr>
              <w:t>1,110</w:t>
            </w:r>
          </w:p>
        </w:tc>
        <w:tc>
          <w:tcPr>
            <w:tcW w:w="42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1,110</w:t>
            </w:r>
          </w:p>
        </w:tc>
        <w:tc>
          <w:tcPr>
            <w:tcW w:w="0" w:type="dxa"/>
            <w:vAlign w:val="bottom"/>
          </w:tcPr>
          <w:p>
            <w:pPr>
              <w:spacing w:after="0"/>
              <w:rPr>
                <w:sz w:val="1"/>
                <w:szCs w:val="1"/>
                <w:color w:val="auto"/>
              </w:rPr>
            </w:pPr>
          </w:p>
        </w:tc>
      </w:tr>
      <w:tr>
        <w:trPr>
          <w:trHeight w:val="175"/>
        </w:trPr>
        <w:tc>
          <w:tcPr>
            <w:tcW w:w="41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Issuance of shares under the employee stock purchase</w:t>
            </w:r>
          </w:p>
        </w:tc>
        <w:tc>
          <w:tcPr>
            <w:tcW w:w="10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plan</w:t>
            </w:r>
          </w:p>
        </w:tc>
        <w:tc>
          <w:tcPr>
            <w:tcW w:w="106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70,701</w:t>
            </w:r>
          </w:p>
        </w:tc>
        <w:tc>
          <w:tcPr>
            <w:tcW w:w="42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rPr>
              <w:t>650</w:t>
            </w:r>
          </w:p>
        </w:tc>
        <w:tc>
          <w:tcPr>
            <w:tcW w:w="4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189"/>
        </w:trPr>
        <w:tc>
          <w:tcPr>
            <w:tcW w:w="4180" w:type="dxa"/>
            <w:vAlign w:val="bottom"/>
          </w:tcPr>
          <w:p>
            <w:pPr>
              <w:spacing w:after="0"/>
              <w:rPr>
                <w:sz w:val="20"/>
                <w:szCs w:val="20"/>
                <w:color w:val="auto"/>
              </w:rPr>
            </w:pPr>
            <w:r>
              <w:rPr>
                <w:rFonts w:ascii="Arial" w:cs="Arial" w:eastAsia="Arial" w:hAnsi="Arial"/>
                <w:sz w:val="16"/>
                <w:szCs w:val="16"/>
                <w:color w:val="auto"/>
              </w:rPr>
              <w:t>Employee stock purchase plan expense</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20" w:type="dxa"/>
            <w:vAlign w:val="bottom"/>
          </w:tcPr>
          <w:p>
            <w:pPr>
              <w:jc w:val="right"/>
              <w:ind w:right="81"/>
              <w:spacing w:after="0"/>
              <w:rPr>
                <w:sz w:val="20"/>
                <w:szCs w:val="20"/>
                <w:color w:val="auto"/>
              </w:rPr>
            </w:pPr>
            <w:r>
              <w:rPr>
                <w:rFonts w:ascii="Arial" w:cs="Arial" w:eastAsia="Arial" w:hAnsi="Arial"/>
                <w:sz w:val="16"/>
                <w:szCs w:val="16"/>
                <w:color w:val="auto"/>
              </w:rPr>
              <w:t>441</w:t>
            </w:r>
          </w:p>
        </w:tc>
        <w:tc>
          <w:tcPr>
            <w:tcW w:w="42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189"/>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Vesting of restricted stock awards</w:t>
            </w:r>
          </w:p>
        </w:tc>
        <w:tc>
          <w:tcPr>
            <w:tcW w:w="106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92,659</w:t>
            </w:r>
          </w:p>
        </w:tc>
        <w:tc>
          <w:tcPr>
            <w:tcW w:w="420" w:type="dxa"/>
            <w:vAlign w:val="bottom"/>
            <w:shd w:val="clear" w:color="auto" w:fill="CFF0FC"/>
          </w:tcPr>
          <w:p>
            <w:pPr>
              <w:spacing w:after="0"/>
              <w:rPr>
                <w:sz w:val="16"/>
                <w:szCs w:val="16"/>
                <w:color w:val="auto"/>
              </w:rPr>
            </w:pPr>
          </w:p>
        </w:tc>
        <w:tc>
          <w:tcPr>
            <w:tcW w:w="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180" w:type="dxa"/>
            <w:vAlign w:val="bottom"/>
          </w:tcPr>
          <w:p>
            <w:pPr>
              <w:spacing w:after="0"/>
              <w:rPr>
                <w:sz w:val="20"/>
                <w:szCs w:val="20"/>
                <w:color w:val="auto"/>
              </w:rPr>
            </w:pPr>
            <w:r>
              <w:rPr>
                <w:rFonts w:ascii="Arial" w:cs="Arial" w:eastAsia="Arial" w:hAnsi="Arial"/>
                <w:sz w:val="16"/>
                <w:szCs w:val="16"/>
                <w:color w:val="auto"/>
              </w:rPr>
              <w:t>Net unrealized gain on marketable securities</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117</w:t>
            </w:r>
          </w:p>
        </w:tc>
        <w:tc>
          <w:tcPr>
            <w:tcW w:w="13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189"/>
        </w:trPr>
        <w:tc>
          <w:tcPr>
            <w:tcW w:w="4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loss</w:t>
            </w:r>
          </w:p>
        </w:tc>
        <w:tc>
          <w:tcPr>
            <w:tcW w:w="106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ind w:right="8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rPr>
              <w:t>(95,907)</w:t>
            </w:r>
          </w:p>
        </w:tc>
        <w:tc>
          <w:tcPr>
            <w:tcW w:w="28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(95,907)</w:t>
            </w:r>
          </w:p>
        </w:tc>
        <w:tc>
          <w:tcPr>
            <w:tcW w:w="0" w:type="dxa"/>
            <w:vAlign w:val="bottom"/>
          </w:tcPr>
          <w:p>
            <w:pPr>
              <w:spacing w:after="0"/>
              <w:rPr>
                <w:sz w:val="1"/>
                <w:szCs w:val="1"/>
                <w:color w:val="auto"/>
              </w:rPr>
            </w:pPr>
          </w:p>
        </w:tc>
      </w:tr>
      <w:tr>
        <w:trPr>
          <w:trHeight w:val="168"/>
        </w:trPr>
        <w:tc>
          <w:tcPr>
            <w:tcW w:w="4180" w:type="dxa"/>
            <w:vAlign w:val="bottom"/>
          </w:tcPr>
          <w:p>
            <w:pPr>
              <w:spacing w:after="0" w:line="168" w:lineRule="exact"/>
              <w:rPr>
                <w:sz w:val="20"/>
                <w:szCs w:val="20"/>
                <w:color w:val="auto"/>
              </w:rPr>
            </w:pPr>
            <w:r>
              <w:rPr>
                <w:rFonts w:ascii="Arial" w:cs="Arial" w:eastAsia="Arial" w:hAnsi="Arial"/>
                <w:sz w:val="16"/>
                <w:szCs w:val="16"/>
                <w:color w:val="auto"/>
              </w:rPr>
              <w:t>Balances at September 30, 2024</w:t>
            </w: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81"/>
              <w:spacing w:after="0" w:line="168" w:lineRule="exact"/>
              <w:rPr>
                <w:sz w:val="20"/>
                <w:szCs w:val="20"/>
                <w:color w:val="auto"/>
              </w:rPr>
            </w:pPr>
            <w:r>
              <w:rPr>
                <w:rFonts w:ascii="Arial" w:cs="Arial" w:eastAsia="Arial" w:hAnsi="Arial"/>
                <w:sz w:val="16"/>
                <w:szCs w:val="16"/>
                <w:color w:val="auto"/>
              </w:rPr>
              <w:t>599,98</w:t>
            </w: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57,288,319</w:t>
            </w:r>
          </w:p>
        </w:tc>
        <w:tc>
          <w:tcPr>
            <w:tcW w:w="4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w:t>
            </w:r>
          </w:p>
        </w:tc>
        <w:tc>
          <w:tcPr>
            <w:tcW w:w="4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464</w:t>
            </w: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(401,539)</w:t>
            </w:r>
          </w:p>
        </w:tc>
        <w:tc>
          <w:tcPr>
            <w:tcW w:w="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198,911</w:t>
            </w:r>
          </w:p>
        </w:tc>
        <w:tc>
          <w:tcPr>
            <w:tcW w:w="0" w:type="dxa"/>
            <w:vAlign w:val="bottom"/>
          </w:tcPr>
          <w:p>
            <w:pPr>
              <w:spacing w:after="0"/>
              <w:rPr>
                <w:sz w:val="1"/>
                <w:szCs w:val="1"/>
                <w:color w:val="auto"/>
              </w:rPr>
            </w:pPr>
          </w:p>
        </w:tc>
      </w:tr>
      <w:tr>
        <w:trPr>
          <w:trHeight w:val="20"/>
        </w:trPr>
        <w:tc>
          <w:tcPr>
            <w:tcW w:w="4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139065</wp:posOffset>
            </wp:positionV>
            <wp:extent cx="9398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145415"/>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2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2700" w:type="dxa"/>
            <w:vAlign w:val="bottom"/>
            <w:tcBorders>
              <w:top w:val="single" w:sz="8" w:color="auto"/>
              <w:bottom w:val="single" w:sz="8" w:color="auto"/>
            </w:tcBorders>
            <w:gridSpan w:val="4"/>
          </w:tcPr>
          <w:p>
            <w:pPr>
              <w:jc w:val="right"/>
              <w:ind w:right="191"/>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5"/>
                <w:szCs w:val="15"/>
                <w:color w:val="auto"/>
              </w:rPr>
            </w:pPr>
          </w:p>
        </w:tc>
      </w:tr>
      <w:tr>
        <w:trPr>
          <w:trHeight w:val="156"/>
        </w:trPr>
        <w:tc>
          <w:tcPr>
            <w:tcW w:w="8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r>
      <w:tr>
        <w:trPr>
          <w:trHeight w:val="196"/>
        </w:trPr>
        <w:tc>
          <w:tcPr>
            <w:tcW w:w="82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22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(116,390)</w:t>
            </w:r>
          </w:p>
        </w:tc>
        <w:tc>
          <w:tcPr>
            <w:tcW w:w="3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(95,907)</w:t>
            </w:r>
          </w:p>
        </w:tc>
      </w:tr>
      <w:tr>
        <w:trPr>
          <w:trHeight w:val="203"/>
        </w:trPr>
        <w:tc>
          <w:tcPr>
            <w:tcW w:w="8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220" w:type="dxa"/>
            <w:vAlign w:val="bottom"/>
          </w:tcPr>
          <w:p>
            <w:pPr>
              <w:ind w:left="320"/>
              <w:spacing w:after="0" w:line="202" w:lineRule="exact"/>
              <w:rPr>
                <w:sz w:val="20"/>
                <w:szCs w:val="20"/>
                <w:color w:val="auto"/>
              </w:rPr>
            </w:pPr>
            <w:r>
              <w:rPr>
                <w:rFonts w:ascii="Arial" w:cs="Arial" w:eastAsia="Arial" w:hAnsi="Arial"/>
                <w:sz w:val="18"/>
                <w:szCs w:val="18"/>
                <w:color w:val="auto"/>
              </w:rPr>
              <w:t>Depreciation and amortization expense</w:t>
            </w:r>
          </w:p>
        </w:tc>
        <w:tc>
          <w:tcPr>
            <w:tcW w:w="2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303</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277</w:t>
            </w:r>
          </w:p>
        </w:tc>
        <w:tc>
          <w:tcPr>
            <w:tcW w:w="100" w:type="dxa"/>
            <w:vAlign w:val="bottom"/>
          </w:tcPr>
          <w:p>
            <w:pPr>
              <w:spacing w:after="0"/>
              <w:rPr>
                <w:sz w:val="17"/>
                <w:szCs w:val="17"/>
                <w:color w:val="auto"/>
              </w:rPr>
            </w:pPr>
          </w:p>
        </w:tc>
      </w:tr>
      <w:tr>
        <w:trPr>
          <w:trHeight w:val="203"/>
        </w:trPr>
        <w:tc>
          <w:tcPr>
            <w:tcW w:w="8220" w:type="dxa"/>
            <w:vAlign w:val="bottom"/>
            <w:shd w:val="clear" w:color="auto" w:fill="CFF0FC"/>
          </w:tcPr>
          <w:p>
            <w:pPr>
              <w:ind w:left="320"/>
              <w:spacing w:after="0" w:line="202" w:lineRule="exact"/>
              <w:rPr>
                <w:sz w:val="20"/>
                <w:szCs w:val="20"/>
                <w:color w:val="auto"/>
              </w:rPr>
            </w:pPr>
            <w:r>
              <w:rPr>
                <w:rFonts w:ascii="Arial" w:cs="Arial" w:eastAsia="Arial" w:hAnsi="Arial"/>
                <w:sz w:val="18"/>
                <w:szCs w:val="18"/>
                <w:color w:val="auto"/>
              </w:rPr>
              <w:t>Non-cash lease expense</w:t>
            </w: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875</w:t>
            </w:r>
          </w:p>
        </w:tc>
        <w:tc>
          <w:tcPr>
            <w:tcW w:w="18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863</w:t>
            </w:r>
          </w:p>
        </w:tc>
        <w:tc>
          <w:tcPr>
            <w:tcW w:w="100" w:type="dxa"/>
            <w:vAlign w:val="bottom"/>
            <w:shd w:val="clear" w:color="auto" w:fill="CFF0FC"/>
          </w:tcPr>
          <w:p>
            <w:pPr>
              <w:spacing w:after="0"/>
              <w:rPr>
                <w:sz w:val="17"/>
                <w:szCs w:val="17"/>
                <w:color w:val="auto"/>
              </w:rPr>
            </w:pPr>
          </w:p>
        </w:tc>
      </w:tr>
      <w:tr>
        <w:trPr>
          <w:trHeight w:val="203"/>
        </w:trPr>
        <w:tc>
          <w:tcPr>
            <w:tcW w:w="8220" w:type="dxa"/>
            <w:vAlign w:val="bottom"/>
          </w:tcPr>
          <w:p>
            <w:pPr>
              <w:ind w:left="320"/>
              <w:spacing w:after="0" w:line="202" w:lineRule="exact"/>
              <w:rPr>
                <w:sz w:val="20"/>
                <w:szCs w:val="20"/>
                <w:color w:val="auto"/>
              </w:rPr>
            </w:pPr>
            <w:r>
              <w:rPr>
                <w:rFonts w:ascii="Arial" w:cs="Arial" w:eastAsia="Arial" w:hAnsi="Arial"/>
                <w:sz w:val="18"/>
                <w:szCs w:val="18"/>
                <w:color w:val="auto"/>
              </w:rPr>
              <w:t>Non-cash interest income on marketable securities</w:t>
            </w:r>
          </w:p>
        </w:tc>
        <w:tc>
          <w:tcPr>
            <w:tcW w:w="220" w:type="dxa"/>
            <w:vAlign w:val="bottom"/>
          </w:tcPr>
          <w:p>
            <w:pPr>
              <w:spacing w:after="0"/>
              <w:rPr>
                <w:sz w:val="17"/>
                <w:szCs w:val="17"/>
                <w:color w:val="auto"/>
              </w:rPr>
            </w:pP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(5,135)</w:t>
            </w:r>
          </w:p>
        </w:tc>
        <w:tc>
          <w:tcPr>
            <w:tcW w:w="340" w:type="dxa"/>
            <w:vAlign w:val="bottom"/>
          </w:tcPr>
          <w:p>
            <w:pPr>
              <w:spacing w:after="0"/>
              <w:rPr>
                <w:sz w:val="17"/>
                <w:szCs w:val="17"/>
                <w:color w:val="auto"/>
              </w:rPr>
            </w:pP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(6,547)</w:t>
            </w:r>
          </w:p>
        </w:tc>
      </w:tr>
      <w:tr>
        <w:trPr>
          <w:trHeight w:val="203"/>
        </w:trPr>
        <w:tc>
          <w:tcPr>
            <w:tcW w:w="8220" w:type="dxa"/>
            <w:vAlign w:val="bottom"/>
            <w:shd w:val="clear" w:color="auto" w:fill="CFF0FC"/>
          </w:tcPr>
          <w:p>
            <w:pPr>
              <w:ind w:left="320"/>
              <w:spacing w:after="0" w:line="202" w:lineRule="exact"/>
              <w:rPr>
                <w:sz w:val="20"/>
                <w:szCs w:val="20"/>
                <w:color w:val="auto"/>
              </w:rPr>
            </w:pPr>
            <w:r>
              <w:rPr>
                <w:rFonts w:ascii="Arial" w:cs="Arial" w:eastAsia="Arial" w:hAnsi="Arial"/>
                <w:sz w:val="18"/>
                <w:szCs w:val="18"/>
                <w:color w:val="auto"/>
              </w:rPr>
              <w:t>Stock-based compensation expense, including employee stock purchase plan expense</w:t>
            </w: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13,320</w:t>
            </w:r>
          </w:p>
        </w:tc>
        <w:tc>
          <w:tcPr>
            <w:tcW w:w="18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16,259</w:t>
            </w:r>
          </w:p>
        </w:tc>
        <w:tc>
          <w:tcPr>
            <w:tcW w:w="100" w:type="dxa"/>
            <w:vAlign w:val="bottom"/>
            <w:shd w:val="clear" w:color="auto" w:fill="CFF0FC"/>
          </w:tcPr>
          <w:p>
            <w:pPr>
              <w:spacing w:after="0"/>
              <w:rPr>
                <w:sz w:val="17"/>
                <w:szCs w:val="17"/>
                <w:color w:val="auto"/>
              </w:rPr>
            </w:pPr>
          </w:p>
        </w:tc>
      </w:tr>
      <w:tr>
        <w:trPr>
          <w:trHeight w:val="203"/>
        </w:trPr>
        <w:tc>
          <w:tcPr>
            <w:tcW w:w="8220" w:type="dxa"/>
            <w:vAlign w:val="bottom"/>
          </w:tcPr>
          <w:p>
            <w:pPr>
              <w:ind w:left="32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220" w:type="dxa"/>
            <w:vAlign w:val="bottom"/>
            <w:shd w:val="clear" w:color="auto" w:fill="CFF0FC"/>
          </w:tcPr>
          <w:p>
            <w:pPr>
              <w:ind w:left="44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FF0FC"/>
          </w:tcPr>
          <w:p>
            <w:pPr>
              <w:spacing w:after="0"/>
              <w:rPr>
                <w:sz w:val="17"/>
                <w:szCs w:val="17"/>
                <w:color w:val="auto"/>
              </w:rPr>
            </w:pPr>
          </w:p>
        </w:tc>
        <w:tc>
          <w:tcPr>
            <w:tcW w:w="1340" w:type="dxa"/>
            <w:vAlign w:val="bottom"/>
            <w:tcBorders>
              <w:right w:val="single" w:sz="8" w:color="CFF0FC"/>
            </w:tcBorders>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(960)</w:t>
            </w: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1,475</w:t>
            </w:r>
          </w:p>
        </w:tc>
        <w:tc>
          <w:tcPr>
            <w:tcW w:w="100" w:type="dxa"/>
            <w:vAlign w:val="bottom"/>
            <w:shd w:val="clear" w:color="auto" w:fill="CFF0FC"/>
          </w:tcPr>
          <w:p>
            <w:pPr>
              <w:spacing w:after="0"/>
              <w:rPr>
                <w:sz w:val="17"/>
                <w:szCs w:val="17"/>
                <w:color w:val="auto"/>
              </w:rPr>
            </w:pPr>
          </w:p>
        </w:tc>
      </w:tr>
      <w:tr>
        <w:trPr>
          <w:trHeight w:val="203"/>
        </w:trPr>
        <w:tc>
          <w:tcPr>
            <w:tcW w:w="8220" w:type="dxa"/>
            <w:vAlign w:val="bottom"/>
          </w:tcPr>
          <w:p>
            <w:pPr>
              <w:ind w:left="440"/>
              <w:spacing w:after="0" w:line="202" w:lineRule="exact"/>
              <w:rPr>
                <w:sz w:val="20"/>
                <w:szCs w:val="20"/>
                <w:color w:val="auto"/>
              </w:rPr>
            </w:pPr>
            <w:r>
              <w:rPr>
                <w:rFonts w:ascii="Arial" w:cs="Arial" w:eastAsia="Arial" w:hAnsi="Arial"/>
                <w:sz w:val="18"/>
                <w:szCs w:val="18"/>
                <w:color w:val="auto"/>
              </w:rPr>
              <w:t>Other assets and long-term deposits</w:t>
            </w:r>
          </w:p>
        </w:tc>
        <w:tc>
          <w:tcPr>
            <w:tcW w:w="220" w:type="dxa"/>
            <w:vAlign w:val="bottom"/>
          </w:tcPr>
          <w:p>
            <w:pPr>
              <w:spacing w:after="0"/>
              <w:rPr>
                <w:sz w:val="17"/>
                <w:szCs w:val="17"/>
                <w:color w:val="auto"/>
              </w:rPr>
            </w:pP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(5,649)</w:t>
            </w:r>
          </w:p>
        </w:tc>
        <w:tc>
          <w:tcPr>
            <w:tcW w:w="340" w:type="dxa"/>
            <w:vAlign w:val="bottom"/>
          </w:tcPr>
          <w:p>
            <w:pPr>
              <w:spacing w:after="0"/>
              <w:rPr>
                <w:sz w:val="17"/>
                <w:szCs w:val="17"/>
                <w:color w:val="auto"/>
              </w:rPr>
            </w:pP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(2,589)</w:t>
            </w:r>
          </w:p>
        </w:tc>
      </w:tr>
      <w:tr>
        <w:trPr>
          <w:trHeight w:val="203"/>
        </w:trPr>
        <w:tc>
          <w:tcPr>
            <w:tcW w:w="8220" w:type="dxa"/>
            <w:vAlign w:val="bottom"/>
            <w:shd w:val="clear" w:color="auto" w:fill="CFF0FC"/>
          </w:tcPr>
          <w:p>
            <w:pPr>
              <w:ind w:left="440"/>
              <w:spacing w:after="0" w:line="202" w:lineRule="exact"/>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spacing w:after="0"/>
              <w:rPr>
                <w:sz w:val="17"/>
                <w:szCs w:val="17"/>
                <w:color w:val="auto"/>
              </w:rPr>
            </w:pPr>
          </w:p>
        </w:tc>
        <w:tc>
          <w:tcPr>
            <w:tcW w:w="1340" w:type="dxa"/>
            <w:vAlign w:val="bottom"/>
            <w:tcBorders>
              <w:right w:val="single" w:sz="8" w:color="CFF0FC"/>
            </w:tcBorders>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(1,175)</w:t>
            </w:r>
          </w:p>
        </w:tc>
        <w:tc>
          <w:tcPr>
            <w:tcW w:w="3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(13)</w:t>
            </w:r>
          </w:p>
        </w:tc>
      </w:tr>
      <w:tr>
        <w:trPr>
          <w:trHeight w:val="203"/>
        </w:trPr>
        <w:tc>
          <w:tcPr>
            <w:tcW w:w="8220" w:type="dxa"/>
            <w:vAlign w:val="bottom"/>
          </w:tcPr>
          <w:p>
            <w:pPr>
              <w:ind w:left="440"/>
              <w:spacing w:after="0" w:line="202" w:lineRule="exact"/>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7,353</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8,972</w:t>
            </w:r>
          </w:p>
        </w:tc>
        <w:tc>
          <w:tcPr>
            <w:tcW w:w="100" w:type="dxa"/>
            <w:vAlign w:val="bottom"/>
          </w:tcPr>
          <w:p>
            <w:pPr>
              <w:spacing w:after="0"/>
              <w:rPr>
                <w:sz w:val="17"/>
                <w:szCs w:val="17"/>
                <w:color w:val="auto"/>
              </w:rPr>
            </w:pPr>
          </w:p>
        </w:tc>
      </w:tr>
      <w:tr>
        <w:trPr>
          <w:trHeight w:val="203"/>
        </w:trPr>
        <w:tc>
          <w:tcPr>
            <w:tcW w:w="8220" w:type="dxa"/>
            <w:vAlign w:val="bottom"/>
            <w:shd w:val="clear" w:color="auto" w:fill="CFF0FC"/>
          </w:tcPr>
          <w:p>
            <w:pPr>
              <w:ind w:left="440"/>
              <w:spacing w:after="0" w:line="202" w:lineRule="exact"/>
              <w:rPr>
                <w:sz w:val="20"/>
                <w:szCs w:val="20"/>
                <w:color w:val="auto"/>
              </w:rPr>
            </w:pPr>
            <w:r>
              <w:rPr>
                <w:rFonts w:ascii="Arial" w:cs="Arial" w:eastAsia="Arial" w:hAnsi="Arial"/>
                <w:sz w:val="18"/>
                <w:szCs w:val="18"/>
                <w:color w:val="auto"/>
              </w:rPr>
              <w:t>Operating lease liabilities</w:t>
            </w:r>
          </w:p>
        </w:tc>
        <w:tc>
          <w:tcPr>
            <w:tcW w:w="220" w:type="dxa"/>
            <w:vAlign w:val="bottom"/>
            <w:shd w:val="clear" w:color="auto" w:fill="CFF0FC"/>
          </w:tcPr>
          <w:p>
            <w:pPr>
              <w:spacing w:after="0"/>
              <w:rPr>
                <w:sz w:val="17"/>
                <w:szCs w:val="17"/>
                <w:color w:val="auto"/>
              </w:rPr>
            </w:pPr>
          </w:p>
        </w:tc>
        <w:tc>
          <w:tcPr>
            <w:tcW w:w="1340" w:type="dxa"/>
            <w:vAlign w:val="bottom"/>
            <w:tcBorders>
              <w:right w:val="single" w:sz="8" w:color="CFF0FC"/>
            </w:tcBorders>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(931)</w:t>
            </w:r>
          </w:p>
        </w:tc>
        <w:tc>
          <w:tcPr>
            <w:tcW w:w="3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(857)</w:t>
            </w:r>
          </w:p>
        </w:tc>
      </w:tr>
      <w:tr>
        <w:trPr>
          <w:trHeight w:val="20"/>
        </w:trPr>
        <w:tc>
          <w:tcPr>
            <w:tcW w:w="8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8220" w:type="dxa"/>
            <w:vAlign w:val="bottom"/>
          </w:tcPr>
          <w:p>
            <w:pPr>
              <w:ind w:left="320"/>
              <w:spacing w:after="0" w:line="196" w:lineRule="exact"/>
              <w:rPr>
                <w:sz w:val="20"/>
                <w:szCs w:val="20"/>
                <w:color w:val="auto"/>
              </w:rPr>
            </w:pPr>
            <w:r>
              <w:rPr>
                <w:rFonts w:ascii="Arial" w:cs="Arial" w:eastAsia="Arial" w:hAnsi="Arial"/>
                <w:sz w:val="18"/>
                <w:szCs w:val="18"/>
                <w:color w:val="auto"/>
              </w:rPr>
              <w:t>Net cash used in operating activities</w:t>
            </w:r>
          </w:p>
        </w:tc>
        <w:tc>
          <w:tcPr>
            <w:tcW w:w="220" w:type="dxa"/>
            <w:vAlign w:val="bottom"/>
          </w:tcPr>
          <w:p>
            <w:pPr>
              <w:spacing w:after="0"/>
              <w:rPr>
                <w:sz w:val="17"/>
                <w:szCs w:val="17"/>
                <w:color w:val="auto"/>
              </w:rPr>
            </w:pPr>
          </w:p>
        </w:tc>
        <w:tc>
          <w:tcPr>
            <w:tcW w:w="13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(108,389)</w:t>
            </w:r>
          </w:p>
        </w:tc>
        <w:tc>
          <w:tcPr>
            <w:tcW w:w="340" w:type="dxa"/>
            <w:vAlign w:val="bottom"/>
          </w:tcPr>
          <w:p>
            <w:pPr>
              <w:spacing w:after="0"/>
              <w:rPr>
                <w:sz w:val="17"/>
                <w:szCs w:val="17"/>
                <w:color w:val="auto"/>
              </w:rPr>
            </w:pPr>
          </w:p>
        </w:tc>
        <w:tc>
          <w:tcPr>
            <w:tcW w:w="11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(78,067)</w:t>
            </w:r>
          </w:p>
        </w:tc>
      </w:tr>
      <w:tr>
        <w:trPr>
          <w:trHeight w:val="196"/>
        </w:trPr>
        <w:tc>
          <w:tcPr>
            <w:tcW w:w="82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220" w:type="dxa"/>
            <w:vAlign w:val="bottom"/>
          </w:tcPr>
          <w:p>
            <w:pPr>
              <w:spacing w:after="0" w:line="202" w:lineRule="exact"/>
              <w:rPr>
                <w:sz w:val="20"/>
                <w:szCs w:val="20"/>
                <w:color w:val="auto"/>
              </w:rPr>
            </w:pPr>
            <w:r>
              <w:rPr>
                <w:rFonts w:ascii="Arial" w:cs="Arial" w:eastAsia="Arial" w:hAnsi="Arial"/>
                <w:sz w:val="18"/>
                <w:szCs w:val="18"/>
                <w:color w:val="auto"/>
              </w:rPr>
              <w:t>Purchase of equipment</w:t>
            </w:r>
          </w:p>
        </w:tc>
        <w:tc>
          <w:tcPr>
            <w:tcW w:w="220" w:type="dxa"/>
            <w:vAlign w:val="bottom"/>
          </w:tcPr>
          <w:p>
            <w:pPr>
              <w:spacing w:after="0"/>
              <w:rPr>
                <w:sz w:val="17"/>
                <w:szCs w:val="17"/>
                <w:color w:val="auto"/>
              </w:rPr>
            </w:pPr>
          </w:p>
        </w:tc>
        <w:tc>
          <w:tcPr>
            <w:tcW w:w="13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(159)</w:t>
            </w:r>
          </w:p>
        </w:tc>
      </w:tr>
      <w:tr>
        <w:trPr>
          <w:trHeight w:val="203"/>
        </w:trPr>
        <w:tc>
          <w:tcPr>
            <w:tcW w:w="8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Maturities of marketable securities</w:t>
            </w: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253,794</w:t>
            </w:r>
          </w:p>
        </w:tc>
        <w:tc>
          <w:tcPr>
            <w:tcW w:w="18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226,786</w:t>
            </w:r>
          </w:p>
        </w:tc>
        <w:tc>
          <w:tcPr>
            <w:tcW w:w="100" w:type="dxa"/>
            <w:vAlign w:val="bottom"/>
            <w:shd w:val="clear" w:color="auto" w:fill="CFF0FC"/>
          </w:tcPr>
          <w:p>
            <w:pPr>
              <w:spacing w:after="0"/>
              <w:rPr>
                <w:sz w:val="17"/>
                <w:szCs w:val="17"/>
                <w:color w:val="auto"/>
              </w:rPr>
            </w:pPr>
          </w:p>
        </w:tc>
      </w:tr>
      <w:tr>
        <w:trPr>
          <w:trHeight w:val="203"/>
        </w:trPr>
        <w:tc>
          <w:tcPr>
            <w:tcW w:w="8220" w:type="dxa"/>
            <w:vAlign w:val="bottom"/>
          </w:tcPr>
          <w:p>
            <w:pPr>
              <w:spacing w:after="0" w:line="202" w:lineRule="exact"/>
              <w:rPr>
                <w:sz w:val="20"/>
                <w:szCs w:val="20"/>
                <w:color w:val="auto"/>
              </w:rPr>
            </w:pPr>
            <w:r>
              <w:rPr>
                <w:rFonts w:ascii="Arial" w:cs="Arial" w:eastAsia="Arial" w:hAnsi="Arial"/>
                <w:sz w:val="18"/>
                <w:szCs w:val="18"/>
                <w:color w:val="auto"/>
              </w:rPr>
              <w:t>Purchases of marketable securities</w:t>
            </w:r>
          </w:p>
        </w:tc>
        <w:tc>
          <w:tcPr>
            <w:tcW w:w="220" w:type="dxa"/>
            <w:vAlign w:val="bottom"/>
          </w:tcPr>
          <w:p>
            <w:pPr>
              <w:spacing w:after="0"/>
              <w:rPr>
                <w:sz w:val="17"/>
                <w:szCs w:val="17"/>
                <w:color w:val="auto"/>
              </w:rPr>
            </w:pP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(247,370)</w:t>
            </w:r>
          </w:p>
        </w:tc>
        <w:tc>
          <w:tcPr>
            <w:tcW w:w="340" w:type="dxa"/>
            <w:vAlign w:val="bottom"/>
          </w:tcPr>
          <w:p>
            <w:pPr>
              <w:spacing w:after="0"/>
              <w:rPr>
                <w:sz w:val="17"/>
                <w:szCs w:val="17"/>
                <w:color w:val="auto"/>
              </w:rPr>
            </w:pP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(205,729)</w:t>
            </w:r>
          </w:p>
        </w:tc>
      </w:tr>
      <w:tr>
        <w:trPr>
          <w:trHeight w:val="196"/>
        </w:trPr>
        <w:tc>
          <w:tcPr>
            <w:tcW w:w="8220" w:type="dxa"/>
            <w:vAlign w:val="bottom"/>
            <w:tcBorders>
              <w:bottom w:val="single" w:sz="8" w:color="CFF0FC"/>
            </w:tcBorders>
            <w:shd w:val="clear" w:color="auto" w:fill="CFF0FC"/>
          </w:tcPr>
          <w:p>
            <w:pPr>
              <w:ind w:left="320"/>
              <w:spacing w:after="0" w:line="196" w:lineRule="exact"/>
              <w:rPr>
                <w:sz w:val="20"/>
                <w:szCs w:val="20"/>
                <w:color w:val="auto"/>
              </w:rPr>
            </w:pPr>
            <w:r>
              <w:rPr>
                <w:rFonts w:ascii="Arial" w:cs="Arial" w:eastAsia="Arial" w:hAnsi="Arial"/>
                <w:sz w:val="18"/>
                <w:szCs w:val="18"/>
                <w:color w:val="auto"/>
              </w:rPr>
              <w:t>Net cash provided by investing activities</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6,424</w:t>
            </w: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20,898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22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Issuance of shares under at-the-market offering, net of issuance costs of $166</w:t>
            </w:r>
          </w:p>
        </w:tc>
        <w:tc>
          <w:tcPr>
            <w:tcW w:w="220" w:type="dxa"/>
            <w:vAlign w:val="bottom"/>
            <w:shd w:val="clear" w:color="auto" w:fill="CFF0FC"/>
          </w:tcPr>
          <w:p>
            <w:pPr>
              <w:spacing w:after="0"/>
              <w:rPr>
                <w:sz w:val="17"/>
                <w:szCs w:val="17"/>
                <w:color w:val="auto"/>
              </w:rPr>
            </w:pPr>
          </w:p>
        </w:tc>
        <w:tc>
          <w:tcPr>
            <w:tcW w:w="1340" w:type="dxa"/>
            <w:vAlign w:val="bottom"/>
            <w:tcBorders>
              <w:right w:val="single" w:sz="8" w:color="CFF0FC"/>
            </w:tcBorders>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22,787</w:t>
            </w:r>
          </w:p>
        </w:tc>
        <w:tc>
          <w:tcPr>
            <w:tcW w:w="100" w:type="dxa"/>
            <w:vAlign w:val="bottom"/>
            <w:shd w:val="clear" w:color="auto" w:fill="CFF0FC"/>
          </w:tcPr>
          <w:p>
            <w:pPr>
              <w:spacing w:after="0"/>
              <w:rPr>
                <w:sz w:val="17"/>
                <w:szCs w:val="17"/>
                <w:color w:val="auto"/>
              </w:rPr>
            </w:pPr>
          </w:p>
        </w:tc>
      </w:tr>
      <w:tr>
        <w:trPr>
          <w:trHeight w:val="203"/>
        </w:trPr>
        <w:tc>
          <w:tcPr>
            <w:tcW w:w="8220" w:type="dxa"/>
            <w:vAlign w:val="bottom"/>
          </w:tcPr>
          <w:p>
            <w:pPr>
              <w:spacing w:after="0" w:line="202" w:lineRule="exact"/>
              <w:rPr>
                <w:sz w:val="20"/>
                <w:szCs w:val="20"/>
                <w:color w:val="auto"/>
              </w:rPr>
            </w:pPr>
            <w:r>
              <w:rPr>
                <w:rFonts w:ascii="Arial" w:cs="Arial" w:eastAsia="Arial" w:hAnsi="Arial"/>
                <w:sz w:val="18"/>
                <w:szCs w:val="18"/>
                <w:color w:val="auto"/>
              </w:rPr>
              <w:t>Issuance costs for shares issued under 2024 private placement</w:t>
            </w:r>
          </w:p>
        </w:tc>
        <w:tc>
          <w:tcPr>
            <w:tcW w:w="220" w:type="dxa"/>
            <w:vAlign w:val="bottom"/>
          </w:tcPr>
          <w:p>
            <w:pPr>
              <w:spacing w:after="0"/>
              <w:rPr>
                <w:sz w:val="17"/>
                <w:szCs w:val="17"/>
                <w:color w:val="auto"/>
              </w:rPr>
            </w:pP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(6,514)</w:t>
            </w:r>
          </w:p>
        </w:tc>
        <w:tc>
          <w:tcPr>
            <w:tcW w:w="34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Proceeds from borrowings under Credit Facility (Note 11)</w:t>
            </w: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3,000</w:t>
            </w:r>
          </w:p>
        </w:tc>
        <w:tc>
          <w:tcPr>
            <w:tcW w:w="18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220" w:type="dxa"/>
            <w:vAlign w:val="bottom"/>
          </w:tcPr>
          <w:p>
            <w:pPr>
              <w:spacing w:after="0" w:line="202" w:lineRule="exact"/>
              <w:rPr>
                <w:sz w:val="20"/>
                <w:szCs w:val="20"/>
                <w:color w:val="auto"/>
              </w:rPr>
            </w:pPr>
            <w:r>
              <w:rPr>
                <w:rFonts w:ascii="Arial" w:cs="Arial" w:eastAsia="Arial" w:hAnsi="Arial"/>
                <w:sz w:val="18"/>
                <w:szCs w:val="18"/>
                <w:color w:val="auto"/>
              </w:rPr>
              <w:t>Proceeds from issuance of common stock under employee stock purchase plan</w:t>
            </w:r>
          </w:p>
        </w:tc>
        <w:tc>
          <w:tcPr>
            <w:tcW w:w="2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748</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650</w:t>
            </w:r>
          </w:p>
        </w:tc>
        <w:tc>
          <w:tcPr>
            <w:tcW w:w="100" w:type="dxa"/>
            <w:vAlign w:val="bottom"/>
          </w:tcPr>
          <w:p>
            <w:pPr>
              <w:spacing w:after="0"/>
              <w:rPr>
                <w:sz w:val="17"/>
                <w:szCs w:val="17"/>
                <w:color w:val="auto"/>
              </w:rPr>
            </w:pPr>
          </w:p>
        </w:tc>
      </w:tr>
      <w:tr>
        <w:trPr>
          <w:trHeight w:val="203"/>
        </w:trPr>
        <w:tc>
          <w:tcPr>
            <w:tcW w:w="82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Proceeds from exercise of stock options</w:t>
            </w:r>
          </w:p>
        </w:tc>
        <w:tc>
          <w:tcPr>
            <w:tcW w:w="2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511</w:t>
            </w: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1,081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220" w:type="dxa"/>
            <w:vAlign w:val="bottom"/>
          </w:tcPr>
          <w:p>
            <w:pPr>
              <w:ind w:left="320"/>
              <w:spacing w:after="0" w:line="196" w:lineRule="exact"/>
              <w:rPr>
                <w:sz w:val="20"/>
                <w:szCs w:val="20"/>
                <w:color w:val="auto"/>
              </w:rPr>
            </w:pPr>
            <w:r>
              <w:rPr>
                <w:rFonts w:ascii="Arial" w:cs="Arial" w:eastAsia="Arial" w:hAnsi="Arial"/>
                <w:sz w:val="18"/>
                <w:szCs w:val="18"/>
                <w:color w:val="auto"/>
              </w:rPr>
              <w:t>Net cash (used in) provided by financing activities</w:t>
            </w:r>
          </w:p>
        </w:tc>
        <w:tc>
          <w:tcPr>
            <w:tcW w:w="220" w:type="dxa"/>
            <w:vAlign w:val="bottom"/>
          </w:tcPr>
          <w:p>
            <w:pPr>
              <w:spacing w:after="0"/>
              <w:rPr>
                <w:sz w:val="17"/>
                <w:szCs w:val="17"/>
                <w:color w:val="auto"/>
              </w:rPr>
            </w:pPr>
          </w:p>
        </w:tc>
        <w:tc>
          <w:tcPr>
            <w:tcW w:w="13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(2,255)</w:t>
            </w:r>
          </w:p>
        </w:tc>
        <w:tc>
          <w:tcPr>
            <w:tcW w:w="34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24,518</w:t>
            </w:r>
          </w:p>
        </w:tc>
        <w:tc>
          <w:tcPr>
            <w:tcW w:w="100" w:type="dxa"/>
            <w:vAlign w:val="bottom"/>
          </w:tcPr>
          <w:p>
            <w:pPr>
              <w:spacing w:after="0"/>
              <w:rPr>
                <w:sz w:val="17"/>
                <w:szCs w:val="17"/>
                <w:color w:val="auto"/>
              </w:rPr>
            </w:pPr>
          </w:p>
        </w:tc>
      </w:tr>
      <w:tr>
        <w:trPr>
          <w:trHeight w:val="20"/>
        </w:trPr>
        <w:tc>
          <w:tcPr>
            <w:tcW w:w="8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2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Net decrease in cash and cash equivalents</w:t>
            </w:r>
          </w:p>
        </w:tc>
        <w:tc>
          <w:tcPr>
            <w:tcW w:w="220" w:type="dxa"/>
            <w:vAlign w:val="bottom"/>
            <w:shd w:val="clear" w:color="auto" w:fill="CFF0FC"/>
          </w:tcPr>
          <w:p>
            <w:pPr>
              <w:spacing w:after="0"/>
              <w:rPr>
                <w:sz w:val="17"/>
                <w:szCs w:val="17"/>
                <w:color w:val="auto"/>
              </w:rPr>
            </w:pPr>
          </w:p>
        </w:tc>
        <w:tc>
          <w:tcPr>
            <w:tcW w:w="1340" w:type="dxa"/>
            <w:vAlign w:val="bottom"/>
            <w:tcBorders>
              <w:right w:val="single" w:sz="8" w:color="CFF0FC"/>
            </w:tcBorders>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(104,220)</w:t>
            </w:r>
          </w:p>
        </w:tc>
        <w:tc>
          <w:tcPr>
            <w:tcW w:w="3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(32,651)</w:t>
            </w:r>
          </w:p>
        </w:tc>
      </w:tr>
      <w:tr>
        <w:trPr>
          <w:trHeight w:val="203"/>
        </w:trPr>
        <w:tc>
          <w:tcPr>
            <w:tcW w:w="8220" w:type="dxa"/>
            <w:vAlign w:val="bottom"/>
          </w:tcPr>
          <w:p>
            <w:pPr>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139,480</w:t>
            </w: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68,539</w:t>
            </w:r>
          </w:p>
        </w:tc>
        <w:tc>
          <w:tcPr>
            <w:tcW w:w="100" w:type="dxa"/>
            <w:vAlign w:val="bottom"/>
          </w:tcPr>
          <w:p>
            <w:pPr>
              <w:spacing w:after="0"/>
              <w:rPr>
                <w:sz w:val="17"/>
                <w:szCs w:val="17"/>
                <w:color w:val="auto"/>
              </w:rPr>
            </w:pPr>
          </w:p>
        </w:tc>
      </w:tr>
      <w:tr>
        <w:trPr>
          <w:trHeight w:val="236"/>
        </w:trPr>
        <w:tc>
          <w:tcPr>
            <w:tcW w:w="822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35,260</w:t>
            </w:r>
          </w:p>
        </w:tc>
        <w:tc>
          <w:tcPr>
            <w:tcW w:w="180" w:type="dxa"/>
            <w:vAlign w:val="bottom"/>
            <w:tcBorders>
              <w:bottom w:val="single" w:sz="8" w:color="CFF0FC"/>
              <w:right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35,888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85"/>
        </w:trPr>
        <w:tc>
          <w:tcPr>
            <w:tcW w:w="822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8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Right-of-use asset obtained in exchange for operating lease liabilities</w:t>
            </w:r>
          </w:p>
        </w:tc>
        <w:tc>
          <w:tcPr>
            <w:tcW w:w="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896</w:t>
            </w:r>
          </w:p>
        </w:tc>
        <w:tc>
          <w:tcPr>
            <w:tcW w:w="18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-2527935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-2527935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-1731010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-950595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-410845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-393700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-410845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-393700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2"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Nature of the Business and Basis of Presentation</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Olema Pharmaceuticals, Inc. (“Olema” or the “Company”) is a clinical-stage biopharmaceutical company focused on the discovery, development, and commercialization of next-generation targeted therapies for breast cancer and beyond. The Company is advancing a pipeline of novel therapies by leveraging its deep understanding of endocrine-driven cancers, nuclear receptors, and mechanisms of acquired resistance. The Company's wholly-owned, lead product candidate, palazestrant (OP-1250), is a novel, orally-available small molecule with dual activity as both a complete estrogen receptor ("ER") antagonist ("CERAN") and selective ER degrader ("SERD"). In addition to its lead product candidate, Olema is developing a potent KAT6 inhibitor (OP-3136).</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is located in San Francisco, California and was incorporated in Delaware on August 7, 2006 under the legal name of CombiThera, Inc., and on March 25, 2009, was renamed Olema Pharmaceuticals, Inc. The Company’s principal operations are based in San Francisco, California, and it has operations in Cambridge, Massachusetts. Olema Oncology Australia Pty Ltd was incorporated on January 6, 2021, and is a wholly-owned subsidiary of the Company (collectively with Olema Pharmaceuticals, Inc., referred to as “Olema” or the “Company” herein). It operates in one business segment and therefore has only one reportable segment. The Company is subject to risks and uncertainties common to late-stage companies in the biopharmaceutical industry, including, but not limited to, successful discovery and development of its product candidates, development by competitors of new technological innovations, dependence on key personnel, the ability to attract and retain qualified employees, protection of proprietary technology, compliance with governmental regulations, the impact of geopolitical and macroeconomic events discussed in further detail below, the ability to secure additional capital to fund operations and commercial success of its product candidates. Palazestrant, OP-3136 and any future product candidates the Company may develop will require extensive non-clinical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significant revenue from product sales.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 had $329.0 million of cash, cash equivalents and marketable securities at September 30, 2025, in addition to an available balance of $22.0 million under the Loan and Security Agreement dated as of September 5, 2023 (the “Original Loan Agreement”), by and between the Company, as borrower, and Silicon Valley Bank, a division of First-Citizens Bank &amp; Trust Company (the “Bank”), as amended by the First Amendment to Loan and Security Agreement, dated June 28, 2024, by and between the Company and the Bank (the "First Amendment"), as further amended by the Second Amendment to Loan and Security Agreement, dated June 27, 2025 by and between the Company and the Bank (the "Second Amendment" and, collectively with the First Amendment and the Original Loan Agreement, the "Loan Agreement"). Refer to Note 11. Long-term Borrowing for further details. Management believes that the Company’s cash, cash equivalents, marketable securities, and the amounts available under the Loan Agreement will be sufficient to fund the Company’s current operating plan for at least the next 12 months from the filing date of these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Offering</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January 6, 2025, the Company entered into a sales agreement (the "2025 Sales Agreement") with TD Securities (USA) LLC, ("TD Cowen") as sales agent, pursuant to which the Company may offer and sell, from time to time, shares of the Company's common stock, having an aggregate offering price of up to $150.0 million (the “2025 ATM Shares”). The 2025 Sales Agreement replaces the prior sales agreement entered into between the Company and Cowen and Company, LLC dated January 5, 2024 (the "2024 Sales Agreement"). During the year ended December 31, 2024, the Company issued 1,772,278 shares of its common stock under the 2024</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Sales Agreement at a weighted average price of $13.19 for net proceeds of $22.8 million after deducting related issuance costs. The sales of the 2025 ATM Shares will be made by any method permitted that is deemed to be an "at-the-market" equity offering as defined in Rule 415(a)(4) promulgated under the Securities Act, including sales made directly on or through the Nasdaq Global Select Market. The Company has agreed to pay TD Cowen a commission of up to 3.0% of the aggregate gross proceeds from any 2025 ATM Shares sold by TD Cowen. There were no sales under the 2025 Sales Agreement during the three and nine months ended September 30, 2025. As of September 30, 2025, $150.0 million remained available for issuance under the 2025 Sales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November 29, 2024, the Company entered into a securities purchase agreement for a private placement of (i) 19,928,875 shares of our common stock at a price of $9.08 per share and (ii) pre-funded warrants to purchase up to an aggregate of 7,604,163 shares of our common stock at a price of $9.0799 per pre-funded warrant, which represents the per share purchase price of the common stock sold in the private placement less the $0.0001 per share exercise price for each pre-funded warrant to selected institutional and accredited investors (the "2024 Private Placement"). The aggregate gross proceeds for the 2024 Private Placement were approximately $250.0 million. After deducting offering expenses related to the 2024 Private Placement of approximately $13.0 million, the net proceeds to us from the 2024 Private Placement were approximately $237.0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Exchanges</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November 29, 2024 and January 10, 2025, the Company entered into exchange agreements with certain investors and issued to such investors pre-funded warrants to purchase up to 3,420,000 and 6,070,000 shares of the Company's common stock, respectively, in exchange for an equivalent number of shares of the Company's common stock previously outstanding and held by such investors. The pre-funded warrants were issued without registration under the Securities Act of 1933, as amended (the “Securities Act”), in reliance on the exemption from registration contained in Section 3(a)(9) of the Securities Act. Refer to Note 12. Pre-Funded Warrants for further details.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Geopolitical and Macroeconomic Events</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Global economic and business activities continue to face widespread uncertainty related to the geopolitical and macroeconomic environment, generally, including economic uncertainty, market volatility, labor shortages, recent and changing tariff policy announcements, tariffs, trade tensions and retaliatory measures by other countries, supply chain disruptions, the ongoing conflicts between Ukraine and Russia and in the Middle East, as well as any related political or economic responses and counter-responses or otherwise by various global actors, inflationary pressures, monetary supply shifts, increased recession risk, and related financial instability. The extent of the impact of these factors on the Company’s operational and financial performance, including its ability to execute its business strategies and initiatives in the expected time frame, will depend on future developments, which are uncertain and cannot be predicted. Any continued or renewed disruption resulting from these factors could negatively impact the Company’s business. The Company continues to monitor the impact of these geopolitical and macroeconomic factors on its results of operations, financial condition and cash flows.</w:t>
      </w:r>
    </w:p>
    <w:p>
      <w:pPr>
        <w:spacing w:after="0" w:line="183"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Summary of Significant Accounting Policies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Consolidation</w:t>
      </w:r>
    </w:p>
    <w:p>
      <w:pPr>
        <w:spacing w:after="0" w:line="210" w:lineRule="exact"/>
        <w:rPr>
          <w:sz w:val="20"/>
          <w:szCs w:val="20"/>
          <w:color w:val="auto"/>
        </w:rPr>
      </w:pPr>
    </w:p>
    <w:p>
      <w:pPr>
        <w:jc w:val="both"/>
        <w:spacing w:after="0" w:line="208" w:lineRule="exact"/>
        <w:rPr>
          <w:sz w:val="20"/>
          <w:szCs w:val="20"/>
          <w:color w:val="auto"/>
        </w:rPr>
      </w:pPr>
      <w:r>
        <w:rPr>
          <w:rFonts w:ascii="Arial" w:cs="Arial" w:eastAsia="Arial" w:hAnsi="Arial"/>
          <w:sz w:val="18"/>
          <w:szCs w:val="18"/>
          <w:color w:val="auto"/>
        </w:rPr>
        <w:t>The accompanying interim unaudited condensed consolidated financial statements have been prepared in accordance with generally accepted accounting principles in the United States (“GAAP”) and applicable rules and regulations of the Securities and Exchange Commission (the “SEC”) regarding interim financial reporting, and the instructions to Form 10</w:t>
      </w:r>
      <w:r>
        <w:rPr>
          <w:rFonts w:ascii="MS PGothic" w:cs="MS PGothic" w:eastAsia="MS PGothic" w:hAnsi="MS PGothic"/>
          <w:sz w:val="18"/>
          <w:szCs w:val="18"/>
          <w:color w:val="auto"/>
        </w:rPr>
        <w:t>‑</w:t>
      </w:r>
      <w:r>
        <w:rPr>
          <w:rFonts w:ascii="Arial" w:cs="Arial" w:eastAsia="Arial" w:hAnsi="Arial"/>
          <w:sz w:val="18"/>
          <w:szCs w:val="18"/>
          <w:color w:val="auto"/>
        </w:rPr>
        <w:t>Q and Article 10 of Regulation S-X. Accordingly, they do not include all of the information and footnotes required by GAAP for complete financial statements. These condensed consolidated financial statements include the accounts of Olema Pharmaceuticals, Inc. and its wholly-owned subsidiary, Olema Oncology Australia Pty Ltd. All intercompany balances and transactions have been eliminated upon consolidation.</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Interim Financial Information</w:t>
      </w:r>
    </w:p>
    <w:p>
      <w:pPr>
        <w:spacing w:after="0" w:line="210" w:lineRule="exact"/>
        <w:rPr>
          <w:sz w:val="20"/>
          <w:szCs w:val="20"/>
          <w:color w:val="auto"/>
        </w:rPr>
      </w:pPr>
    </w:p>
    <w:p>
      <w:pPr>
        <w:jc w:val="both"/>
        <w:spacing w:after="0" w:line="206" w:lineRule="exact"/>
        <w:rPr>
          <w:sz w:val="20"/>
          <w:szCs w:val="20"/>
          <w:color w:val="auto"/>
        </w:rPr>
      </w:pPr>
      <w:r>
        <w:rPr>
          <w:rFonts w:ascii="Arial" w:cs="Arial" w:eastAsia="Arial" w:hAnsi="Arial"/>
          <w:sz w:val="18"/>
          <w:szCs w:val="18"/>
          <w:color w:val="auto"/>
        </w:rPr>
        <w:t>The interim condensed consolidated balance sheet as of September 30, 2025, the statements of operations and comprehensive loss, and stockholders’ equity for the three and nine months ended September 30, 2025 and 2024, and the statements of cash flows for the nine months ended September 30, 2025 and 2024 are unaudited. The unaudited interim condensed consolidated financial statements have been prepared on the same basis as the annual financial statements and reflect, in the opinion of management, all adjustments of a normal and recurring nature that are necessary for the fair presentation of the Company’s condensed consolidated financial statements included in this report. The financial data and the other information disclosed in these notes to the condensed consolidated financial statements related to the three- and nine-month periods are also unaudited. The results of operations presented in these unaudited condensed consolidated financial statements are not necessarily indicative of the results to be expected for the year ending December 31, 2025, or for any other future annual or interim period. The condensed consolidated balance sheet as of December 31, 2024 included herein was derived from the audited financial statements as of that date. These interim condensed consolidated financial statements should be read in conjunction with the Company’s audited consolidated financial statements included in the Company’s Form 10</w:t>
      </w:r>
      <w:r>
        <w:rPr>
          <w:rFonts w:ascii="MS PGothic" w:cs="MS PGothic" w:eastAsia="MS PGothic" w:hAnsi="MS PGothic"/>
          <w:sz w:val="18"/>
          <w:szCs w:val="18"/>
          <w:color w:val="auto"/>
        </w:rPr>
        <w:t>‑</w:t>
      </w:r>
      <w:r>
        <w:rPr>
          <w:rFonts w:ascii="Arial" w:cs="Arial" w:eastAsia="Arial" w:hAnsi="Arial"/>
          <w:sz w:val="18"/>
          <w:szCs w:val="18"/>
          <w:color w:val="auto"/>
        </w:rPr>
        <w:t>K as filed with the SEC on March 18, 2025 (the “Annual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accompanying condensed consolidated financial statements are prepared in accordance with GAAP. The preparation of the condensed consolidated financial statements in conformity with GAAP requires management to make estimates and assumptions that affect the reported amounts of assets and liabilities at the date of the condensed consolidated financial statements and reported amounts of expenses during the reporting period. Significant areas that require management’s estimates include accruals of research and development expenses, including accrual of research contract costs, stock-based compensation assumptions, including the fair value of common stock. On an ongoing basis, the Company evaluates its estimates and judgments, which are based on historical and anticipated results and trends and on various other assumptions that management believes to be reasonable under the circumstances. Actual results could differ from those estimates.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Cash and cash equivalents are defined as short-term, highly liquid investments with original maturities of 90 days or fewer at the date of purchase. Cash deposits are all in reputable financial institutions in the United States as of September 30, 2025, and December 31, 2024. Cash and cash equivalents primarily consisted of cash on deposit with U.S. banks, including the Company’s bank account for its Australia subsidiary, denominated in U.S. dollars and Australian dollars, and investments in interest-bearing money market funds.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All marketable securities have been classified as “available-for-sale” and are carried at estimated fair value as determined based upon quoted market prices or pricing models for similar securities. Management determines the appropriate classification of its investments at the time of purchase and reevaluates such designation as of each balance sheet date. Unrealized gains and losses are excluded from net loss and are reported as a component of comprehensive loss. Realized gains and losses and declines in fair value judged to be other than temporary, if any, on available-for-sale securities are included in interest income. The cost of securities sold is based on the specific-identification method. Interest earned on marketable securities is included in interest income.</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periodically assesses its available-for-sale marketable securities for other-than-temporary impairment. For debt securities in an unrealized loss position, the Company first considers its intent to sell, or whether it is more likely than not that the Company will be required to sell the debt securities before recovery of their amortized cost basis. If either of these criteria are met, the amortized cost basis of such debt securities is written down to fair value through other expense.</w:t>
      </w:r>
    </w:p>
    <w:p>
      <w:pPr>
        <w:spacing w:after="0" w:line="17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For debt securities in an unrealized loss position that do not meet the aforementioned criteria, the Company assesses whether the decline in the fair value of such debt securities has resulted from credit losses or other factors. The Company considers the extent to which fair value is less than amortized cost, any changes to the</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rating of the security by a rating agency, and any adverse conditions specifically related to the securities, among other factors. If this assessment indicates that a credit loss may exist, the Company then compares the present value of cash flows expected to be collected from such securities to their amortized cost basis. If the present value of cash flows expected to be collected is less than the amortized cost basis, a credit loss exists and an allowance for credit losses is recorded through other expense, limited by the amount that the fair value is less than the amortized cost basis. Any additional impairment not recorded through an allowance for credit losses is recognized in other comprehensive loss. The Company has not recorded any impairments for its marketable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 and Other Risks and Uncertainties</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cash equivalents, and marketable securities. The Company invests in a variety of financial instruments and, by its policy, limits these financial instruments to high credit quality securities issued by the U.S. government, U.S. government-sponsored agencies and highly rated banks and corporations, subject to certain concentration limits. The Company’s cash, cash equivalents, and marketable securities are held by financial institutions in the United States that management believes are of high credit quality. Amounts on deposit with individual banking institutions may at times exceed the limits insured by the Federal Deposit Insurance Corporation; however, the Company has not experienced any losses on such deposits.</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current and potential future product candidates, uncertainty of market acceptance of the Company’s product candidates, competition from substitute products and larger companies, securing and protecting proprietary technology, strategic relationships, dependence on key individuals or sole-source suppliers, and geopolitical and macroeconomic factors.</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Company’s product candidates require approvals from the U.S. Food and Drug Administration and comparable foreign regulatory agencies prior to commercial sales in their respective jurisdictions. There can be no assurance that any product candidates will receive the necessary approvals. If the Company were denied approval, approval was delayed or the Company was unable to maintain approval for any product candidate, it could have a materially adverse impact on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Under Accounting Standards Update ("ASU") 2026-12, </w:t>
      </w:r>
      <w:r>
        <w:rPr>
          <w:rFonts w:ascii="Arial" w:cs="Arial" w:eastAsia="Arial" w:hAnsi="Arial"/>
          <w:sz w:val="18"/>
          <w:szCs w:val="18"/>
          <w:i w:val="1"/>
          <w:iCs w:val="1"/>
          <w:color w:val="auto"/>
        </w:rPr>
        <w:t>Leases</w:t>
      </w:r>
      <w:r>
        <w:rPr>
          <w:rFonts w:ascii="Arial" w:cs="Arial" w:eastAsia="Arial" w:hAnsi="Arial"/>
          <w:sz w:val="18"/>
          <w:szCs w:val="18"/>
          <w:color w:val="auto"/>
        </w:rPr>
        <w:t>, Topic 842, ("Topic 842"), lessees are required to recognize for all leases (with the exception of short-term leases) at the commencement date: (1) a lease liability, which is a lessee’s obligation to make lease payments arising from a lease, measured on a discounted basis; and (2) a right-of-use (“ROU”) asset, which is an asset that represents the lessee’s right to use, or control the use of, a specified asset for the lease term. Leases will be classified as finance or operating, with classification affecting the pattern and classification of expense recognition in the condensed consolidated statements of operations and comprehensive loss.</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At the inception of an arrangement, the Company determines if an arrangement is, or contains, a lease based on the facts and circumstances present in that arrangement. Lease classification, recognition, and measurement are then determined at the lease commencement date. For arrangements that contain a lease, the Company (i) identifies lease and non-lease components, (ii) determines the consideration in the contract, (iii) determines whether the lease is an operating or finance lease; and (iv) recognizes lease ROU assets and liabilities. Lease liabilities and their corresponding ROU assets are recorded based on the present value of future lease payments over the expected lease term. The interest rate implicit in lease contracts is typically not readily determinable, and as such, the Company uses the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Most leases include options to renew or terminate the lease, which can impact the lease term. The exercise of these options is at the Company’s discretion. The Company’s lease terms may include options to extend or</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terminate the lease when it is reasonably certain that the Company will exercise such options. For any lease modification, the Company reassesses the lease classification, remeasures the related lease liability using an updated discount rate that reflects the modified lease term, and adjusts the related ROU asset under the lease modification guidance under Topic 842.</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has operating leases for its research and development and office facilities. Fixed lease payments on operating leases are recognized over the expected term of the lease on a straight-line basis. Variable lease expenses that are not considered fixed are recognized as incurred. Fixed and variable lease expense on operating leases is recognized within operating expenses within our condensed consolidated statements of operations and comprehensive loss.</w:t>
      </w:r>
    </w:p>
    <w:p>
      <w:pPr>
        <w:spacing w:after="0" w:line="17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Company elected to not apply the recognition requirements of Topic 842 to short-term leases with terms of 12 months or less. Refer to Note 9. Lease for further details.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Research and development costs are expensed as incurred. Research and development expenses consist of costs incurred to discover, research and develop product candidates. These costs are recorded within research and development expenses in the condensed consolidated statements of operations and include personnel expenses, stock-based compensation expenses, allocated general and administrative expenses, and external costs including fees paid to consultants and contract research organizations (“CROs”) and contract manufacturing organizations (“CMOs”), in connection with non-clinical studies and clinical trials, and other related clinical trial fees, such as for investigator fees, patient screening, laboratory work, clinical trial database management, clinical trial material management and statistical compilation and analysis. Non-refundable prepayments for goods or services that will be used or rendered for future research and development activities are recorded as either prepaid expenses and other current assets or other assets and long-term deposits. Such amounts are recognized as an expense as the goods are delivered or the related services are performed.</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Costs incurred in obtaining technology licenses that do not meet the definition of a business are charged immediately to research and development expense if the technology licensed has not reached technological feasibility and has no alternative future uses.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Contract Costs and Accruals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from time to time, entered into various research and development and other agreements with commercial firms, researchers, universities and others for provisions of goods and services. These agreements are generally cancelable, and the related costs are recorded as research and development expenses as incurred.</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records accruals for estimated ongoing research and development costs. When evaluating the adequacy of the accrued liabilities, the Company analyzes progress of the projects, studies or clinical trials, including the phase or completion of events, invoices received and contracted costs. Judgments and estimates are made in determining the accrued balances at the end of any reporting period. Actual results could differ materially from the Company’s estimates. The Company’s historical accrual estimates have not been materially different from the actual costs.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Internal-Use Software</w:t>
      </w:r>
    </w:p>
    <w:p>
      <w:pPr>
        <w:spacing w:after="0" w:line="22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capitalizes certain costs incurred for the development and implementation of computer software for internal use. These costs generally relate to the implementation of the third-party developed software for the Company's clinical development purposes. The Company capitalizes these costs when it is determined that it is probable that the project will be completed and the software will be used to perform the function intended, and the preliminary project stage is completed. Capitalized internal-use software development and implementation costs are included in other assets and long-term deposits within the consolidated balance sheets. Capitalized implementation costs are amortized on a straight-line basis over the estimated useful lives of five years. Costs related to the preliminary project stage, post-implementation, training and maintenance are expensed as incurred.</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Loss</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Comprehensive loss includes net loss and other comprehensive (loss) gain for each period presented. Other comprehensive (loss) gain represents net unrealized (loss) gain on marketable securities.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1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Stock-based compensation cost, including grants of stock options and restricted stock awards issued under the Company’s equity incentive plans and the Company's 2020 Employee Stock Purchase Plan (the "ESPP"), is measured at the grant date based on the estimated fair value of the award and is recognized as an expense on a straight-line basis over the requisite service period, which is generally the vesting period. Stock-based compensation cost for performance-based restricted stock unit awards issued under the Company’s equity incentive plan is measured at the grant date based on the estimated fair value of the award, which is based on the closing stock price on the grant date, and is recognized as an expense when the Company determines that it is probable that the performance goals will be achieved, which the Company assess on a quarterly basis. The Company recognizes stock compensation in accordance with Accounting Standards Codification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(“ASC 718”). The Company’s determination of the fair value of stock options with time-based vesting on the date of grant utilizes the Black-Scholes option-pricing model. The Company estimates volatility using stock prices of peer companies and its historical data, risk-free rates using the implied yield currently available on U.S. Treasury zero-coupon issues with a remaining term equal to the expected term, and dividend yield using the Company’s expectations and historical data. The Company uses the simplified method to calculate the expected term of employee stock option grants. Under the simplified method, the expected term is estimated to be the mid-point between the vesting date and the contractual term of the option. For awards with graded vesting, in which specified tranches of the options vest on different dates, the Company uses a single weighted average expected life to value the entire award, which is equal to the average of the weighted average vesting period of the award and the contractual term of the award. The amount of stock-based compensation expense recognized during a period is based on the value of the portion of the awards that are ultimately expected to vest, including awards with graded vesting. As part of the requirements of ASC 718, the Company has elected to account for forfeitures of stock option grants as they occur.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Transactions</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functional currency of Olema Oncology Australia Pty Ltd, the Company’s wholly-owned subsidiary, is the U.S. dollar. Accordingly, all monetary assets and liabilities of the subsidiary are remeasured into U.S. dollars at the current period-end exchange rates and non-monetary assets are remeasured using historical exchange rates. Income and expense elements are remeasured to U.S. dollars using the average exchange rates in effect during the period. Remeasurement gains and losses are recorded as other income (expense) on the condensed consolidated statements of operations.</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is subject to foreign currency risk with respect to its clinical and manufacturing contracts denominated in currencies other than the U.S. dollar, predominantly the Australian dollar and the Euro. Payments on contracts denominated in foreign currencies are made at the spot rate on the day of payment. Changes in the exchange rate between billing dates and payment dates are recorded within other income (expense) on the condensed consolidated statements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Pre-funded Warrants</w:t>
      </w:r>
    </w:p>
    <w:p>
      <w:pPr>
        <w:spacing w:after="0" w:line="223"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The Company issued pre-funded warrants in connection with an equity private placement in 2024 and exchange agreements in November 2024 and January 2025. The Company accounts for the pre-funded warrants as a freestanding equity-linked financial instrument that met the criteria for equity classification pursuant to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("ASC 480"), and ASC 815, </w:t>
      </w:r>
      <w:r>
        <w:rPr>
          <w:rFonts w:ascii="Arial" w:cs="Arial" w:eastAsia="Arial" w:hAnsi="Arial"/>
          <w:sz w:val="18"/>
          <w:szCs w:val="18"/>
          <w:i w:val="1"/>
          <w:iCs w:val="1"/>
          <w:color w:val="auto"/>
        </w:rPr>
        <w:t>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Hedging </w:t>
      </w:r>
      <w:r>
        <w:rPr>
          <w:rFonts w:ascii="Arial" w:cs="Arial" w:eastAsia="Arial" w:hAnsi="Arial"/>
          <w:sz w:val="18"/>
          <w:szCs w:val="18"/>
          <w:color w:val="auto"/>
        </w:rPr>
        <w:t>("ASC 815"). Accordingly, the Company recorded the pre-funded warrants as a component of stockholders' equity within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paid-in capital. The Company valued the pre-funded warrants at issuance, concluding that their sales price approximated their fair value. The pre-funded warrants are immediately exercisable at an exercise price of $0.0001 per share of the Company's common stock, subject to beneficial ownership limitations. Exercise of the pre-funded warrants is virtually assured because the underlying common shares will be issued for nominal cash consideration or at an exercise price of $0.0001 per share. All necessary conditions for issuance of the</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underlying common shares were met when the pre-funded warrants were issued, and as such, related pre-funded warrants shares were included in the denominator for both the basic and diluted earnings per share calculations. Refer to Note 12. Pre-Funded Warrants for further details.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Common Share</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Basic net loss per common share is computed by dividing the net loss per common share by the weighted average number of common shares outstanding for the period, including the pre-funded warrants shares. Diluted net loss per common share is computed by adjusting net loss to reallocate undistributed earnings based on the potential impact of dilutive securities, and by dividing the diluted net loss by the weighted average number of common shares outstanding for the period, including the pre-funded warrants shares and potential dilutive common shares. For purpose of this calculation, outstanding stock options, including unvested performance-based restricted stock unit awards and contingently issuable common stock related to the ESPP are considered potential dilutive common shares. Since the Company was in a loss position for all periods presented, basic net loss per share is the same as diluted net loss per share for all periods as the inclusion of all potential common shares outstanding would have been anti-dilutive.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Reporting</w:t>
      </w:r>
    </w:p>
    <w:p>
      <w:pPr>
        <w:spacing w:after="0" w:line="22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Company's chief operating decision maker (“CODM”), the Chief Executive Officer, manages its business activities as a single operating and reportable segment at the consolidated level. Accordingly, the Company's CODM uses consolidated net loss to measure segment loss, allocate resources and assess performance. Further, the CODM reviews and utilizes functional expenses (research and development, and general and administrative) at the consolidated level to manage the Company’s operations. Other segment items included in consolidated net loss is interest income, which is reflected in the condensed consolidated statements of operations and comprehensive loss.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22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In December 2023, the Financial Accounting Standards Board ("FASB") issued a new income tax-related accounting guidance in ASU 2023-09,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The standard requires disaggregated information about a reporting entity’s effective tax rate reconciliation as well as information on income taxes paid. For public business entities, the new requirements will be effective for annual periods beginning after December 15, 2024. The guidance will be applied on a prospective basis with the option to apply the standard retrospectively. Early adoption is permitted. The Company is currently evaluating the impact of the pending adoption of ASU 2023-09 on its consolidated financial statements and related disclosures.</w:t>
      </w:r>
    </w:p>
    <w:p>
      <w:pPr>
        <w:spacing w:after="0" w:line="179"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Fair Value Measurement</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The Company assesses the fair value of financial instruments based on the provisions of ASC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76" w:lineRule="exact"/>
        <w:rPr>
          <w:sz w:val="20"/>
          <w:szCs w:val="20"/>
          <w:color w:val="auto"/>
        </w:rPr>
      </w:pPr>
    </w:p>
    <w:p>
      <w:pPr>
        <w:ind w:left="380" w:hanging="372"/>
        <w:spacing w:after="0" w:line="270" w:lineRule="auto"/>
        <w:tabs>
          <w:tab w:leader="none" w:pos="380" w:val="left"/>
        </w:tabs>
        <w:numPr>
          <w:ilvl w:val="0"/>
          <w:numId w:val="7"/>
        </w:numPr>
        <w:rPr>
          <w:rFonts w:ascii="Times New Roman" w:cs="Times New Roman" w:eastAsia="Times New Roman" w:hAnsi="Times New Roman"/>
          <w:sz w:val="18"/>
          <w:szCs w:val="18"/>
          <w:color w:val="231F20"/>
        </w:rPr>
      </w:pPr>
      <w:r>
        <w:rPr>
          <w:rFonts w:ascii="Arial" w:cs="Arial" w:eastAsia="Arial" w:hAnsi="Arial"/>
          <w:sz w:val="18"/>
          <w:szCs w:val="18"/>
          <w:color w:val="231F20"/>
        </w:rPr>
        <w:t>Level 1 — Inputs are unadjusted quoted prices in active markets for identical assets or liabilities accessible to the reporting entity at the measurement date.</w:t>
      </w:r>
    </w:p>
    <w:p>
      <w:pPr>
        <w:spacing w:after="0" w:line="154" w:lineRule="exact"/>
        <w:rPr>
          <w:rFonts w:ascii="Times New Roman" w:cs="Times New Roman" w:eastAsia="Times New Roman" w:hAnsi="Times New Roman"/>
          <w:sz w:val="18"/>
          <w:szCs w:val="18"/>
          <w:color w:val="231F20"/>
        </w:rPr>
      </w:pPr>
    </w:p>
    <w:p>
      <w:pPr>
        <w:jc w:val="both"/>
        <w:ind w:left="380" w:hanging="372"/>
        <w:spacing w:after="0" w:line="252" w:lineRule="auto"/>
        <w:tabs>
          <w:tab w:leader="none" w:pos="380" w:val="left"/>
        </w:tabs>
        <w:numPr>
          <w:ilvl w:val="0"/>
          <w:numId w:val="7"/>
        </w:numPr>
        <w:rPr>
          <w:rFonts w:ascii="Times New Roman" w:cs="Times New Roman" w:eastAsia="Times New Roman" w:hAnsi="Times New Roman"/>
          <w:sz w:val="18"/>
          <w:szCs w:val="18"/>
          <w:color w:val="231F20"/>
        </w:rPr>
      </w:pPr>
      <w:r>
        <w:rPr>
          <w:rFonts w:ascii="Arial" w:cs="Arial" w:eastAsia="Arial" w:hAnsi="Arial"/>
          <w:sz w:val="18"/>
          <w:szCs w:val="18"/>
          <w:color w:val="231F20"/>
        </w:rPr>
        <w:t>Level 2 — 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80" w:right="20" w:hanging="372"/>
        <w:spacing w:after="0" w:line="270" w:lineRule="auto"/>
        <w:tabs>
          <w:tab w:leader="none" w:pos="380" w:val="left"/>
        </w:tabs>
        <w:numPr>
          <w:ilvl w:val="0"/>
          <w:numId w:val="8"/>
        </w:numPr>
        <w:rPr>
          <w:rFonts w:ascii="Times New Roman" w:cs="Times New Roman" w:eastAsia="Times New Roman" w:hAnsi="Times New Roman"/>
          <w:sz w:val="18"/>
          <w:szCs w:val="18"/>
          <w:color w:val="231F20"/>
        </w:rPr>
      </w:pPr>
      <w:r>
        <w:rPr>
          <w:rFonts w:ascii="Arial" w:cs="Arial" w:eastAsia="Arial" w:hAnsi="Arial"/>
          <w:sz w:val="18"/>
          <w:szCs w:val="18"/>
          <w:color w:val="231F20"/>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5020"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5020" cy="17970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September 30, 2025</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20" w:type="dxa"/>
            <w:vAlign w:val="bottom"/>
            <w:tcBorders>
              <w:bottom w:val="single" w:sz="8" w:color="auto"/>
            </w:tcBorders>
            <w:gridSpan w:val="3"/>
          </w:tcPr>
          <w:p>
            <w:pPr>
              <w:jc w:val="right"/>
              <w:ind w:right="294"/>
              <w:spacing w:after="0" w:line="155"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Borders>
              <w:bottom w:val="single" w:sz="8" w:color="auto"/>
            </w:tcBorders>
            <w:gridSpan w:val="4"/>
          </w:tcPr>
          <w:p>
            <w:pPr>
              <w:ind w:left="44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0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 w:type="dxa"/>
            <w:vAlign w:val="bottom"/>
            <w:tcBorders>
              <w:left w:val="single" w:sz="8" w:color="CFF0FC"/>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tcBorders>
              <w:lef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160"/>
              <w:spacing w:after="0" w:line="202" w:lineRule="exact"/>
              <w:rPr>
                <w:sz w:val="20"/>
                <w:szCs w:val="20"/>
                <w:color w:val="auto"/>
              </w:rPr>
            </w:pPr>
            <w:r>
              <w:rPr>
                <w:rFonts w:ascii="Arial" w:cs="Arial" w:eastAsia="Arial" w:hAnsi="Arial"/>
                <w:sz w:val="18"/>
                <w:szCs w:val="18"/>
                <w:color w:val="auto"/>
              </w:rPr>
              <w:t>Cash</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388"/>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8,937</w:t>
            </w:r>
          </w:p>
        </w:tc>
        <w:tc>
          <w:tcPr>
            <w:tcW w:w="52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2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8,937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Money market funds</w:t>
            </w:r>
          </w:p>
        </w:tc>
        <w:tc>
          <w:tcPr>
            <w:tcW w:w="10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19,477</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 w:type="dxa"/>
            <w:vAlign w:val="bottom"/>
            <w:tcBorders>
              <w:left w:val="single" w:sz="8" w:color="CFF0FC"/>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tcBorders>
              <w:left w:val="single" w:sz="8" w:color="CFF0FC"/>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19,477</w:t>
            </w:r>
          </w:p>
        </w:tc>
        <w:tc>
          <w:tcPr>
            <w:tcW w:w="120" w:type="dxa"/>
            <w:vAlign w:val="bottom"/>
            <w:tcBorders>
              <w:lef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160"/>
              <w:spacing w:after="0" w:line="202" w:lineRule="exact"/>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78,470</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78,470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Corporate bonds</w:t>
            </w:r>
          </w:p>
        </w:tc>
        <w:tc>
          <w:tcPr>
            <w:tcW w:w="10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6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52,958</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tcBorders>
              <w:left w:val="single" w:sz="8" w:color="CFF0FC"/>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52,958</w:t>
            </w:r>
          </w:p>
        </w:tc>
        <w:tc>
          <w:tcPr>
            <w:tcW w:w="120" w:type="dxa"/>
            <w:vAlign w:val="bottom"/>
            <w:tcBorders>
              <w:lef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160"/>
              <w:spacing w:after="0" w:line="202" w:lineRule="exact"/>
              <w:rPr>
                <w:sz w:val="20"/>
                <w:szCs w:val="20"/>
                <w:color w:val="auto"/>
              </w:rPr>
            </w:pPr>
            <w:r>
              <w:rPr>
                <w:rFonts w:ascii="Arial" w:cs="Arial" w:eastAsia="Arial" w:hAnsi="Arial"/>
                <w:sz w:val="18"/>
                <w:szCs w:val="18"/>
                <w:color w:val="auto"/>
              </w:rPr>
              <w:t>U.S. government treasury bills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5"/>
              </w:rPr>
              <w:t>162,296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162,296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Government-sponsored enterprise securities</w:t>
            </w:r>
          </w:p>
        </w:tc>
        <w:tc>
          <w:tcPr>
            <w:tcW w:w="100" w:type="dxa"/>
            <w:vAlign w:val="bottom"/>
            <w:tcBorders>
              <w:bottom w:val="single" w:sz="8" w:color="CFF0FC"/>
              <w:right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6,933</w:t>
            </w:r>
          </w:p>
        </w:tc>
        <w:tc>
          <w:tcPr>
            <w:tcW w:w="1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220" w:type="dxa"/>
            <w:vAlign w:val="bottom"/>
            <w:tcBorders>
              <w:left w:val="single" w:sz="8" w:color="CFF0FC"/>
              <w:bottom w:val="single" w:sz="8" w:color="auto"/>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6,933</w:t>
            </w:r>
          </w:p>
        </w:tc>
        <w:tc>
          <w:tcPr>
            <w:tcW w:w="120" w:type="dxa"/>
            <w:vAlign w:val="bottom"/>
            <w:tcBorders>
              <w:left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388"/>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5"/>
              </w:rPr>
              <w:t>190,710</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center"/>
              <w:ind w:right="39"/>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138,361</w:t>
            </w:r>
          </w:p>
        </w:tc>
        <w:tc>
          <w:tcPr>
            <w:tcW w:w="120" w:type="dxa"/>
            <w:vAlign w:val="bottom"/>
          </w:tcPr>
          <w:p>
            <w:pPr>
              <w:spacing w:after="0"/>
              <w:rPr>
                <w:sz w:val="17"/>
                <w:szCs w:val="17"/>
                <w:color w:val="auto"/>
              </w:rPr>
            </w:pPr>
          </w:p>
        </w:tc>
        <w:tc>
          <w:tcPr>
            <w:tcW w:w="7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329,071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8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5"/>
          </w:tcPr>
          <w:p>
            <w:pPr>
              <w:ind w:left="380"/>
              <w:spacing w:after="0" w:line="155" w:lineRule="exact"/>
              <w:rPr>
                <w:sz w:val="20"/>
                <w:szCs w:val="20"/>
                <w:color w:val="auto"/>
              </w:rPr>
            </w:pPr>
            <w:r>
              <w:rPr>
                <w:rFonts w:ascii="Arial" w:cs="Arial" w:eastAsia="Arial" w:hAnsi="Arial"/>
                <w:sz w:val="14"/>
                <w:szCs w:val="14"/>
                <w:b w:val="1"/>
                <w:bCs w:val="1"/>
                <w:color w:val="auto"/>
              </w:rPr>
              <w:t>December 31, 2024</w:t>
            </w: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20" w:type="dxa"/>
            <w:vAlign w:val="bottom"/>
            <w:tcBorders>
              <w:bottom w:val="single" w:sz="8" w:color="auto"/>
            </w:tcBorders>
            <w:gridSpan w:val="3"/>
          </w:tcPr>
          <w:p>
            <w:pPr>
              <w:jc w:val="right"/>
              <w:ind w:right="294"/>
              <w:spacing w:after="0" w:line="155"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Borders>
              <w:bottom w:val="single" w:sz="8" w:color="auto"/>
            </w:tcBorders>
            <w:gridSpan w:val="4"/>
          </w:tcPr>
          <w:p>
            <w:pPr>
              <w:ind w:left="44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0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 w:type="dxa"/>
            <w:vAlign w:val="bottom"/>
            <w:tcBorders>
              <w:left w:val="single" w:sz="8" w:color="CFF0FC"/>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tcBorders>
              <w:lef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160"/>
              <w:spacing w:after="0" w:line="202" w:lineRule="exact"/>
              <w:rPr>
                <w:sz w:val="20"/>
                <w:szCs w:val="20"/>
                <w:color w:val="auto"/>
              </w:rPr>
            </w:pPr>
            <w:r>
              <w:rPr>
                <w:rFonts w:ascii="Arial" w:cs="Arial" w:eastAsia="Arial" w:hAnsi="Arial"/>
                <w:sz w:val="18"/>
                <w:szCs w:val="18"/>
                <w:color w:val="auto"/>
              </w:rPr>
              <w:t>Cash</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388"/>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6,489</w:t>
            </w:r>
          </w:p>
        </w:tc>
        <w:tc>
          <w:tcPr>
            <w:tcW w:w="52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2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6,489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Money market funds</w:t>
            </w:r>
          </w:p>
        </w:tc>
        <w:tc>
          <w:tcPr>
            <w:tcW w:w="10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95"/>
              </w:rPr>
              <w:t>118,955</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 w:type="dxa"/>
            <w:vAlign w:val="bottom"/>
            <w:tcBorders>
              <w:left w:val="single" w:sz="8" w:color="CFF0FC"/>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tcBorders>
              <w:left w:val="single" w:sz="8" w:color="CFF0FC"/>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118,955</w:t>
            </w:r>
          </w:p>
        </w:tc>
        <w:tc>
          <w:tcPr>
            <w:tcW w:w="120" w:type="dxa"/>
            <w:vAlign w:val="bottom"/>
            <w:tcBorders>
              <w:lef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160"/>
              <w:spacing w:after="0" w:line="202" w:lineRule="exact"/>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109,432</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109,432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Corporate bonds</w:t>
            </w:r>
          </w:p>
        </w:tc>
        <w:tc>
          <w:tcPr>
            <w:tcW w:w="10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6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43,409</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43,409</w:t>
            </w:r>
          </w:p>
        </w:tc>
        <w:tc>
          <w:tcPr>
            <w:tcW w:w="120" w:type="dxa"/>
            <w:vAlign w:val="bottom"/>
            <w:tcBorders>
              <w:lef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160"/>
              <w:spacing w:after="0" w:line="202" w:lineRule="exact"/>
              <w:rPr>
                <w:sz w:val="20"/>
                <w:szCs w:val="20"/>
                <w:color w:val="auto"/>
              </w:rPr>
            </w:pPr>
            <w:r>
              <w:rPr>
                <w:rFonts w:ascii="Arial" w:cs="Arial" w:eastAsia="Arial" w:hAnsi="Arial"/>
                <w:sz w:val="18"/>
                <w:szCs w:val="18"/>
                <w:color w:val="auto"/>
              </w:rPr>
              <w:t>U.S. government treasury bills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5"/>
              </w:rPr>
              <w:t>144,741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144,741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Government-sponsored enterprise securities</w:t>
            </w:r>
          </w:p>
        </w:tc>
        <w:tc>
          <w:tcPr>
            <w:tcW w:w="100" w:type="dxa"/>
            <w:vAlign w:val="bottom"/>
            <w:tcBorders>
              <w:bottom w:val="single" w:sz="8" w:color="CFF0FC"/>
              <w:right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11,714</w:t>
            </w:r>
          </w:p>
        </w:tc>
        <w:tc>
          <w:tcPr>
            <w:tcW w:w="1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220" w:type="dxa"/>
            <w:vAlign w:val="bottom"/>
            <w:tcBorders>
              <w:left w:val="single" w:sz="8" w:color="CFF0FC"/>
              <w:bottom w:val="single" w:sz="8" w:color="auto"/>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11,714</w:t>
            </w:r>
          </w:p>
        </w:tc>
        <w:tc>
          <w:tcPr>
            <w:tcW w:w="120" w:type="dxa"/>
            <w:vAlign w:val="bottom"/>
            <w:tcBorders>
              <w:left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388"/>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5"/>
              </w:rPr>
              <w:t>270,185</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center"/>
              <w:ind w:right="39"/>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164,555</w:t>
            </w:r>
          </w:p>
        </w:tc>
        <w:tc>
          <w:tcPr>
            <w:tcW w:w="120" w:type="dxa"/>
            <w:vAlign w:val="bottom"/>
          </w:tcPr>
          <w:p>
            <w:pPr>
              <w:spacing w:after="0"/>
              <w:rPr>
                <w:sz w:val="17"/>
                <w:szCs w:val="17"/>
                <w:color w:val="auto"/>
              </w:rPr>
            </w:pPr>
          </w:p>
        </w:tc>
        <w:tc>
          <w:tcPr>
            <w:tcW w:w="7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434,740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4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6"/>
          </w:tcPr>
          <w:p>
            <w:pPr>
              <w:ind w:left="300"/>
              <w:spacing w:after="0" w:line="155" w:lineRule="exact"/>
              <w:rPr>
                <w:sz w:val="20"/>
                <w:szCs w:val="20"/>
                <w:color w:val="auto"/>
              </w:rPr>
            </w:pPr>
            <w:r>
              <w:rPr>
                <w:rFonts w:ascii="Arial" w:cs="Arial" w:eastAsia="Arial" w:hAnsi="Arial"/>
                <w:sz w:val="14"/>
                <w:szCs w:val="14"/>
                <w:b w:val="1"/>
                <w:bCs w:val="1"/>
                <w:color w:val="auto"/>
              </w:rPr>
              <w:t>September 30, 2025</w:t>
            </w: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Gross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ind w:left="160"/>
              <w:spacing w:after="0" w:line="147" w:lineRule="exact"/>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4"/>
                <w:szCs w:val="14"/>
                <w:color w:val="auto"/>
              </w:rPr>
            </w:pPr>
          </w:p>
        </w:tc>
        <w:tc>
          <w:tcPr>
            <w:tcW w:w="16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Unrealized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4"/>
                <w:szCs w:val="14"/>
                <w:b w:val="1"/>
                <w:bCs w:val="1"/>
                <w:color w:val="auto"/>
              </w:rPr>
              <w:t>Unrealized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1"/>
        </w:trPr>
        <w:tc>
          <w:tcPr>
            <w:tcW w:w="48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128"/>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auto"/>
              </w:rPr>
              <w:t>Gains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ind w:left="120"/>
              <w:spacing w:after="0"/>
              <w:rPr>
                <w:sz w:val="20"/>
                <w:szCs w:val="20"/>
                <w:color w:val="auto"/>
              </w:rPr>
            </w:pPr>
            <w:r>
              <w:rPr>
                <w:rFonts w:ascii="Arial" w:cs="Arial" w:eastAsia="Arial" w:hAnsi="Arial"/>
                <w:sz w:val="14"/>
                <w:szCs w:val="14"/>
                <w:b w:val="1"/>
                <w:bCs w:val="1"/>
                <w:color w:val="auto"/>
              </w:rPr>
              <w:t>Losses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48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00" w:type="dxa"/>
            <w:vAlign w:val="bottom"/>
            <w:tcBorders>
              <w:right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20" w:type="dxa"/>
            <w:vAlign w:val="bottom"/>
            <w:tcBorders>
              <w:left w:val="single" w:sz="8" w:color="CFF0FC"/>
              <w:right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4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20" w:type="dxa"/>
            <w:vAlign w:val="bottom"/>
            <w:tcBorders>
              <w:lef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140"/>
              <w:spacing w:after="0" w:line="202" w:lineRule="exact"/>
              <w:rPr>
                <w:sz w:val="20"/>
                <w:szCs w:val="20"/>
                <w:color w:val="auto"/>
              </w:rPr>
            </w:pPr>
            <w:r>
              <w:rPr>
                <w:rFonts w:ascii="Arial" w:cs="Arial" w:eastAsia="Arial" w:hAnsi="Arial"/>
                <w:sz w:val="18"/>
                <w:szCs w:val="18"/>
                <w:color w:val="auto"/>
              </w:rPr>
              <w:t>Cash and cash equivalents</w:t>
            </w:r>
          </w:p>
        </w:tc>
        <w:tc>
          <w:tcPr>
            <w:tcW w:w="320" w:type="dxa"/>
            <w:vAlign w:val="bottom"/>
            <w:gridSpan w:val="2"/>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35,370</w:t>
            </w:r>
          </w:p>
        </w:tc>
        <w:tc>
          <w:tcPr>
            <w:tcW w:w="660" w:type="dxa"/>
            <w:vAlign w:val="bottom"/>
            <w:gridSpan w:val="2"/>
          </w:tcPr>
          <w:p>
            <w:pPr>
              <w:jc w:val="right"/>
              <w:ind w:right="234"/>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35,371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Short-term marketable securities (&lt;12 months to maturity)</w:t>
            </w:r>
          </w:p>
        </w:tc>
        <w:tc>
          <w:tcPr>
            <w:tcW w:w="10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238,328</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290</w:t>
            </w:r>
          </w:p>
        </w:tc>
        <w:tc>
          <w:tcPr>
            <w:tcW w:w="120" w:type="dxa"/>
            <w:vAlign w:val="bottom"/>
            <w:tcBorders>
              <w:left w:val="single" w:sz="8" w:color="CFF0FC"/>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20" w:type="dxa"/>
            <w:vAlign w:val="bottom"/>
            <w:tcBorders>
              <w:right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(10)</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238,608</w:t>
            </w:r>
          </w:p>
        </w:tc>
        <w:tc>
          <w:tcPr>
            <w:tcW w:w="120" w:type="dxa"/>
            <w:vAlign w:val="bottom"/>
            <w:tcBorders>
              <w:lef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140"/>
              <w:spacing w:after="0" w:line="202" w:lineRule="exact"/>
              <w:rPr>
                <w:sz w:val="20"/>
                <w:szCs w:val="20"/>
                <w:color w:val="auto"/>
              </w:rPr>
            </w:pPr>
            <w:r>
              <w:rPr>
                <w:rFonts w:ascii="Arial" w:cs="Arial" w:eastAsia="Arial" w:hAnsi="Arial"/>
                <w:sz w:val="18"/>
                <w:szCs w:val="18"/>
                <w:color w:val="auto"/>
              </w:rPr>
              <w:t>Long-term marketable securities (&gt;12 months to maturity)</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54,847</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247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55,092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0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color w:val="auto"/>
              </w:rPr>
              <w:t>Total</w:t>
            </w:r>
          </w:p>
        </w:tc>
        <w:tc>
          <w:tcPr>
            <w:tcW w:w="100" w:type="dxa"/>
            <w:vAlign w:val="bottom"/>
            <w:tcBorders>
              <w:right w:val="single" w:sz="8" w:color="CFF0FC"/>
            </w:tcBorders>
            <w:shd w:val="clear" w:color="auto" w:fill="CFF0FC"/>
          </w:tcPr>
          <w:p>
            <w:pPr>
              <w:spacing w:after="0"/>
              <w:rPr>
                <w:sz w:val="20"/>
                <w:szCs w:val="20"/>
                <w:color w:val="auto"/>
              </w:rPr>
            </w:pPr>
          </w:p>
        </w:tc>
        <w:tc>
          <w:tcPr>
            <w:tcW w:w="220" w:type="dxa"/>
            <w:vAlign w:val="bottom"/>
            <w:shd w:val="clear" w:color="auto" w:fill="CFF0FC"/>
          </w:tcPr>
          <w:p>
            <w:pPr>
              <w:jc w:val="right"/>
              <w:ind w:right="38"/>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328,545</w:t>
            </w: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234"/>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538</w:t>
            </w:r>
          </w:p>
        </w:tc>
        <w:tc>
          <w:tcPr>
            <w:tcW w:w="120" w:type="dxa"/>
            <w:vAlign w:val="bottom"/>
            <w:tcBorders>
              <w:left w:val="single" w:sz="8" w:color="CFF0FC"/>
              <w:right w:val="single" w:sz="8" w:color="CFF0FC"/>
            </w:tcBorders>
            <w:shd w:val="clear" w:color="auto" w:fill="CFF0FC"/>
          </w:tcPr>
          <w:p>
            <w:pPr>
              <w:spacing w:after="0"/>
              <w:rPr>
                <w:sz w:val="20"/>
                <w:szCs w:val="20"/>
                <w:color w:val="auto"/>
              </w:rPr>
            </w:pPr>
          </w:p>
        </w:tc>
        <w:tc>
          <w:tcPr>
            <w:tcW w:w="3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420" w:type="dxa"/>
            <w:vAlign w:val="bottom"/>
            <w:tcBorders>
              <w:right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(12)</w:t>
            </w:r>
          </w:p>
        </w:tc>
        <w:tc>
          <w:tcPr>
            <w:tcW w:w="8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329,071</w:t>
            </w:r>
          </w:p>
        </w:tc>
        <w:tc>
          <w:tcPr>
            <w:tcW w:w="120" w:type="dxa"/>
            <w:vAlign w:val="bottom"/>
            <w:tcBorders>
              <w:left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CFF0FC"/>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2"/>
          </w:tcPr>
          <w:p>
            <w:pPr>
              <w:spacing w:after="0"/>
              <w:rPr>
                <w:sz w:val="18"/>
                <w:szCs w:val="18"/>
                <w:color w:val="auto"/>
              </w:rPr>
            </w:pPr>
          </w:p>
        </w:tc>
        <w:tc>
          <w:tcPr>
            <w:tcW w:w="120" w:type="dxa"/>
            <w:vAlign w:val="bottom"/>
            <w:tcBorders>
              <w:top w:val="single" w:sz="8" w:color="CFF0FC"/>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gridSpan w:val="3"/>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FF0FC"/>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6"/>
          </w:tcPr>
          <w:p>
            <w:pPr>
              <w:ind w:left="320"/>
              <w:spacing w:after="0" w:line="155" w:lineRule="exact"/>
              <w:rPr>
                <w:sz w:val="20"/>
                <w:szCs w:val="20"/>
                <w:color w:val="auto"/>
              </w:rPr>
            </w:pPr>
            <w:r>
              <w:rPr>
                <w:rFonts w:ascii="Arial" w:cs="Arial" w:eastAsia="Arial" w:hAnsi="Arial"/>
                <w:sz w:val="14"/>
                <w:szCs w:val="14"/>
                <w:b w:val="1"/>
                <w:bCs w:val="1"/>
                <w:color w:val="auto"/>
              </w:rPr>
              <w:t>December 31, 2024</w:t>
            </w: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Gross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188"/>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4"/>
                <w:szCs w:val="14"/>
                <w:color w:val="auto"/>
              </w:rPr>
            </w:pPr>
          </w:p>
        </w:tc>
        <w:tc>
          <w:tcPr>
            <w:tcW w:w="1620" w:type="dxa"/>
            <w:vAlign w:val="bottom"/>
            <w:gridSpan w:val="5"/>
          </w:tcPr>
          <w:p>
            <w:pPr>
              <w:jc w:val="center"/>
              <w:spacing w:after="0"/>
              <w:rPr>
                <w:sz w:val="20"/>
                <w:szCs w:val="20"/>
                <w:color w:val="auto"/>
              </w:rPr>
            </w:pPr>
            <w:r>
              <w:rPr>
                <w:rFonts w:ascii="Arial" w:cs="Arial" w:eastAsia="Arial" w:hAnsi="Arial"/>
                <w:sz w:val="14"/>
                <w:szCs w:val="14"/>
                <w:b w:val="1"/>
                <w:bCs w:val="1"/>
                <w:color w:val="auto"/>
              </w:rPr>
              <w:t>Unrealized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Unrealized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1"/>
        </w:trPr>
        <w:tc>
          <w:tcPr>
            <w:tcW w:w="48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gridSpan w:val="2"/>
          </w:tcPr>
          <w:p>
            <w:pPr>
              <w:jc w:val="center"/>
              <w:ind w:left="2"/>
              <w:spacing w:after="0"/>
              <w:rPr>
                <w:sz w:val="20"/>
                <w:szCs w:val="20"/>
                <w:color w:val="auto"/>
              </w:rPr>
            </w:pPr>
            <w:r>
              <w:rPr>
                <w:rFonts w:ascii="Arial" w:cs="Arial" w:eastAsia="Arial" w:hAnsi="Arial"/>
                <w:sz w:val="14"/>
                <w:szCs w:val="14"/>
                <w:b w:val="1"/>
                <w:bCs w:val="1"/>
                <w:color w:val="auto"/>
              </w:rPr>
              <w:t>Gains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Losses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48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00" w:type="dxa"/>
            <w:vAlign w:val="bottom"/>
            <w:tcBorders>
              <w:right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20" w:type="dxa"/>
            <w:vAlign w:val="bottom"/>
            <w:tcBorders>
              <w:left w:val="single" w:sz="8" w:color="CFF0FC"/>
              <w:right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4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20" w:type="dxa"/>
            <w:vAlign w:val="bottom"/>
            <w:tcBorders>
              <w:lef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120"/>
              <w:spacing w:after="0" w:line="202" w:lineRule="exact"/>
              <w:rPr>
                <w:sz w:val="20"/>
                <w:szCs w:val="20"/>
                <w:color w:val="auto"/>
              </w:rPr>
            </w:pPr>
            <w:r>
              <w:rPr>
                <w:rFonts w:ascii="Arial" w:cs="Arial" w:eastAsia="Arial" w:hAnsi="Arial"/>
                <w:sz w:val="18"/>
                <w:szCs w:val="18"/>
                <w:color w:val="auto"/>
              </w:rPr>
              <w:t>Cash and cash equivalents</w:t>
            </w:r>
          </w:p>
        </w:tc>
        <w:tc>
          <w:tcPr>
            <w:tcW w:w="320" w:type="dxa"/>
            <w:vAlign w:val="bottom"/>
            <w:gridSpan w:val="2"/>
          </w:tcPr>
          <w:p>
            <w:pPr>
              <w:jc w:val="right"/>
              <w:ind w:right="58"/>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142,706</w:t>
            </w:r>
          </w:p>
        </w:tc>
        <w:tc>
          <w:tcPr>
            <w:tcW w:w="660" w:type="dxa"/>
            <w:vAlign w:val="bottom"/>
            <w:gridSpan w:val="2"/>
          </w:tcPr>
          <w:p>
            <w:pPr>
              <w:jc w:val="right"/>
              <w:ind w:right="194"/>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142,710</w:t>
            </w:r>
          </w:p>
        </w:tc>
        <w:tc>
          <w:tcPr>
            <w:tcW w:w="0" w:type="dxa"/>
            <w:vAlign w:val="bottom"/>
          </w:tcPr>
          <w:p>
            <w:pPr>
              <w:spacing w:after="0"/>
              <w:rPr>
                <w:sz w:val="1"/>
                <w:szCs w:val="1"/>
                <w:color w:val="auto"/>
              </w:rPr>
            </w:pPr>
          </w:p>
        </w:tc>
      </w:tr>
      <w:tr>
        <w:trPr>
          <w:trHeight w:val="184"/>
        </w:trPr>
        <w:tc>
          <w:tcPr>
            <w:tcW w:w="4800" w:type="dxa"/>
            <w:vAlign w:val="bottom"/>
            <w:shd w:val="clear" w:color="auto" w:fill="CFF0FC"/>
          </w:tcPr>
          <w:p>
            <w:pPr>
              <w:ind w:left="120"/>
              <w:spacing w:after="0" w:line="183" w:lineRule="exact"/>
              <w:rPr>
                <w:sz w:val="20"/>
                <w:szCs w:val="20"/>
                <w:color w:val="auto"/>
              </w:rPr>
            </w:pPr>
            <w:r>
              <w:rPr>
                <w:rFonts w:ascii="Arial" w:cs="Arial" w:eastAsia="Arial" w:hAnsi="Arial"/>
                <w:sz w:val="18"/>
                <w:szCs w:val="18"/>
                <w:color w:val="auto"/>
              </w:rPr>
              <w:t>Short-term marketable securities (&lt;12 months to</w:t>
            </w:r>
          </w:p>
        </w:tc>
        <w:tc>
          <w:tcPr>
            <w:tcW w:w="100" w:type="dxa"/>
            <w:vAlign w:val="bottom"/>
            <w:tcBorders>
              <w:right w:val="single" w:sz="8" w:color="CFF0FC"/>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20" w:type="dxa"/>
            <w:vAlign w:val="bottom"/>
            <w:tcBorders>
              <w:left w:val="single" w:sz="8" w:color="CFF0FC"/>
              <w:righ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tcBorders>
              <w:left w:val="single" w:sz="8" w:color="CFF0FC"/>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tcBorders>
              <w:lef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maturity)</w:t>
            </w:r>
          </w:p>
        </w:tc>
        <w:tc>
          <w:tcPr>
            <w:tcW w:w="10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219,062</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185</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219,190</w:t>
            </w:r>
          </w:p>
        </w:tc>
        <w:tc>
          <w:tcPr>
            <w:tcW w:w="0" w:type="dxa"/>
            <w:vAlign w:val="bottom"/>
          </w:tcPr>
          <w:p>
            <w:pPr>
              <w:spacing w:after="0"/>
              <w:rPr>
                <w:sz w:val="1"/>
                <w:szCs w:val="1"/>
                <w:color w:val="auto"/>
              </w:rPr>
            </w:pPr>
          </w:p>
        </w:tc>
      </w:tr>
      <w:tr>
        <w:trPr>
          <w:trHeight w:val="203"/>
        </w:trPr>
        <w:tc>
          <w:tcPr>
            <w:tcW w:w="4800" w:type="dxa"/>
            <w:vAlign w:val="bottom"/>
          </w:tcPr>
          <w:p>
            <w:pPr>
              <w:ind w:left="120"/>
              <w:spacing w:after="0" w:line="202" w:lineRule="exact"/>
              <w:rPr>
                <w:sz w:val="20"/>
                <w:szCs w:val="20"/>
                <w:color w:val="auto"/>
              </w:rPr>
            </w:pPr>
            <w:r>
              <w:rPr>
                <w:rFonts w:ascii="Arial" w:cs="Arial" w:eastAsia="Arial" w:hAnsi="Arial"/>
                <w:sz w:val="18"/>
                <w:szCs w:val="18"/>
                <w:color w:val="auto"/>
              </w:rPr>
              <w:t>Long-term marketable securities (&gt;12 months to maturity)</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72,829</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72,840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0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Total</w:t>
            </w:r>
          </w:p>
        </w:tc>
        <w:tc>
          <w:tcPr>
            <w:tcW w:w="1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jc w:val="right"/>
              <w:ind w:right="58"/>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434,597</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194"/>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242</w:t>
            </w:r>
          </w:p>
        </w:tc>
        <w:tc>
          <w:tcPr>
            <w:tcW w:w="120" w:type="dxa"/>
            <w:vAlign w:val="bottom"/>
            <w:tcBorders>
              <w:left w:val="single" w:sz="8" w:color="CFF0FC"/>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20" w:type="dxa"/>
            <w:vAlign w:val="bottom"/>
            <w:tcBorders>
              <w:right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(99)</w:t>
            </w:r>
          </w:p>
        </w:tc>
        <w:tc>
          <w:tcPr>
            <w:tcW w:w="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434,740</w:t>
            </w:r>
          </w:p>
        </w:tc>
        <w:tc>
          <w:tcPr>
            <w:tcW w:w="0" w:type="dxa"/>
            <w:vAlign w:val="bottom"/>
          </w:tcPr>
          <w:p>
            <w:pPr>
              <w:spacing w:after="0"/>
              <w:rPr>
                <w:sz w:val="1"/>
                <w:szCs w:val="1"/>
                <w:color w:val="auto"/>
              </w:rPr>
            </w:pPr>
          </w:p>
        </w:tc>
      </w:tr>
      <w:tr>
        <w:trPr>
          <w:trHeight w:val="20"/>
        </w:trPr>
        <w:tc>
          <w:tcPr>
            <w:tcW w:w="4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-4276725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-4276725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-4276725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-4276725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-3972560</wp:posOffset>
            </wp:positionV>
            <wp:extent cx="9398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-2828290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-2828290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-2828290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-2515235</wp:posOffset>
            </wp:positionV>
            <wp:extent cx="10287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870" cy="14541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-1413510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-1396365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-1413510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-1396365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-1413510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-1396365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-1413510</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-1396365</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-1254760</wp:posOffset>
            </wp:positionV>
            <wp:extent cx="9398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-24765</wp:posOffset>
            </wp:positionV>
            <wp:extent cx="768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-7620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considers its marketable securities with maturities beyond one year as current assets, based on their highly liquid nature and because such marketable securities represent the investment of cash that is available for current operations. The Company considers its investment portfolio of marketable securities to be available-for-sale.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periodically reviews its available-for-sale marketable securities for other-than-temporary impairment. The Company considers factors such as the duration, severity and the reason for the decline in value, the potential recovery period and its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were no marketable securities that had been in a consecutive loss position for more than 12 months as of September 30, 2025. During the three and nine months ended September 30, 2025, the Company did not recognize any other-than-temporary impairment loss. As of September 30, 2025, there was no allowance for losses on available-for-sale debt securities attributable to credit risk.</w:t>
      </w:r>
    </w:p>
    <w:p>
      <w:pPr>
        <w:spacing w:after="0" w:line="16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As of September 30, 2025, all of the Company’s cash and cash equivalents primarily consisted of cash on deposit with U.S. banks denominated in U.S. dollars and Australian dollars, and investments in interest-bearing money market funds.</w:t>
      </w:r>
    </w:p>
    <w:p>
      <w:pPr>
        <w:spacing w:after="0" w:line="154"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Prepaid Expenses and Other Current Assets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240" w:type="dxa"/>
            <w:vAlign w:val="bottom"/>
            <w:tcBorders>
              <w:top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1400" w:type="dxa"/>
            <w:vAlign w:val="bottom"/>
            <w:tcBorders>
              <w:bottom w:val="single" w:sz="8" w:color="auto"/>
            </w:tcBorders>
            <w:gridSpan w:val="3"/>
          </w:tcPr>
          <w:p>
            <w:pPr>
              <w:jc w:val="right"/>
              <w:ind w:right="30"/>
              <w:spacing w:after="0" w:line="155" w:lineRule="exact"/>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96"/>
        </w:trPr>
        <w:tc>
          <w:tcPr>
            <w:tcW w:w="80" w:type="dxa"/>
            <w:vAlign w:val="bottom"/>
          </w:tcPr>
          <w:p>
            <w:pPr>
              <w:spacing w:after="0"/>
              <w:rPr>
                <w:sz w:val="17"/>
                <w:szCs w:val="17"/>
                <w:color w:val="auto"/>
              </w:rPr>
            </w:pPr>
          </w:p>
        </w:tc>
        <w:tc>
          <w:tcPr>
            <w:tcW w:w="6300" w:type="dxa"/>
            <w:vAlign w:val="bottom"/>
            <w:gridSpan w:val="3"/>
            <w:shd w:val="clear" w:color="auto" w:fill="CFF0FC"/>
          </w:tcPr>
          <w:p>
            <w:pPr>
              <w:spacing w:after="0" w:line="196" w:lineRule="exact"/>
              <w:rPr>
                <w:sz w:val="20"/>
                <w:szCs w:val="20"/>
                <w:color w:val="auto"/>
              </w:rPr>
            </w:pPr>
            <w:r>
              <w:rPr>
                <w:rFonts w:ascii="Arial" w:cs="Arial" w:eastAsia="Arial" w:hAnsi="Arial"/>
                <w:sz w:val="18"/>
                <w:szCs w:val="18"/>
                <w:color w:val="auto"/>
              </w:rPr>
              <w:t>Interest receivable</w:t>
            </w:r>
          </w:p>
        </w:tc>
        <w:tc>
          <w:tcPr>
            <w:tcW w:w="1180" w:type="dxa"/>
            <w:vAlign w:val="bottom"/>
            <w:gridSpan w:val="2"/>
            <w:shd w:val="clear" w:color="auto" w:fill="CFF0FC"/>
          </w:tcPr>
          <w:p>
            <w:pPr>
              <w:jc w:val="right"/>
              <w:ind w:right="668"/>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2,052</w:t>
            </w:r>
          </w:p>
        </w:tc>
        <w:tc>
          <w:tcPr>
            <w:tcW w:w="800" w:type="dxa"/>
            <w:vAlign w:val="bottom"/>
            <w:gridSpan w:val="6"/>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2,120</w:t>
            </w:r>
          </w:p>
        </w:tc>
        <w:tc>
          <w:tcPr>
            <w:tcW w:w="100" w:type="dxa"/>
            <w:vAlign w:val="bottom"/>
            <w:tcBorders>
              <w:left w:val="single" w:sz="8" w:color="CFF0FC"/>
            </w:tcBorders>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6300" w:type="dxa"/>
            <w:vAlign w:val="bottom"/>
            <w:gridSpan w:val="3"/>
          </w:tcPr>
          <w:p>
            <w:pPr>
              <w:spacing w:after="0" w:line="202" w:lineRule="exact"/>
              <w:rPr>
                <w:sz w:val="20"/>
                <w:szCs w:val="20"/>
                <w:color w:val="auto"/>
              </w:rPr>
            </w:pPr>
            <w:r>
              <w:rPr>
                <w:rFonts w:ascii="Arial" w:cs="Arial" w:eastAsia="Arial" w:hAnsi="Arial"/>
                <w:sz w:val="18"/>
                <w:szCs w:val="18"/>
                <w:color w:val="auto"/>
              </w:rPr>
              <w:t>Prepaid subscriptions and licenses</w:t>
            </w: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1,339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728</w:t>
            </w:r>
          </w:p>
        </w:tc>
        <w:tc>
          <w:tcPr>
            <w:tcW w:w="10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630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Value added tax receivable</w:t>
            </w:r>
          </w:p>
        </w:tc>
        <w:tc>
          <w:tcPr>
            <w:tcW w:w="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919</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left w:val="single" w:sz="8" w:color="CFF0FC"/>
            </w:tcBorders>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6300" w:type="dxa"/>
            <w:vAlign w:val="bottom"/>
            <w:gridSpan w:val="3"/>
          </w:tcPr>
          <w:p>
            <w:pPr>
              <w:spacing w:after="0" w:line="202" w:lineRule="exact"/>
              <w:rPr>
                <w:sz w:val="20"/>
                <w:szCs w:val="20"/>
                <w:color w:val="auto"/>
              </w:rPr>
            </w:pPr>
            <w:r>
              <w:rPr>
                <w:rFonts w:ascii="Arial" w:cs="Arial" w:eastAsia="Arial" w:hAnsi="Arial"/>
                <w:sz w:val="18"/>
                <w:szCs w:val="18"/>
                <w:color w:val="auto"/>
              </w:rPr>
              <w:t>Prepaid insurance</w:t>
            </w: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288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1,033</w:t>
            </w:r>
          </w:p>
        </w:tc>
        <w:tc>
          <w:tcPr>
            <w:tcW w:w="10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630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Prepaid clinical development costs</w:t>
            </w:r>
          </w:p>
        </w:tc>
        <w:tc>
          <w:tcPr>
            <w:tcW w:w="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194</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140</w:t>
            </w:r>
          </w:p>
        </w:tc>
        <w:tc>
          <w:tcPr>
            <w:tcW w:w="100" w:type="dxa"/>
            <w:vAlign w:val="bottom"/>
            <w:tcBorders>
              <w:left w:val="single" w:sz="8" w:color="CFF0FC"/>
            </w:tcBorders>
          </w:tcPr>
          <w:p>
            <w:pPr>
              <w:spacing w:after="0"/>
              <w:rPr>
                <w:sz w:val="17"/>
                <w:szCs w:val="17"/>
                <w:color w:val="auto"/>
              </w:rPr>
            </w:pPr>
          </w:p>
        </w:tc>
      </w:tr>
      <w:tr>
        <w:trPr>
          <w:trHeight w:val="202"/>
        </w:trPr>
        <w:tc>
          <w:tcPr>
            <w:tcW w:w="80" w:type="dxa"/>
            <w:vAlign w:val="bottom"/>
          </w:tcPr>
          <w:p>
            <w:pPr>
              <w:spacing w:after="0"/>
              <w:rPr>
                <w:sz w:val="17"/>
                <w:szCs w:val="17"/>
                <w:color w:val="auto"/>
              </w:rPr>
            </w:pPr>
          </w:p>
        </w:tc>
        <w:tc>
          <w:tcPr>
            <w:tcW w:w="6300" w:type="dxa"/>
            <w:vAlign w:val="bottom"/>
            <w:gridSpan w:val="3"/>
          </w:tcPr>
          <w:p>
            <w:pPr>
              <w:spacing w:after="0" w:line="202" w:lineRule="exact"/>
              <w:rPr>
                <w:sz w:val="20"/>
                <w:szCs w:val="20"/>
                <w:color w:val="auto"/>
              </w:rPr>
            </w:pPr>
            <w:r>
              <w:rPr>
                <w:rFonts w:ascii="Arial" w:cs="Arial" w:eastAsia="Arial" w:hAnsi="Arial"/>
                <w:sz w:val="18"/>
                <w:szCs w:val="18"/>
                <w:color w:val="auto"/>
              </w:rPr>
              <w:t>Other</w:t>
            </w:r>
          </w:p>
        </w:tc>
        <w:tc>
          <w:tcPr>
            <w:tcW w:w="60" w:type="dxa"/>
            <w:vAlign w:val="bottom"/>
            <w:tcBorders>
              <w:bottom w:val="single" w:sz="8" w:color="231F20"/>
            </w:tcBorders>
          </w:tcPr>
          <w:p>
            <w:pPr>
              <w:spacing w:after="0"/>
              <w:rPr>
                <w:sz w:val="17"/>
                <w:szCs w:val="17"/>
                <w:color w:val="auto"/>
              </w:rPr>
            </w:pPr>
          </w:p>
        </w:tc>
        <w:tc>
          <w:tcPr>
            <w:tcW w:w="1120" w:type="dxa"/>
            <w:vAlign w:val="bottom"/>
            <w:tcBorders>
              <w:bottom w:val="single" w:sz="8" w:color="231F20"/>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280" w:type="dxa"/>
            <w:vAlign w:val="bottom"/>
            <w:tcBorders>
              <w:bottom w:val="single" w:sz="8" w:color="231F20"/>
            </w:tcBorders>
          </w:tcPr>
          <w:p>
            <w:pPr>
              <w:spacing w:after="0"/>
              <w:rPr>
                <w:sz w:val="17"/>
                <w:szCs w:val="17"/>
                <w:color w:val="auto"/>
              </w:rPr>
            </w:pPr>
          </w:p>
        </w:tc>
        <w:tc>
          <w:tcPr>
            <w:tcW w:w="580" w:type="dxa"/>
            <w:vAlign w:val="bottom"/>
            <w:tcBorders>
              <w:bottom w:val="single" w:sz="8" w:color="231F20"/>
            </w:tcBorders>
          </w:tcPr>
          <w:p>
            <w:pPr>
              <w:jc w:val="right"/>
              <w:spacing w:after="0" w:line="202" w:lineRule="exact"/>
              <w:rPr>
                <w:sz w:val="20"/>
                <w:szCs w:val="20"/>
                <w:color w:val="auto"/>
              </w:rPr>
            </w:pPr>
            <w:r>
              <w:rPr>
                <w:rFonts w:ascii="Arial" w:cs="Arial" w:eastAsia="Arial" w:hAnsi="Arial"/>
                <w:sz w:val="18"/>
                <w:szCs w:val="18"/>
                <w:color w:val="auto"/>
              </w:rPr>
              <w:t>577</w:t>
            </w:r>
          </w:p>
        </w:tc>
        <w:tc>
          <w:tcPr>
            <w:tcW w:w="100" w:type="dxa"/>
            <w:vAlign w:val="bottom"/>
            <w:tcBorders>
              <w:bottom w:val="single" w:sz="8" w:color="231F20"/>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340" w:type="dxa"/>
            <w:vAlign w:val="bottom"/>
            <w:tcBorders>
              <w:bottom w:val="single" w:sz="8" w:color="231F20"/>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spacing w:after="0"/>
              <w:rPr>
                <w:sz w:val="17"/>
                <w:szCs w:val="17"/>
                <w:color w:val="auto"/>
              </w:rPr>
            </w:pPr>
          </w:p>
        </w:tc>
        <w:tc>
          <w:tcPr>
            <w:tcW w:w="720" w:type="dxa"/>
            <w:vAlign w:val="bottom"/>
            <w:tcBorders>
              <w:bottom w:val="single" w:sz="8" w:color="231F20"/>
            </w:tcBorders>
          </w:tcPr>
          <w:p>
            <w:pPr>
              <w:jc w:val="right"/>
              <w:spacing w:after="0" w:line="202" w:lineRule="exact"/>
              <w:rPr>
                <w:sz w:val="20"/>
                <w:szCs w:val="20"/>
                <w:color w:val="auto"/>
              </w:rPr>
            </w:pPr>
            <w:r>
              <w:rPr>
                <w:rFonts w:ascii="Arial" w:cs="Arial" w:eastAsia="Arial" w:hAnsi="Arial"/>
                <w:sz w:val="18"/>
                <w:szCs w:val="18"/>
                <w:color w:val="auto"/>
              </w:rPr>
              <w:t>366</w:t>
            </w:r>
          </w:p>
        </w:tc>
        <w:tc>
          <w:tcPr>
            <w:tcW w:w="100" w:type="dxa"/>
            <w:vAlign w:val="bottom"/>
          </w:tcPr>
          <w:p>
            <w:pPr>
              <w:spacing w:after="0"/>
              <w:rPr>
                <w:sz w:val="17"/>
                <w:szCs w:val="17"/>
                <w:color w:val="auto"/>
              </w:rPr>
            </w:pPr>
          </w:p>
        </w:tc>
      </w:tr>
      <w:tr>
        <w:trPr>
          <w:trHeight w:val="236"/>
        </w:trPr>
        <w:tc>
          <w:tcPr>
            <w:tcW w:w="80" w:type="dxa"/>
            <w:vAlign w:val="bottom"/>
          </w:tcPr>
          <w:p>
            <w:pPr>
              <w:spacing w:after="0"/>
              <w:rPr>
                <w:sz w:val="20"/>
                <w:szCs w:val="20"/>
                <w:color w:val="auto"/>
              </w:rPr>
            </w:pPr>
          </w:p>
        </w:tc>
        <w:tc>
          <w:tcPr>
            <w:tcW w:w="6300" w:type="dxa"/>
            <w:vAlign w:val="bottom"/>
            <w:tcBorders>
              <w:bottom w:val="single" w:sz="8" w:color="auto"/>
            </w:tcBorders>
            <w:gridSpan w:val="3"/>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gridSpan w:val="2"/>
            <w:shd w:val="clear" w:color="auto" w:fill="CFF0FC"/>
          </w:tcPr>
          <w:p>
            <w:pPr>
              <w:jc w:val="right"/>
              <w:ind w:right="668"/>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5,369</w:t>
            </w:r>
          </w:p>
        </w:tc>
        <w:tc>
          <w:tcPr>
            <w:tcW w:w="800" w:type="dxa"/>
            <w:vAlign w:val="bottom"/>
            <w:tcBorders>
              <w:bottom w:val="single" w:sz="8" w:color="auto"/>
            </w:tcBorders>
            <w:gridSpan w:val="6"/>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4,387</w:t>
            </w:r>
          </w:p>
        </w:tc>
        <w:tc>
          <w:tcPr>
            <w:tcW w:w="100" w:type="dxa"/>
            <w:vAlign w:val="bottom"/>
            <w:tcBorders>
              <w:left w:val="single" w:sz="8" w:color="CFF0FC"/>
            </w:tcBorders>
          </w:tcPr>
          <w:p>
            <w:pPr>
              <w:spacing w:after="0"/>
              <w:rPr>
                <w:sz w:val="20"/>
                <w:szCs w:val="20"/>
                <w:color w:val="auto"/>
              </w:rPr>
            </w:pPr>
          </w:p>
        </w:tc>
      </w:tr>
      <w:tr>
        <w:trPr>
          <w:trHeight w:val="444"/>
        </w:trPr>
        <w:tc>
          <w:tcPr>
            <w:tcW w:w="6380" w:type="dxa"/>
            <w:vAlign w:val="bottom"/>
            <w:gridSpan w:val="4"/>
          </w:tcPr>
          <w:p>
            <w:pPr>
              <w:spacing w:after="0"/>
              <w:rPr>
                <w:sz w:val="20"/>
                <w:szCs w:val="20"/>
                <w:color w:val="auto"/>
              </w:rPr>
            </w:pPr>
            <w:r>
              <w:rPr>
                <w:rFonts w:ascii="Arial" w:cs="Arial" w:eastAsia="Arial" w:hAnsi="Arial"/>
                <w:sz w:val="18"/>
                <w:szCs w:val="18"/>
                <w:color w:val="auto"/>
              </w:rPr>
              <w:t>5.   Other Assets and Long-Term Deposits</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6380" w:type="dxa"/>
            <w:vAlign w:val="bottom"/>
            <w:gridSpan w:val="4"/>
          </w:tcPr>
          <w:p>
            <w:pPr>
              <w:spacing w:after="0"/>
              <w:rPr>
                <w:sz w:val="20"/>
                <w:szCs w:val="20"/>
                <w:color w:val="auto"/>
              </w:rPr>
            </w:pPr>
            <w:r>
              <w:rPr>
                <w:rFonts w:ascii="Arial" w:cs="Arial" w:eastAsia="Arial" w:hAnsi="Arial"/>
                <w:sz w:val="18"/>
                <w:szCs w:val="18"/>
                <w:color w:val="auto"/>
              </w:rPr>
              <w:t>Other assets and long-term deposits consisted of the following (in thousands):</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5"/>
        </w:trPr>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20" w:type="dxa"/>
            <w:vAlign w:val="bottom"/>
            <w:tcBorders>
              <w:bottom w:val="single" w:sz="8" w:color="auto"/>
            </w:tcBorders>
            <w:gridSpan w:val="3"/>
          </w:tcPr>
          <w:p>
            <w:pPr>
              <w:ind w:left="600"/>
              <w:spacing w:after="0" w:line="155" w:lineRule="exact"/>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96"/>
        </w:trPr>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Clinical development project deposits</w:t>
            </w:r>
          </w:p>
        </w:tc>
        <w:tc>
          <w:tcPr>
            <w:tcW w:w="1180" w:type="dxa"/>
            <w:vAlign w:val="bottom"/>
            <w:gridSpan w:val="2"/>
            <w:shd w:val="clear" w:color="auto" w:fill="CFF0FC"/>
          </w:tcPr>
          <w:p>
            <w:pPr>
              <w:jc w:val="right"/>
              <w:ind w:right="968"/>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14,732</w:t>
            </w:r>
          </w:p>
        </w:tc>
        <w:tc>
          <w:tcPr>
            <w:tcW w:w="580" w:type="dxa"/>
            <w:vAlign w:val="bottom"/>
            <w:gridSpan w:val="5"/>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9,263</w:t>
            </w:r>
          </w:p>
        </w:tc>
        <w:tc>
          <w:tcPr>
            <w:tcW w:w="10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40" w:type="dxa"/>
            <w:vAlign w:val="bottom"/>
          </w:tcPr>
          <w:p>
            <w:pPr>
              <w:spacing w:after="0" w:line="202" w:lineRule="exact"/>
              <w:rPr>
                <w:sz w:val="20"/>
                <w:szCs w:val="20"/>
                <w:color w:val="auto"/>
              </w:rPr>
            </w:pPr>
            <w:r>
              <w:rPr>
                <w:rFonts w:ascii="Arial" w:cs="Arial" w:eastAsia="Arial" w:hAnsi="Arial"/>
                <w:sz w:val="18"/>
                <w:szCs w:val="18"/>
                <w:color w:val="auto"/>
              </w:rPr>
              <w:t>System implementation costs</w:t>
            </w: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1,023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683</w:t>
            </w:r>
          </w:p>
        </w:tc>
        <w:tc>
          <w:tcPr>
            <w:tcW w:w="10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Property and equipment, net</w:t>
            </w:r>
          </w:p>
        </w:tc>
        <w:tc>
          <w:tcPr>
            <w:tcW w:w="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486</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746</w:t>
            </w:r>
          </w:p>
        </w:tc>
        <w:tc>
          <w:tcPr>
            <w:tcW w:w="10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40" w:type="dxa"/>
            <w:vAlign w:val="bottom"/>
          </w:tcPr>
          <w:p>
            <w:pPr>
              <w:spacing w:after="0" w:line="202" w:lineRule="exact"/>
              <w:rPr>
                <w:sz w:val="20"/>
                <w:szCs w:val="20"/>
                <w:color w:val="auto"/>
              </w:rPr>
            </w:pPr>
            <w:r>
              <w:rPr>
                <w:rFonts w:ascii="Arial" w:cs="Arial" w:eastAsia="Arial" w:hAnsi="Arial"/>
                <w:sz w:val="18"/>
                <w:szCs w:val="18"/>
                <w:color w:val="auto"/>
              </w:rPr>
              <w:t>Office lease deposits</w:t>
            </w: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464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485</w:t>
            </w:r>
          </w:p>
        </w:tc>
        <w:tc>
          <w:tcPr>
            <w:tcW w:w="10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6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gridSpan w:val="2"/>
          </w:tcPr>
          <w:p>
            <w:pPr>
              <w:jc w:val="right"/>
              <w:ind w:right="968"/>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16,705</w:t>
            </w:r>
          </w:p>
        </w:tc>
        <w:tc>
          <w:tcPr>
            <w:tcW w:w="580" w:type="dxa"/>
            <w:vAlign w:val="bottom"/>
            <w:tcBorders>
              <w:bottom w:val="single" w:sz="8" w:color="auto"/>
            </w:tcBorders>
            <w:gridSpan w:val="5"/>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11,192</w:t>
            </w:r>
          </w:p>
        </w:tc>
        <w:tc>
          <w:tcPr>
            <w:tcW w:w="100" w:type="dxa"/>
            <w:vAlign w:val="bottom"/>
          </w:tcPr>
          <w:p>
            <w:pPr>
              <w:spacing w:after="0"/>
              <w:rPr>
                <w:sz w:val="17"/>
                <w:szCs w:val="17"/>
                <w:color w:val="auto"/>
              </w:rPr>
            </w:pPr>
          </w:p>
        </w:tc>
      </w:tr>
      <w:tr>
        <w:trPr>
          <w:trHeight w:val="20"/>
        </w:trPr>
        <w:tc>
          <w:tcPr>
            <w:tcW w:w="140" w:type="dxa"/>
            <w:vAlign w:val="bottom"/>
            <w:gridSpan w:val="3"/>
          </w:tcPr>
          <w:p>
            <w:pPr>
              <w:spacing w:after="0" w:line="20" w:lineRule="exact"/>
              <w:rPr>
                <w:sz w:val="1"/>
                <w:szCs w:val="1"/>
                <w:color w:val="auto"/>
              </w:rPr>
            </w:pPr>
          </w:p>
        </w:tc>
        <w:tc>
          <w:tcPr>
            <w:tcW w:w="6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3"/>
        </w:trPr>
        <w:tc>
          <w:tcPr>
            <w:tcW w:w="6380" w:type="dxa"/>
            <w:vAlign w:val="bottom"/>
            <w:gridSpan w:val="4"/>
          </w:tcPr>
          <w:p>
            <w:pPr>
              <w:spacing w:after="0"/>
              <w:rPr>
                <w:sz w:val="20"/>
                <w:szCs w:val="20"/>
                <w:color w:val="auto"/>
              </w:rPr>
            </w:pPr>
            <w:r>
              <w:rPr>
                <w:rFonts w:ascii="Arial" w:cs="Arial" w:eastAsia="Arial" w:hAnsi="Arial"/>
                <w:sz w:val="18"/>
                <w:szCs w:val="18"/>
                <w:color w:val="auto"/>
              </w:rPr>
              <w:t>6.   Accrued and Other Current Liabilities</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6380" w:type="dxa"/>
            <w:vAlign w:val="bottom"/>
            <w:gridSpan w:val="4"/>
          </w:tcPr>
          <w:p>
            <w:pPr>
              <w:spacing w:after="0"/>
              <w:rPr>
                <w:sz w:val="20"/>
                <w:szCs w:val="20"/>
                <w:color w:val="auto"/>
              </w:rPr>
            </w:pPr>
            <w:r>
              <w:rPr>
                <w:rFonts w:ascii="Arial" w:cs="Arial" w:eastAsia="Arial" w:hAnsi="Arial"/>
                <w:sz w:val="18"/>
                <w:szCs w:val="18"/>
                <w:color w:val="auto"/>
              </w:rPr>
              <w:t>Accrued and other current liabilities consisted of the following (in thousands):</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8"/>
          </w:tcPr>
          <w:p>
            <w:pPr>
              <w:spacing w:after="0"/>
              <w:rPr>
                <w:sz w:val="19"/>
                <w:szCs w:val="19"/>
                <w:color w:val="auto"/>
              </w:rPr>
            </w:pPr>
          </w:p>
        </w:tc>
        <w:tc>
          <w:tcPr>
            <w:tcW w:w="1800" w:type="dxa"/>
            <w:vAlign w:val="bottom"/>
            <w:gridSpan w:val="3"/>
          </w:tcPr>
          <w:p>
            <w:pPr>
              <w:spacing w:after="0"/>
              <w:rPr>
                <w:sz w:val="19"/>
                <w:szCs w:val="19"/>
                <w:color w:val="auto"/>
              </w:rPr>
            </w:pPr>
          </w:p>
        </w:tc>
      </w:tr>
      <w:tr>
        <w:trPr>
          <w:trHeight w:val="155"/>
        </w:trPr>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8"/>
          </w:tcPr>
          <w:p>
            <w:pPr>
              <w:jc w:val="right"/>
              <w:ind w:right="620"/>
              <w:spacing w:after="0" w:line="155" w:lineRule="exact"/>
              <w:rPr>
                <w:sz w:val="20"/>
                <w:szCs w:val="20"/>
                <w:color w:val="auto"/>
              </w:rPr>
            </w:pPr>
            <w:r>
              <w:rPr>
                <w:rFonts w:ascii="Arial" w:cs="Arial" w:eastAsia="Arial" w:hAnsi="Arial"/>
                <w:sz w:val="14"/>
                <w:szCs w:val="14"/>
                <w:b w:val="1"/>
                <w:bCs w:val="1"/>
                <w:color w:val="auto"/>
              </w:rPr>
              <w:t>September 30,</w:t>
            </w:r>
          </w:p>
        </w:tc>
        <w:tc>
          <w:tcPr>
            <w:tcW w:w="1700" w:type="dxa"/>
            <w:vAlign w:val="bottom"/>
            <w:tcBorders>
              <w:top w:val="single" w:sz="8" w:color="auto"/>
            </w:tcBorders>
            <w:gridSpan w:val="2"/>
          </w:tcPr>
          <w:p>
            <w:pPr>
              <w:jc w:val="right"/>
              <w:ind w:right="370"/>
              <w:spacing w:after="0" w:line="155"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3"/>
                <w:szCs w:val="13"/>
                <w:color w:val="auto"/>
              </w:rPr>
            </w:pPr>
          </w:p>
        </w:tc>
      </w:tr>
      <w:tr>
        <w:trPr>
          <w:trHeight w:val="155"/>
        </w:trPr>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51"/>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72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96"/>
        </w:trPr>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Accrued research and development related costs</w:t>
            </w:r>
          </w:p>
        </w:tc>
        <w:tc>
          <w:tcPr>
            <w:tcW w:w="140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1160" w:type="dxa"/>
            <w:vAlign w:val="bottom"/>
            <w:gridSpan w:val="6"/>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29,681</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704"/>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22,768</w:t>
            </w:r>
          </w:p>
        </w:tc>
        <w:tc>
          <w:tcPr>
            <w:tcW w:w="10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40" w:type="dxa"/>
            <w:vAlign w:val="bottom"/>
          </w:tcPr>
          <w:p>
            <w:pPr>
              <w:spacing w:after="0" w:line="202" w:lineRule="exact"/>
              <w:rPr>
                <w:sz w:val="20"/>
                <w:szCs w:val="20"/>
                <w:color w:val="auto"/>
              </w:rPr>
            </w:pPr>
            <w:r>
              <w:rPr>
                <w:rFonts w:ascii="Arial" w:cs="Arial" w:eastAsia="Arial" w:hAnsi="Arial"/>
                <w:sz w:val="18"/>
                <w:szCs w:val="18"/>
                <w:color w:val="auto"/>
              </w:rPr>
              <w:t>Accrued employee bonuses</w:t>
            </w: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gridSpan w:val="5"/>
          </w:tcPr>
          <w:p>
            <w:pPr>
              <w:jc w:val="right"/>
              <w:ind w:right="120"/>
              <w:spacing w:after="0" w:line="202" w:lineRule="exact"/>
              <w:rPr>
                <w:sz w:val="20"/>
                <w:szCs w:val="20"/>
                <w:color w:val="auto"/>
              </w:rPr>
            </w:pPr>
            <w:r>
              <w:rPr>
                <w:rFonts w:ascii="Arial" w:cs="Arial" w:eastAsia="Arial" w:hAnsi="Arial"/>
                <w:sz w:val="18"/>
                <w:szCs w:val="18"/>
                <w:color w:val="auto"/>
                <w:w w:val="97"/>
              </w:rPr>
              <w:t>5,290</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5,661</w:t>
            </w:r>
          </w:p>
        </w:tc>
        <w:tc>
          <w:tcPr>
            <w:tcW w:w="10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corporate related costs</w:t>
            </w:r>
          </w:p>
        </w:tc>
        <w:tc>
          <w:tcPr>
            <w:tcW w:w="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580" w:type="dxa"/>
            <w:vAlign w:val="bottom"/>
            <w:gridSpan w:val="5"/>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w w:val="97"/>
              </w:rPr>
              <w:t>1,636</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7,586</w:t>
            </w:r>
          </w:p>
        </w:tc>
        <w:tc>
          <w:tcPr>
            <w:tcW w:w="10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40" w:type="dxa"/>
            <w:vAlign w:val="bottom"/>
            <w:tcBorders>
              <w:bottom w:val="single" w:sz="8" w:color="CFF0FC"/>
            </w:tcBorders>
          </w:tcPr>
          <w:p>
            <w:pPr>
              <w:spacing w:after="0" w:line="202" w:lineRule="exact"/>
              <w:rPr>
                <w:sz w:val="20"/>
                <w:szCs w:val="20"/>
                <w:color w:val="auto"/>
              </w:rPr>
            </w:pPr>
            <w:r>
              <w:rPr>
                <w:rFonts w:ascii="Arial" w:cs="Arial" w:eastAsia="Arial" w:hAnsi="Arial"/>
                <w:sz w:val="18"/>
                <w:szCs w:val="18"/>
                <w:color w:val="auto"/>
              </w:rPr>
              <w:t>Accrued payroll related costs</w:t>
            </w:r>
          </w:p>
        </w:tc>
        <w:tc>
          <w:tcPr>
            <w:tcW w:w="60" w:type="dxa"/>
            <w:vAlign w:val="bottom"/>
            <w:tcBorders>
              <w:bottom w:val="single" w:sz="8" w:color="CFF0FC"/>
            </w:tcBorders>
          </w:tcPr>
          <w:p>
            <w:pPr>
              <w:spacing w:after="0"/>
              <w:rPr>
                <w:sz w:val="17"/>
                <w:szCs w:val="17"/>
                <w:color w:val="auto"/>
              </w:rPr>
            </w:pPr>
          </w:p>
        </w:tc>
        <w:tc>
          <w:tcPr>
            <w:tcW w:w="1120" w:type="dxa"/>
            <w:vAlign w:val="bottom"/>
            <w:tcBorders>
              <w:bottom w:val="single" w:sz="8" w:color="CFF0FC"/>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5"/>
          </w:tcPr>
          <w:p>
            <w:pPr>
              <w:jc w:val="right"/>
              <w:ind w:right="120"/>
              <w:spacing w:after="0" w:line="202" w:lineRule="exact"/>
              <w:rPr>
                <w:sz w:val="20"/>
                <w:szCs w:val="20"/>
                <w:color w:val="auto"/>
              </w:rPr>
            </w:pPr>
            <w:r>
              <w:rPr>
                <w:rFonts w:ascii="Arial" w:cs="Arial" w:eastAsia="Arial" w:hAnsi="Arial"/>
                <w:sz w:val="18"/>
                <w:szCs w:val="18"/>
                <w:color w:val="auto"/>
              </w:rPr>
              <w:t>406</w:t>
            </w:r>
          </w:p>
        </w:tc>
        <w:tc>
          <w:tcPr>
            <w:tcW w:w="220" w:type="dxa"/>
            <w:vAlign w:val="bottom"/>
            <w:tcBorders>
              <w:bottom w:val="single" w:sz="8" w:color="CFF0FC"/>
            </w:tcBorders>
          </w:tcPr>
          <w:p>
            <w:pPr>
              <w:spacing w:after="0"/>
              <w:rPr>
                <w:sz w:val="17"/>
                <w:szCs w:val="17"/>
                <w:color w:val="auto"/>
              </w:rPr>
            </w:pPr>
          </w:p>
        </w:tc>
        <w:tc>
          <w:tcPr>
            <w:tcW w:w="980" w:type="dxa"/>
            <w:vAlign w:val="bottom"/>
            <w:tcBorders>
              <w:bottom w:val="single" w:sz="8" w:color="231F20"/>
            </w:tcBorders>
          </w:tcPr>
          <w:p>
            <w:pPr>
              <w:spacing w:after="0"/>
              <w:rPr>
                <w:sz w:val="17"/>
                <w:szCs w:val="17"/>
                <w:color w:val="auto"/>
              </w:rPr>
            </w:pPr>
          </w:p>
        </w:tc>
        <w:tc>
          <w:tcPr>
            <w:tcW w:w="720" w:type="dxa"/>
            <w:vAlign w:val="bottom"/>
            <w:tcBorders>
              <w:bottom w:val="single" w:sz="8" w:color="231F20"/>
            </w:tcBorders>
          </w:tcPr>
          <w:p>
            <w:pPr>
              <w:jc w:val="right"/>
              <w:ind w:right="50"/>
              <w:spacing w:after="0" w:line="202" w:lineRule="exact"/>
              <w:rPr>
                <w:sz w:val="20"/>
                <w:szCs w:val="20"/>
                <w:color w:val="auto"/>
              </w:rPr>
            </w:pPr>
            <w:r>
              <w:rPr>
                <w:rFonts w:ascii="Arial" w:cs="Arial" w:eastAsia="Arial" w:hAnsi="Arial"/>
                <w:sz w:val="18"/>
                <w:szCs w:val="18"/>
                <w:color w:val="auto"/>
              </w:rPr>
              <w:t>111</w:t>
            </w:r>
          </w:p>
        </w:tc>
        <w:tc>
          <w:tcPr>
            <w:tcW w:w="100" w:type="dxa"/>
            <w:vAlign w:val="bottom"/>
          </w:tcPr>
          <w:p>
            <w:pPr>
              <w:spacing w:after="0"/>
              <w:rPr>
                <w:sz w:val="17"/>
                <w:szCs w:val="17"/>
                <w:color w:val="auto"/>
              </w:rPr>
            </w:pPr>
          </w:p>
        </w:tc>
      </w:tr>
      <w:tr>
        <w:trPr>
          <w:trHeight w:val="236"/>
        </w:trPr>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4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gridSpan w:val="2"/>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gridSpan w:val="6"/>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37,013</w:t>
            </w:r>
          </w:p>
        </w:tc>
        <w:tc>
          <w:tcPr>
            <w:tcW w:w="22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704"/>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36,126</w:t>
            </w:r>
          </w:p>
        </w:tc>
        <w:tc>
          <w:tcPr>
            <w:tcW w:w="100" w:type="dxa"/>
            <w:vAlign w:val="bottom"/>
          </w:tcPr>
          <w:p>
            <w:pPr>
              <w:spacing w:after="0"/>
              <w:rPr>
                <w:sz w:val="20"/>
                <w:szCs w:val="20"/>
                <w:color w:val="auto"/>
              </w:rPr>
            </w:pPr>
          </w:p>
        </w:tc>
      </w:tr>
      <w:tr>
        <w:trPr>
          <w:trHeight w:val="700"/>
        </w:trPr>
        <w:tc>
          <w:tcPr>
            <w:tcW w:w="6380" w:type="dxa"/>
            <w:vAlign w:val="bottom"/>
            <w:gridSpan w:val="4"/>
          </w:tcPr>
          <w:p>
            <w:pPr>
              <w:ind w:left="552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-2716530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-1104900</wp:posOffset>
            </wp:positionV>
            <wp:extent cx="137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2014, the Company’s Board of Directors (the “Board”) and stockholders approved and adopted the Company’s 2014 Stock Plan (the “2014 Plan”). The 2014 Plan permitted the grant of options and restricted stock awards (including restricted stock purchase rights and restricted stock bonus awards). The 2014 Plan was terminated on the date the Company’s 2020 Equity Incentive Plan (the “2020 Plan”), which is described below, became effective, and since that date, no additional awards have been or will be made pursuant to the 2014 Plan. However, any outstanding awards granted under the 2014 Plan will remain outstanding, subject to the terms of the 2014 Plan award agreements, until such outstanding options are exercised or until any awards terminate or expire by their terms.</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2020, the Board and the Company’s stockholders approved and adopted the 2020 Plan. The 2020 Plan permits the grant of options, restricted stock awards, stock appreciation rights, restricted stock unit awards, performance awards, and other awards. The maximum number of shares of common stock that were initially issuable under the 2020 Plan was a number not to exceed 6,494,510 shares of the Company’s common stock, which is the sum of (i) 2,152,080 new shares, plus (ii) an additional number of shares not to exceed 4,342,430 shares, consisting of any shares of the Company’s common stock subject to outstanding stock options or other stock awards granted under the 2014 Plan that, on or after the date on which the 2020 Plan became effective, terminated or expired prior to exercise or settlement; were not issued because the award was settled in cash; were forfeited because of the failure to vest; or were reacquired or withheld (or not issued) to satisfy a tax withholding obligation or the purchase or exercise price. In addition, the number of shares of the Company’s common stock reserved for issuance under the 2020 Plan automatically increases on January 1 of each year for a period of ten years, beginning on January 1, 2021 and continuing through January 1, 2030, in an amount equal to the lesser of (1) 5% of the total number of shares of the Company’s common stock outstanding on December 31 of the immediately preceding year, or (2) a lesser number of shares determined by the Board no later than December 31 of the immediately preceding year.</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2022, the Board approved and adopted the Company’s 2022 Inducement Plan (the “2022 Inducement Plan”). Under the 2022 Inducement Plan, initially 2,000,000 shares of common stock were reserved for issuance. In December 2024, the Compensation Committee of the Board approved an increase of an additional 3,000,000 shares of common stock reserved for issuance under the 2022 Inducement Plan, which increase was made effective as of January 1, 2025. The 2022 Inducement Plan permits the grant of options, restricted stock awards, stock appreciation rights, restricted stock unit awards, performance awards, and other awards.</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exercise price for each option and stock appreciation right shall be established at the discretion of the Board, provided that the exercise price of a stock option will not be less than 100% of the fair market value of the Company’s common stock on the date of grant. Specific vesting for stock options and stock appreciation rights is service related and determined in each award agreement, where stock options and stock appreciation rights are fully vested at the grant date or follow a graded vesting schedule. Stock options and stock appreciation rights granted under the plans generally expire ten years after the date of grant.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Valuation</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fair value of stock option grants is estimated using the Black-Scholes option-pricing model. The Company lacks company-specific historical and implied volatility information. Therefore, it estimated its expected stock volatility based on the historical volatility of a publicly traded set of peer companies in addition to its own historical volatility. For options with service-based vesting conditions,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is 0% since the Company has never paid cash dividends and does not expect to pay any cash dividends in the foreseeable future.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assumptions that the Company used to determine the estimated grant-date fair value of stock options granted to employees and directors under the 2020 Plan and the 2022 Inducement Plan were as follows, presented as a weighted average: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360" w:type="dxa"/>
            <w:vAlign w:val="bottom"/>
            <w:tcBorders>
              <w:top w:val="single" w:sz="8" w:color="auto"/>
            </w:tcBorders>
          </w:tcPr>
          <w:p>
            <w:pPr>
              <w:spacing w:after="0"/>
              <w:rPr>
                <w:sz w:val="15"/>
                <w:szCs w:val="15"/>
                <w:color w:val="auto"/>
              </w:rPr>
            </w:pPr>
          </w:p>
        </w:tc>
        <w:tc>
          <w:tcPr>
            <w:tcW w:w="18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top w:val="single" w:sz="8" w:color="auto"/>
            </w:tcBorders>
          </w:tcPr>
          <w:p>
            <w:pPr>
              <w:spacing w:after="0"/>
              <w:rPr>
                <w:sz w:val="15"/>
                <w:szCs w:val="15"/>
                <w:color w:val="auto"/>
              </w:rPr>
            </w:pPr>
          </w:p>
        </w:tc>
        <w:tc>
          <w:tcPr>
            <w:tcW w:w="186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September 30,</w:t>
            </w:r>
          </w:p>
        </w:tc>
      </w:tr>
      <w:tr>
        <w:trPr>
          <w:trHeight w:val="155"/>
        </w:trPr>
        <w:tc>
          <w:tcPr>
            <w:tcW w:w="7360" w:type="dxa"/>
            <w:vAlign w:val="bottom"/>
          </w:tcPr>
          <w:p>
            <w:pPr>
              <w:spacing w:after="0"/>
              <w:rPr>
                <w:sz w:val="13"/>
                <w:szCs w:val="13"/>
                <w:color w:val="auto"/>
              </w:rPr>
            </w:pPr>
          </w:p>
        </w:tc>
        <w:tc>
          <w:tcPr>
            <w:tcW w:w="1860" w:type="dxa"/>
            <w:vAlign w:val="bottom"/>
            <w:tcBorders>
              <w:bottom w:val="single" w:sz="8" w:color="auto"/>
            </w:tcBorders>
          </w:tcPr>
          <w:p>
            <w:pPr>
              <w:jc w:val="right"/>
              <w:ind w:right="796"/>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3"/>
                <w:szCs w:val="13"/>
                <w:color w:val="auto"/>
              </w:rPr>
            </w:pPr>
          </w:p>
        </w:tc>
        <w:tc>
          <w:tcPr>
            <w:tcW w:w="1860" w:type="dxa"/>
            <w:vAlign w:val="bottom"/>
            <w:tcBorders>
              <w:bottom w:val="single" w:sz="8" w:color="auto"/>
            </w:tcBorders>
          </w:tcPr>
          <w:p>
            <w:pPr>
              <w:jc w:val="right"/>
              <w:ind w:right="782"/>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73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Risk-free interest rate</w:t>
            </w:r>
          </w:p>
        </w:tc>
        <w:tc>
          <w:tcPr>
            <w:tcW w:w="1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4.08%</w:t>
            </w:r>
          </w:p>
        </w:tc>
        <w:tc>
          <w:tcPr>
            <w:tcW w:w="20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3.92%</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Expected term (in years)</w:t>
            </w:r>
          </w:p>
        </w:tc>
        <w:tc>
          <w:tcPr>
            <w:tcW w:w="186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6.04</w:t>
            </w:r>
          </w:p>
        </w:tc>
        <w:tc>
          <w:tcPr>
            <w:tcW w:w="2020" w:type="dxa"/>
            <w:vAlign w:val="bottom"/>
            <w:gridSpan w:val="2"/>
          </w:tcPr>
          <w:p>
            <w:pPr>
              <w:jc w:val="right"/>
              <w:ind w:right="102"/>
              <w:spacing w:after="0" w:line="202" w:lineRule="exact"/>
              <w:rPr>
                <w:sz w:val="20"/>
                <w:szCs w:val="20"/>
                <w:color w:val="auto"/>
              </w:rPr>
            </w:pPr>
            <w:r>
              <w:rPr>
                <w:rFonts w:ascii="Arial" w:cs="Arial" w:eastAsia="Arial" w:hAnsi="Arial"/>
                <w:sz w:val="18"/>
                <w:szCs w:val="18"/>
                <w:color w:val="auto"/>
              </w:rPr>
              <w:t>6.03</w:t>
            </w:r>
          </w:p>
        </w:tc>
      </w:tr>
      <w:tr>
        <w:trPr>
          <w:trHeight w:val="203"/>
        </w:trPr>
        <w:tc>
          <w:tcPr>
            <w:tcW w:w="7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Expected volatility</w:t>
            </w:r>
          </w:p>
        </w:tc>
        <w:tc>
          <w:tcPr>
            <w:tcW w:w="1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78.10%</w:t>
            </w:r>
          </w:p>
        </w:tc>
        <w:tc>
          <w:tcPr>
            <w:tcW w:w="20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85.10%</w:t>
            </w:r>
          </w:p>
        </w:tc>
      </w:tr>
      <w:tr>
        <w:trPr>
          <w:trHeight w:val="202"/>
        </w:trPr>
        <w:tc>
          <w:tcPr>
            <w:tcW w:w="73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Expected dividend yield</w:t>
            </w:r>
          </w:p>
        </w:tc>
        <w:tc>
          <w:tcPr>
            <w:tcW w:w="1860" w:type="dxa"/>
            <w:vAlign w:val="bottom"/>
            <w:tcBorders>
              <w:bottom w:val="single" w:sz="8" w:color="auto"/>
            </w:tcBorders>
          </w:tcPr>
          <w:p>
            <w:pPr>
              <w:jc w:val="right"/>
              <w:ind w:right="116"/>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102"/>
              <w:spacing w:after="0" w:line="202" w:lineRule="exact"/>
              <w:rPr>
                <w:sz w:val="20"/>
                <w:szCs w:val="20"/>
                <w:color w:val="auto"/>
              </w:rPr>
            </w:pPr>
            <w:r>
              <w:rPr>
                <w:rFonts w:ascii="Arial" w:cs="Arial" w:eastAsia="Arial" w:hAnsi="Arial"/>
                <w:sz w:val="18"/>
                <w:szCs w:val="18"/>
                <w:color w:val="auto"/>
              </w:rPr>
              <w:t>—</w:t>
            </w:r>
          </w:p>
        </w:tc>
      </w:tr>
      <w:tr>
        <w:trPr>
          <w:trHeight w:val="20"/>
        </w:trPr>
        <w:tc>
          <w:tcPr>
            <w:tcW w:w="73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Activity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activity under the 2020 Plan and the 2022 Inducement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Outstanding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Granted</w:t>
      </w:r>
    </w:p>
    <w:p>
      <w:pPr>
        <w:ind w:left="180"/>
        <w:spacing w:after="0"/>
        <w:rPr>
          <w:sz w:val="20"/>
          <w:szCs w:val="20"/>
          <w:color w:val="auto"/>
        </w:rPr>
      </w:pPr>
      <w:r>
        <w:rPr>
          <w:rFonts w:ascii="Arial" w:cs="Arial" w:eastAsia="Arial" w:hAnsi="Arial"/>
          <w:sz w:val="18"/>
          <w:szCs w:val="18"/>
          <w:color w:val="auto"/>
        </w:rPr>
        <w:t>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Forfeited and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Outstanding as of September 30, 2025</w:t>
      </w:r>
    </w:p>
    <w:p>
      <w:pPr>
        <w:spacing w:after="0" w:line="198" w:lineRule="exact"/>
        <w:rPr>
          <w:sz w:val="20"/>
          <w:szCs w:val="20"/>
          <w:color w:val="auto"/>
        </w:rPr>
      </w:pPr>
    </w:p>
    <w:p>
      <w:pPr>
        <w:ind w:right="1460"/>
        <w:spacing w:after="0" w:line="271" w:lineRule="auto"/>
        <w:rPr>
          <w:sz w:val="20"/>
          <w:szCs w:val="20"/>
          <w:color w:val="auto"/>
        </w:rPr>
      </w:pPr>
      <w:r>
        <w:rPr>
          <w:rFonts w:ascii="Arial" w:cs="Arial" w:eastAsia="Arial" w:hAnsi="Arial"/>
          <w:sz w:val="18"/>
          <w:szCs w:val="18"/>
          <w:color w:val="auto"/>
        </w:rPr>
        <w:t>Options vested and exercisable as of September 30, 2025 Options expected to vest as of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Weighted</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90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rPr>
              <w:t>Average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1320" w:type="dxa"/>
            <w:vAlign w:val="bottom"/>
          </w:tcPr>
          <w:p>
            <w:pPr>
              <w:jc w:val="right"/>
              <w:ind w:right="294"/>
              <w:spacing w:after="0"/>
              <w:rPr>
                <w:sz w:val="20"/>
                <w:szCs w:val="20"/>
                <w:color w:val="auto"/>
              </w:rPr>
            </w:pPr>
            <w:r>
              <w:rPr>
                <w:rFonts w:ascii="Arial" w:cs="Arial" w:eastAsia="Arial" w:hAnsi="Arial"/>
                <w:sz w:val="14"/>
                <w:szCs w:val="14"/>
                <w:b w:val="1"/>
                <w:bCs w:val="1"/>
                <w:color w:val="auto"/>
              </w:rPr>
              <w:t>Number of</w:t>
            </w:r>
          </w:p>
        </w:tc>
        <w:tc>
          <w:tcPr>
            <w:tcW w:w="90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rPr>
              <w:t>Exercise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40" w:type="dxa"/>
            <w:vAlign w:val="bottom"/>
          </w:tcPr>
          <w:p>
            <w:pPr>
              <w:spacing w:after="0"/>
              <w:rPr>
                <w:sz w:val="14"/>
                <w:szCs w:val="14"/>
                <w:color w:val="auto"/>
              </w:rPr>
            </w:pPr>
          </w:p>
        </w:tc>
        <w:tc>
          <w:tcPr>
            <w:tcW w:w="860" w:type="dxa"/>
            <w:vAlign w:val="bottom"/>
          </w:tcPr>
          <w:p>
            <w:pPr>
              <w:jc w:val="center"/>
              <w:ind w:right="218"/>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13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rPr>
              <w:t>Price</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6"/>
        </w:trPr>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center"/>
              <w:ind w:right="238"/>
              <w:spacing w:after="0" w:line="147" w:lineRule="exact"/>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52"/>
        </w:trPr>
        <w:tc>
          <w:tcPr>
            <w:tcW w:w="1320" w:type="dxa"/>
            <w:vAlign w:val="bottom"/>
            <w:vMerge w:val="restart"/>
          </w:tcPr>
          <w:p>
            <w:pPr>
              <w:jc w:val="right"/>
              <w:ind w:right="74"/>
              <w:spacing w:after="0"/>
              <w:rPr>
                <w:sz w:val="20"/>
                <w:szCs w:val="20"/>
                <w:color w:val="auto"/>
              </w:rPr>
            </w:pPr>
            <w:r>
              <w:rPr>
                <w:rFonts w:ascii="Arial" w:cs="Arial" w:eastAsia="Arial" w:hAnsi="Arial"/>
                <w:sz w:val="18"/>
                <w:szCs w:val="18"/>
                <w:color w:val="auto"/>
              </w:rPr>
              <w:t>11,353,057</w:t>
            </w:r>
          </w:p>
        </w:tc>
        <w:tc>
          <w:tcPr>
            <w:tcW w:w="200" w:type="dxa"/>
            <w:vAlign w:val="bottom"/>
            <w:vMerge w:val="restart"/>
          </w:tcPr>
          <w:p>
            <w:pPr>
              <w:ind w:left="80"/>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ind w:right="52"/>
              <w:spacing w:after="0"/>
              <w:rPr>
                <w:sz w:val="20"/>
                <w:szCs w:val="20"/>
                <w:color w:val="auto"/>
              </w:rPr>
            </w:pPr>
            <w:r>
              <w:rPr>
                <w:rFonts w:ascii="Arial" w:cs="Arial" w:eastAsia="Arial" w:hAnsi="Arial"/>
                <w:sz w:val="18"/>
                <w:szCs w:val="18"/>
                <w:color w:val="auto"/>
              </w:rPr>
              <w:t>10.28</w:t>
            </w:r>
          </w:p>
        </w:tc>
        <w:tc>
          <w:tcPr>
            <w:tcW w:w="11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(in years)</w:t>
            </w:r>
          </w:p>
        </w:tc>
        <w:tc>
          <w:tcPr>
            <w:tcW w:w="11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203"/>
        </w:trPr>
        <w:tc>
          <w:tcPr>
            <w:tcW w:w="13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1100" w:type="dxa"/>
            <w:vAlign w:val="bottom"/>
          </w:tcPr>
          <w:p>
            <w:pPr>
              <w:jc w:val="right"/>
              <w:ind w:right="41"/>
              <w:spacing w:after="0" w:line="202" w:lineRule="exact"/>
              <w:rPr>
                <w:sz w:val="20"/>
                <w:szCs w:val="20"/>
                <w:color w:val="auto"/>
              </w:rPr>
            </w:pPr>
            <w:r>
              <w:rPr>
                <w:rFonts w:ascii="Arial" w:cs="Arial" w:eastAsia="Arial" w:hAnsi="Arial"/>
                <w:sz w:val="18"/>
                <w:szCs w:val="18"/>
                <w:color w:val="auto"/>
              </w:rPr>
              <w:t>6.37</w:t>
            </w:r>
          </w:p>
        </w:tc>
        <w:tc>
          <w:tcPr>
            <w:tcW w:w="240" w:type="dxa"/>
            <w:vAlign w:val="bottom"/>
          </w:tcPr>
          <w:p>
            <w:pPr>
              <w:ind w:left="12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ind w:right="38"/>
              <w:spacing w:after="0" w:line="202" w:lineRule="exact"/>
              <w:rPr>
                <w:sz w:val="20"/>
                <w:szCs w:val="20"/>
                <w:color w:val="auto"/>
              </w:rPr>
            </w:pPr>
            <w:r>
              <w:rPr>
                <w:rFonts w:ascii="Arial" w:cs="Arial" w:eastAsia="Arial" w:hAnsi="Arial"/>
                <w:sz w:val="18"/>
                <w:szCs w:val="18"/>
                <w:color w:val="auto"/>
              </w:rPr>
              <w:t>7,519</w:t>
            </w:r>
          </w:p>
        </w:tc>
        <w:tc>
          <w:tcPr>
            <w:tcW w:w="0" w:type="dxa"/>
            <w:vAlign w:val="bottom"/>
          </w:tcPr>
          <w:p>
            <w:pPr>
              <w:spacing w:after="0"/>
              <w:rPr>
                <w:sz w:val="1"/>
                <w:szCs w:val="1"/>
                <w:color w:val="auto"/>
              </w:rPr>
            </w:pPr>
          </w:p>
        </w:tc>
      </w:tr>
      <w:tr>
        <w:trPr>
          <w:trHeight w:val="203"/>
        </w:trPr>
        <w:tc>
          <w:tcPr>
            <w:tcW w:w="1320" w:type="dxa"/>
            <w:vAlign w:val="bottom"/>
          </w:tcPr>
          <w:p>
            <w:pPr>
              <w:jc w:val="right"/>
              <w:ind w:right="74"/>
              <w:spacing w:after="0" w:line="202" w:lineRule="exact"/>
              <w:rPr>
                <w:sz w:val="20"/>
                <w:szCs w:val="20"/>
                <w:color w:val="auto"/>
              </w:rPr>
            </w:pPr>
            <w:r>
              <w:rPr>
                <w:rFonts w:ascii="Arial" w:cs="Arial" w:eastAsia="Arial" w:hAnsi="Arial"/>
                <w:sz w:val="18"/>
                <w:szCs w:val="18"/>
                <w:color w:val="auto"/>
              </w:rPr>
              <w:t>4,739,460</w:t>
            </w:r>
          </w:p>
        </w:tc>
        <w:tc>
          <w:tcPr>
            <w:tcW w:w="200" w:type="dxa"/>
            <w:vAlign w:val="bottom"/>
          </w:tcPr>
          <w:p>
            <w:pPr>
              <w:spacing w:after="0"/>
              <w:rPr>
                <w:sz w:val="17"/>
                <w:szCs w:val="17"/>
                <w:color w:val="auto"/>
              </w:rPr>
            </w:pPr>
          </w:p>
        </w:tc>
        <w:tc>
          <w:tcPr>
            <w:tcW w:w="7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4.54</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(234,094)</w:t>
            </w:r>
          </w:p>
        </w:tc>
        <w:tc>
          <w:tcPr>
            <w:tcW w:w="200" w:type="dxa"/>
            <w:vAlign w:val="bottom"/>
          </w:tcPr>
          <w:p>
            <w:pPr>
              <w:spacing w:after="0"/>
              <w:rPr>
                <w:sz w:val="17"/>
                <w:szCs w:val="17"/>
                <w:color w:val="auto"/>
              </w:rPr>
            </w:pPr>
          </w:p>
        </w:tc>
        <w:tc>
          <w:tcPr>
            <w:tcW w:w="7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2.83</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(371,993)</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9.25</w:t>
            </w:r>
          </w:p>
        </w:tc>
        <w:tc>
          <w:tcPr>
            <w:tcW w:w="1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32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color w:val="auto"/>
              </w:rPr>
              <w:t>15,486,430</w:t>
            </w:r>
          </w:p>
        </w:tc>
        <w:tc>
          <w:tcPr>
            <w:tcW w:w="2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8.66</w:t>
            </w:r>
          </w:p>
        </w:tc>
        <w:tc>
          <w:tcPr>
            <w:tcW w:w="1100" w:type="dxa"/>
            <w:vAlign w:val="bottom"/>
            <w:tcBorders>
              <w:bottom w:val="single" w:sz="8" w:color="auto"/>
            </w:tcBorders>
          </w:tcPr>
          <w:p>
            <w:pPr>
              <w:jc w:val="right"/>
              <w:ind w:right="41"/>
              <w:spacing w:after="0" w:line="196" w:lineRule="exact"/>
              <w:rPr>
                <w:sz w:val="20"/>
                <w:szCs w:val="20"/>
                <w:color w:val="auto"/>
              </w:rPr>
            </w:pPr>
            <w:r>
              <w:rPr>
                <w:rFonts w:ascii="Arial" w:cs="Arial" w:eastAsia="Arial" w:hAnsi="Arial"/>
                <w:sz w:val="18"/>
                <w:szCs w:val="18"/>
                <w:color w:val="auto"/>
              </w:rPr>
              <w:t>7.54</w:t>
            </w:r>
          </w:p>
        </w:tc>
        <w:tc>
          <w:tcPr>
            <w:tcW w:w="24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8"/>
              <w:spacing w:after="0" w:line="196" w:lineRule="exact"/>
              <w:rPr>
                <w:sz w:val="20"/>
                <w:szCs w:val="20"/>
                <w:color w:val="auto"/>
              </w:rPr>
            </w:pPr>
            <w:r>
              <w:rPr>
                <w:rFonts w:ascii="Arial" w:cs="Arial" w:eastAsia="Arial" w:hAnsi="Arial"/>
                <w:sz w:val="18"/>
                <w:szCs w:val="18"/>
                <w:color w:val="auto"/>
              </w:rPr>
              <w:t>51,958</w:t>
            </w:r>
          </w:p>
        </w:tc>
        <w:tc>
          <w:tcPr>
            <w:tcW w:w="0" w:type="dxa"/>
            <w:vAlign w:val="bottom"/>
          </w:tcPr>
          <w:p>
            <w:pPr>
              <w:spacing w:after="0"/>
              <w:rPr>
                <w:sz w:val="1"/>
                <w:szCs w:val="1"/>
                <w:color w:val="auto"/>
              </w:rPr>
            </w:pP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1320" w:type="dxa"/>
            <w:vAlign w:val="bottom"/>
          </w:tcPr>
          <w:p>
            <w:pPr>
              <w:jc w:val="right"/>
              <w:ind w:right="74"/>
              <w:spacing w:after="0"/>
              <w:rPr>
                <w:sz w:val="20"/>
                <w:szCs w:val="20"/>
                <w:color w:val="auto"/>
              </w:rPr>
            </w:pPr>
            <w:r>
              <w:rPr>
                <w:rFonts w:ascii="Arial" w:cs="Arial" w:eastAsia="Arial" w:hAnsi="Arial"/>
                <w:sz w:val="18"/>
                <w:szCs w:val="18"/>
                <w:color w:val="auto"/>
              </w:rPr>
              <w:t>8,162,451</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9.99</w:t>
            </w:r>
          </w:p>
        </w:tc>
        <w:tc>
          <w:tcPr>
            <w:tcW w:w="1100" w:type="dxa"/>
            <w:vAlign w:val="bottom"/>
          </w:tcPr>
          <w:p>
            <w:pPr>
              <w:jc w:val="right"/>
              <w:ind w:right="41"/>
              <w:spacing w:after="0"/>
              <w:rPr>
                <w:sz w:val="20"/>
                <w:szCs w:val="20"/>
                <w:color w:val="auto"/>
              </w:rPr>
            </w:pPr>
            <w:r>
              <w:rPr>
                <w:rFonts w:ascii="Arial" w:cs="Arial" w:eastAsia="Arial" w:hAnsi="Arial"/>
                <w:sz w:val="18"/>
                <w:szCs w:val="18"/>
                <w:color w:val="auto"/>
              </w:rPr>
              <w:t>6.28</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24,309</w:t>
            </w:r>
          </w:p>
        </w:tc>
        <w:tc>
          <w:tcPr>
            <w:tcW w:w="0" w:type="dxa"/>
            <w:vAlign w:val="bottom"/>
          </w:tcPr>
          <w:p>
            <w:pPr>
              <w:spacing w:after="0"/>
              <w:rPr>
                <w:sz w:val="1"/>
                <w:szCs w:val="1"/>
                <w:color w:val="auto"/>
              </w:rPr>
            </w:pPr>
          </w:p>
        </w:tc>
      </w:tr>
      <w:tr>
        <w:trPr>
          <w:trHeight w:val="239"/>
        </w:trPr>
        <w:tc>
          <w:tcPr>
            <w:tcW w:w="1320" w:type="dxa"/>
            <w:vAlign w:val="bottom"/>
          </w:tcPr>
          <w:p>
            <w:pPr>
              <w:jc w:val="right"/>
              <w:ind w:right="74"/>
              <w:spacing w:after="0"/>
              <w:rPr>
                <w:sz w:val="20"/>
                <w:szCs w:val="20"/>
                <w:color w:val="auto"/>
              </w:rPr>
            </w:pPr>
            <w:r>
              <w:rPr>
                <w:rFonts w:ascii="Arial" w:cs="Arial" w:eastAsia="Arial" w:hAnsi="Arial"/>
                <w:sz w:val="18"/>
                <w:szCs w:val="18"/>
                <w:color w:val="auto"/>
              </w:rPr>
              <w:t>7,323,979</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7.18</w:t>
            </w:r>
          </w:p>
        </w:tc>
        <w:tc>
          <w:tcPr>
            <w:tcW w:w="1100" w:type="dxa"/>
            <w:vAlign w:val="bottom"/>
          </w:tcPr>
          <w:p>
            <w:pPr>
              <w:jc w:val="right"/>
              <w:ind w:right="41"/>
              <w:spacing w:after="0"/>
              <w:rPr>
                <w:sz w:val="20"/>
                <w:szCs w:val="20"/>
                <w:color w:val="auto"/>
              </w:rPr>
            </w:pPr>
            <w:r>
              <w:rPr>
                <w:rFonts w:ascii="Arial" w:cs="Arial" w:eastAsia="Arial" w:hAnsi="Arial"/>
                <w:sz w:val="18"/>
                <w:szCs w:val="18"/>
                <w:color w:val="auto"/>
              </w:rPr>
              <w:t>8.95</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27,649</w:t>
            </w:r>
          </w:p>
        </w:tc>
        <w:tc>
          <w:tcPr>
            <w:tcW w:w="0" w:type="dxa"/>
            <w:vAlign w:val="bottom"/>
          </w:tcPr>
          <w:p>
            <w:pPr>
              <w:spacing w:after="0"/>
              <w:rPr>
                <w:sz w:val="1"/>
                <w:szCs w:val="1"/>
                <w:color w:val="auto"/>
              </w:rPr>
            </w:pPr>
          </w:p>
        </w:tc>
      </w:tr>
    </w:tbl>
    <w:p>
      <w:pPr>
        <w:spacing w:after="0" w:line="222" w:lineRule="exact"/>
        <w:rPr>
          <w:sz w:val="20"/>
          <w:szCs w:val="20"/>
          <w:color w:val="auto"/>
        </w:rPr>
      </w:pPr>
    </w:p>
    <w:p>
      <w:pPr>
        <w:sectPr>
          <w:pgSz w:w="11900" w:h="16838" w:orient="portrait"/>
          <w:cols w:equalWidth="0" w:num="2">
            <w:col w:w="6100" w:space="720"/>
            <w:col w:w="4420"/>
          </w:cols>
          <w:pgMar w:left="320" w:top="117" w:right="33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2020 Employee Stock Purchase Plan</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2020, the Board and the Company’s stockholders approved and adopted the ESPP. The ESPP permits eligible employees who elect to participate in an offering under the ESPP to have up to 15% of their eligible earnings withheld, subject to certain limitations, to purchase shares of common stock pursuant to the ESPP. The price of the common stock purchased under the ESPP is equal to the lesser of (i) 85% of the fair market value of a share of the Company’s common stock on the first day of an offering; or (ii) 85% of the fair market value of a share of the Company’s common stock on the date of purchase. Each offering period is not to exceed 27 months and will include one or more purchase periods (each a “Purchase Period”) as approved by the Board in the offering. A total of 430,416 shares of common stock were initially reserved for issuance pursuant to the ESPP. Subsequently, the number of shares of the Company’s common stock reserved for issuance under the ESPP automatically increases on January 1 of each year for a period of up to ten years, commencing on January 1, 2021 and continuing through January 1, 2030, in amount equal to the lesser of (i) 1% of the total number of shares of the Company’s common stock outstanding on December 31 of the preceding calendar year, (ii) 860,832 shares of common stock, or (iii) a lesser number of shares determined by the Board no later than December 31 of the preceding calendar year.</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ESPP is a compensatory plan as defined by the authoritative guidance for stock-based compensation. The Company uses the Black-Scholes option-pricing model to estimate the fair value of stock offered under the ESPP. Stock-based compensation expense related to the ESPP was $0.1 million for each of the three-month periods ended September 30, 2025 and 2024, and $0.5 million and $0.4 million for the nine months ended September 30, 2025 and 2024, respectively.</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1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Stock-based compensation expense related to awards granted under the 2014 Plan, the 2020 Plan, the ESPP and the 2022 Inducement Plan was classified in the condensed consolidated statements of operations and comprehensive loss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4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2600" w:type="dxa"/>
            <w:vAlign w:val="bottom"/>
            <w:tcBorders>
              <w:top w:val="single" w:sz="8" w:color="auto"/>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top w:val="single" w:sz="8" w:color="auto"/>
            </w:tcBorders>
          </w:tcPr>
          <w:p>
            <w:pPr>
              <w:spacing w:after="0"/>
              <w:rPr>
                <w:sz w:val="15"/>
                <w:szCs w:val="15"/>
                <w:color w:val="auto"/>
              </w:rPr>
            </w:pPr>
          </w:p>
        </w:tc>
        <w:tc>
          <w:tcPr>
            <w:tcW w:w="2720" w:type="dxa"/>
            <w:vAlign w:val="bottom"/>
            <w:tcBorders>
              <w:top w:val="single" w:sz="8" w:color="auto"/>
              <w:bottom w:val="single" w:sz="8" w:color="auto"/>
            </w:tcBorders>
            <w:gridSpan w:val="4"/>
          </w:tcPr>
          <w:p>
            <w:pPr>
              <w:jc w:val="right"/>
              <w:ind w:right="155"/>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39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3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Research and development</w:t>
            </w:r>
          </w:p>
        </w:tc>
        <w:tc>
          <w:tcPr>
            <w:tcW w:w="1940" w:type="dxa"/>
            <w:vAlign w:val="bottom"/>
            <w:gridSpan w:val="2"/>
            <w:shd w:val="clear" w:color="auto" w:fill="CFF0FC"/>
          </w:tcPr>
          <w:p>
            <w:pPr>
              <w:ind w:left="172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95"/>
              <w:spacing w:after="0" w:line="196" w:lineRule="exact"/>
              <w:rPr>
                <w:sz w:val="20"/>
                <w:szCs w:val="20"/>
                <w:color w:val="auto"/>
              </w:rPr>
            </w:pPr>
            <w:r>
              <w:rPr>
                <w:rFonts w:ascii="Arial" w:cs="Arial" w:eastAsia="Arial" w:hAnsi="Arial"/>
                <w:sz w:val="18"/>
                <w:szCs w:val="18"/>
                <w:color w:val="auto"/>
              </w:rPr>
              <w:t>2,582</w:t>
            </w:r>
          </w:p>
        </w:tc>
        <w:tc>
          <w:tcPr>
            <w:tcW w:w="4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4,280</w:t>
            </w:r>
          </w:p>
        </w:tc>
        <w:tc>
          <w:tcPr>
            <w:tcW w:w="540" w:type="dxa"/>
            <w:vAlign w:val="bottom"/>
            <w:gridSpan w:val="2"/>
            <w:shd w:val="clear" w:color="auto" w:fill="CFF0FC"/>
          </w:tcPr>
          <w:p>
            <w:pPr>
              <w:jc w:val="right"/>
              <w:ind w:right="68"/>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95"/>
              <w:spacing w:after="0" w:line="196" w:lineRule="exact"/>
              <w:rPr>
                <w:sz w:val="20"/>
                <w:szCs w:val="20"/>
                <w:color w:val="auto"/>
              </w:rPr>
            </w:pPr>
            <w:r>
              <w:rPr>
                <w:rFonts w:ascii="Arial" w:cs="Arial" w:eastAsia="Arial" w:hAnsi="Arial"/>
                <w:sz w:val="18"/>
                <w:szCs w:val="18"/>
                <w:color w:val="auto"/>
              </w:rPr>
              <w:t>9,592</w:t>
            </w:r>
          </w:p>
        </w:tc>
        <w:tc>
          <w:tcPr>
            <w:tcW w:w="40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11,925</w:t>
            </w: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17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95"/>
              <w:spacing w:after="0" w:line="202" w:lineRule="exact"/>
              <w:rPr>
                <w:sz w:val="20"/>
                <w:szCs w:val="20"/>
                <w:color w:val="auto"/>
              </w:rPr>
            </w:pPr>
            <w:r>
              <w:rPr>
                <w:rFonts w:ascii="Arial" w:cs="Arial" w:eastAsia="Arial" w:hAnsi="Arial"/>
                <w:sz w:val="18"/>
                <w:szCs w:val="18"/>
                <w:color w:val="auto"/>
              </w:rPr>
              <w:t>1,668</w:t>
            </w: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1,346</w:t>
            </w:r>
          </w:p>
        </w:tc>
        <w:tc>
          <w:tcPr>
            <w:tcW w:w="260" w:type="dxa"/>
            <w:vAlign w:val="bottom"/>
          </w:tcPr>
          <w:p>
            <w:pPr>
              <w:spacing w:after="0"/>
              <w:rPr>
                <w:sz w:val="17"/>
                <w:szCs w:val="17"/>
                <w:color w:val="auto"/>
              </w:rPr>
            </w:pPr>
          </w:p>
        </w:tc>
        <w:tc>
          <w:tcPr>
            <w:tcW w:w="28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tcPr>
          <w:p>
            <w:pPr>
              <w:jc w:val="right"/>
              <w:ind w:right="95"/>
              <w:spacing w:after="0" w:line="202" w:lineRule="exact"/>
              <w:rPr>
                <w:sz w:val="20"/>
                <w:szCs w:val="20"/>
                <w:color w:val="auto"/>
              </w:rPr>
            </w:pPr>
            <w:r>
              <w:rPr>
                <w:rFonts w:ascii="Arial" w:cs="Arial" w:eastAsia="Arial" w:hAnsi="Arial"/>
                <w:sz w:val="18"/>
                <w:szCs w:val="18"/>
                <w:color w:val="auto"/>
              </w:rPr>
              <w:t>3,728</w:t>
            </w:r>
          </w:p>
        </w:tc>
        <w:tc>
          <w:tcPr>
            <w:tcW w:w="40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tcPr>
          <w:p>
            <w:pPr>
              <w:jc w:val="right"/>
              <w:ind w:right="35"/>
              <w:spacing w:after="0" w:line="202" w:lineRule="exact"/>
              <w:rPr>
                <w:sz w:val="20"/>
                <w:szCs w:val="20"/>
                <w:color w:val="auto"/>
              </w:rPr>
            </w:pPr>
            <w:r>
              <w:rPr>
                <w:rFonts w:ascii="Arial" w:cs="Arial" w:eastAsia="Arial" w:hAnsi="Arial"/>
                <w:sz w:val="18"/>
                <w:szCs w:val="18"/>
                <w:color w:val="auto"/>
              </w:rPr>
              <w:t>4,334</w:t>
            </w:r>
          </w:p>
        </w:tc>
      </w:tr>
      <w:tr>
        <w:trPr>
          <w:trHeight w:val="236"/>
        </w:trPr>
        <w:tc>
          <w:tcPr>
            <w:tcW w:w="394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940" w:type="dxa"/>
            <w:vAlign w:val="bottom"/>
            <w:tcBorders>
              <w:bottom w:val="single" w:sz="8" w:color="auto"/>
            </w:tcBorders>
            <w:gridSpan w:val="2"/>
            <w:shd w:val="clear" w:color="auto" w:fill="CFF0FC"/>
          </w:tcPr>
          <w:p>
            <w:pPr>
              <w:ind w:left="172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95"/>
              <w:spacing w:after="0" w:line="196" w:lineRule="exact"/>
              <w:rPr>
                <w:sz w:val="20"/>
                <w:szCs w:val="20"/>
                <w:color w:val="auto"/>
              </w:rPr>
            </w:pPr>
            <w:r>
              <w:rPr>
                <w:rFonts w:ascii="Arial" w:cs="Arial" w:eastAsia="Arial" w:hAnsi="Arial"/>
                <w:sz w:val="18"/>
                <w:szCs w:val="18"/>
                <w:color w:val="auto"/>
              </w:rPr>
              <w:t>4,250</w:t>
            </w:r>
          </w:p>
        </w:tc>
        <w:tc>
          <w:tcPr>
            <w:tcW w:w="42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5,626</w:t>
            </w:r>
          </w:p>
        </w:tc>
        <w:tc>
          <w:tcPr>
            <w:tcW w:w="540" w:type="dxa"/>
            <w:vAlign w:val="bottom"/>
            <w:tcBorders>
              <w:bottom w:val="single" w:sz="8" w:color="auto"/>
            </w:tcBorders>
            <w:gridSpan w:val="2"/>
            <w:shd w:val="clear" w:color="auto" w:fill="CFF0FC"/>
          </w:tcPr>
          <w:p>
            <w:pPr>
              <w:jc w:val="right"/>
              <w:ind w:right="68"/>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ind w:right="95"/>
              <w:spacing w:after="0" w:line="196" w:lineRule="exact"/>
              <w:rPr>
                <w:sz w:val="20"/>
                <w:szCs w:val="20"/>
                <w:color w:val="auto"/>
              </w:rPr>
            </w:pPr>
            <w:r>
              <w:rPr>
                <w:rFonts w:ascii="Arial" w:cs="Arial" w:eastAsia="Arial" w:hAnsi="Arial"/>
                <w:sz w:val="18"/>
                <w:szCs w:val="18"/>
                <w:color w:val="auto"/>
              </w:rPr>
              <w:t>13,320</w:t>
            </w:r>
          </w:p>
        </w:tc>
        <w:tc>
          <w:tcPr>
            <w:tcW w:w="40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16,259</w:t>
            </w:r>
          </w:p>
        </w:tc>
      </w:tr>
    </w:tbl>
    <w:p>
      <w:pPr>
        <w:spacing w:after="0" w:line="224"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Loss Per Common Share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Common Share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loss per common share was calculated as follows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62" w:lineRule="exact"/>
        <w:rPr>
          <w:sz w:val="20"/>
          <w:szCs w:val="20"/>
          <w:color w:val="auto"/>
        </w:rPr>
      </w:pPr>
    </w:p>
    <w:p>
      <w:pPr>
        <w:ind w:left="482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6350</wp:posOffset>
            </wp:positionV>
            <wp:extent cx="22885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5" w:lineRule="exact"/>
        <w:rPr>
          <w:sz w:val="20"/>
          <w:szCs w:val="20"/>
          <w:color w:val="auto"/>
        </w:rPr>
      </w:pPr>
    </w:p>
    <w:p>
      <w:pPr>
        <w:ind w:left="5040"/>
        <w:spacing w:after="0"/>
        <w:tabs>
          <w:tab w:leader="none" w:pos="6880" w:val="left"/>
        </w:tabs>
        <w:rPr>
          <w:sz w:val="20"/>
          <w:szCs w:val="20"/>
          <w:color w:val="auto"/>
        </w:rPr>
      </w:pP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2024</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6350</wp:posOffset>
            </wp:positionV>
            <wp:extent cx="20916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5" w:lineRule="exact"/>
        <w:rPr>
          <w:sz w:val="20"/>
          <w:szCs w:val="20"/>
          <w:color w:val="auto"/>
        </w:rPr>
      </w:pPr>
    </w:p>
    <w:p>
      <w:pPr>
        <w:ind w:left="120"/>
        <w:spacing w:after="0"/>
        <w:tabs>
          <w:tab w:leader="none" w:pos="1800" w:val="left"/>
        </w:tabs>
        <w:rPr>
          <w:sz w:val="20"/>
          <w:szCs w:val="20"/>
          <w:color w:val="auto"/>
        </w:rPr>
      </w:pP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2024</w:t>
      </w:r>
    </w:p>
    <w:p>
      <w:pPr>
        <w:spacing w:after="0" w:line="1" w:lineRule="exact"/>
        <w:rPr>
          <w:sz w:val="20"/>
          <w:szCs w:val="20"/>
          <w:color w:val="auto"/>
        </w:rPr>
      </w:pPr>
    </w:p>
    <w:p>
      <w:pPr>
        <w:sectPr>
          <w:pgSz w:w="11900" w:h="16838" w:orient="portrait"/>
          <w:cols w:equalWidth="0" w:num="2">
            <w:col w:w="7680" w:space="720"/>
            <w:col w:w="284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4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Numerator:</w:t>
            </w:r>
          </w:p>
        </w:tc>
        <w:tc>
          <w:tcPr>
            <w:tcW w:w="50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120"/>
              <w:spacing w:after="0" w:line="202" w:lineRule="exact"/>
              <w:rPr>
                <w:sz w:val="20"/>
                <w:szCs w:val="20"/>
                <w:color w:val="auto"/>
              </w:rPr>
            </w:pPr>
            <w:r>
              <w:rPr>
                <w:rFonts w:ascii="Arial" w:cs="Arial" w:eastAsia="Arial" w:hAnsi="Arial"/>
                <w:sz w:val="18"/>
                <w:szCs w:val="18"/>
                <w:color w:val="auto"/>
              </w:rPr>
              <w:t>Net loss</w:t>
            </w:r>
          </w:p>
        </w:tc>
        <w:tc>
          <w:tcPr>
            <w:tcW w:w="50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(42,217)</w:t>
            </w:r>
          </w:p>
        </w:tc>
        <w:tc>
          <w:tcPr>
            <w:tcW w:w="50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(34,555)</w:t>
            </w:r>
          </w:p>
        </w:tc>
        <w:tc>
          <w:tcPr>
            <w:tcW w:w="4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(116,390)</w:t>
            </w:r>
          </w:p>
        </w:tc>
        <w:tc>
          <w:tcPr>
            <w:tcW w:w="50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(95,907)</w:t>
            </w: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5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240" w:type="dxa"/>
            <w:vAlign w:val="bottom"/>
          </w:tcPr>
          <w:p>
            <w:pPr>
              <w:ind w:left="120"/>
              <w:spacing w:after="0" w:line="183" w:lineRule="exact"/>
              <w:rPr>
                <w:sz w:val="20"/>
                <w:szCs w:val="20"/>
                <w:color w:val="auto"/>
              </w:rPr>
            </w:pPr>
            <w:r>
              <w:rPr>
                <w:rFonts w:ascii="Arial" w:cs="Arial" w:eastAsia="Arial" w:hAnsi="Arial"/>
                <w:sz w:val="18"/>
                <w:szCs w:val="18"/>
                <w:color w:val="auto"/>
              </w:rPr>
              <w:t>Weighted average shares used to compute net</w:t>
            </w:r>
          </w:p>
        </w:tc>
        <w:tc>
          <w:tcPr>
            <w:tcW w:w="5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85,732,221</w:t>
            </w:r>
          </w:p>
        </w:tc>
        <w:tc>
          <w:tcPr>
            <w:tcW w:w="5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57,262,803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85,553,078</w:t>
            </w:r>
          </w:p>
        </w:tc>
        <w:tc>
          <w:tcPr>
            <w:tcW w:w="5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53,194,081</w:t>
            </w:r>
          </w:p>
        </w:tc>
        <w:tc>
          <w:tcPr>
            <w:tcW w:w="0" w:type="dxa"/>
            <w:vAlign w:val="bottom"/>
          </w:tcPr>
          <w:p>
            <w:pPr>
              <w:spacing w:after="0"/>
              <w:rPr>
                <w:sz w:val="1"/>
                <w:szCs w:val="1"/>
                <w:color w:val="auto"/>
              </w:rPr>
            </w:pPr>
          </w:p>
        </w:tc>
      </w:tr>
      <w:tr>
        <w:trPr>
          <w:trHeight w:val="208"/>
        </w:trPr>
        <w:tc>
          <w:tcPr>
            <w:tcW w:w="4240" w:type="dxa"/>
            <w:vAlign w:val="bottom"/>
          </w:tcPr>
          <w:p>
            <w:pPr>
              <w:ind w:left="120"/>
              <w:spacing w:after="0"/>
              <w:rPr>
                <w:sz w:val="20"/>
                <w:szCs w:val="20"/>
                <w:color w:val="auto"/>
              </w:rPr>
            </w:pPr>
            <w:r>
              <w:rPr>
                <w:rFonts w:ascii="Arial" w:cs="Arial" w:eastAsia="Arial" w:hAnsi="Arial"/>
                <w:sz w:val="18"/>
                <w:szCs w:val="18"/>
                <w:color w:val="auto"/>
              </w:rPr>
              <w:t>loss per share, basic and diluted¹</w:t>
            </w:r>
          </w:p>
        </w:tc>
        <w:tc>
          <w:tcPr>
            <w:tcW w:w="5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4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500" w:type="dxa"/>
            <w:vAlign w:val="bottom"/>
            <w:tcBorders>
              <w:bottom w:val="single" w:sz="8" w:color="auto"/>
            </w:tcBorders>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(0.49)</w:t>
            </w:r>
          </w:p>
        </w:tc>
        <w:tc>
          <w:tcPr>
            <w:tcW w:w="500" w:type="dxa"/>
            <w:vAlign w:val="bottom"/>
            <w:tcBorders>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(0.60)</w:t>
            </w:r>
          </w:p>
        </w:tc>
        <w:tc>
          <w:tcPr>
            <w:tcW w:w="440" w:type="dxa"/>
            <w:vAlign w:val="bottom"/>
            <w:tcBorders>
              <w:bottom w:val="single" w:sz="8" w:color="auto"/>
            </w:tcBorders>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(1.36)</w:t>
            </w:r>
          </w:p>
        </w:tc>
        <w:tc>
          <w:tcPr>
            <w:tcW w:w="500" w:type="dxa"/>
            <w:vAlign w:val="bottom"/>
            <w:tcBorders>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340" w:firstLine="8"/>
        <w:spacing w:after="0" w:line="271" w:lineRule="auto"/>
        <w:tabs>
          <w:tab w:leader="none" w:pos="11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the three and nine months ended September 30, 2025, the weighted average shares used to compute net loss per share, basic and diluted, include the effect from the pre-funded warrants.</w:t>
      </w:r>
    </w:p>
    <w:p>
      <w:pPr>
        <w:spacing w:after="0" w:line="38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potentially dilutive shares that were excluded from the calculation of diluted net loss per share because their effect would have been anti-dilutive for the periods presented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60" w:type="dxa"/>
            <w:vAlign w:val="bottom"/>
            <w:tcBorders>
              <w:top w:val="single" w:sz="8" w:color="auto"/>
            </w:tcBorders>
          </w:tcPr>
          <w:p>
            <w:pPr>
              <w:spacing w:after="0"/>
              <w:rPr>
                <w:sz w:val="15"/>
                <w:szCs w:val="15"/>
                <w:color w:val="auto"/>
              </w:rPr>
            </w:pPr>
          </w:p>
        </w:tc>
        <w:tc>
          <w:tcPr>
            <w:tcW w:w="2880" w:type="dxa"/>
            <w:vAlign w:val="bottom"/>
            <w:tcBorders>
              <w:top w:val="single" w:sz="8" w:color="auto"/>
            </w:tcBorders>
          </w:tcPr>
          <w:p>
            <w:pPr>
              <w:spacing w:after="0"/>
              <w:rPr>
                <w:sz w:val="15"/>
                <w:szCs w:val="15"/>
                <w:color w:val="auto"/>
              </w:rPr>
            </w:pPr>
          </w:p>
        </w:tc>
        <w:tc>
          <w:tcPr>
            <w:tcW w:w="3300" w:type="dxa"/>
            <w:vAlign w:val="bottom"/>
            <w:tcBorders>
              <w:top w:val="single" w:sz="8" w:color="auto"/>
              <w:bottom w:val="single" w:sz="8" w:color="auto"/>
            </w:tcBorders>
            <w:gridSpan w:val="2"/>
          </w:tcPr>
          <w:p>
            <w:pPr>
              <w:jc w:val="right"/>
              <w:ind w:right="434"/>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50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920" w:type="dxa"/>
            <w:vAlign w:val="bottom"/>
            <w:tcBorders>
              <w:bottom w:val="single" w:sz="8" w:color="auto"/>
            </w:tcBorders>
          </w:tcPr>
          <w:p>
            <w:pPr>
              <w:jc w:val="right"/>
              <w:ind w:right="902"/>
              <w:spacing w:after="0" w:line="155" w:lineRule="exact"/>
              <w:rPr>
                <w:sz w:val="20"/>
                <w:szCs w:val="20"/>
                <w:color w:val="auto"/>
              </w:rPr>
            </w:pPr>
            <w:r>
              <w:rPr>
                <w:rFonts w:ascii="Arial" w:cs="Arial" w:eastAsia="Arial" w:hAnsi="Arial"/>
                <w:sz w:val="14"/>
                <w:szCs w:val="14"/>
                <w:b w:val="1"/>
                <w:bCs w:val="1"/>
                <w:color w:val="auto"/>
              </w:rPr>
              <w:t>2025</w:t>
            </w:r>
          </w:p>
        </w:tc>
        <w:tc>
          <w:tcPr>
            <w:tcW w:w="138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50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Options to purchase common stock</w:t>
            </w:r>
          </w:p>
        </w:tc>
        <w:tc>
          <w:tcPr>
            <w:tcW w:w="4800" w:type="dxa"/>
            <w:vAlign w:val="bottom"/>
            <w:gridSpan w:val="2"/>
            <w:shd w:val="clear" w:color="auto" w:fill="CFF0FC"/>
          </w:tcPr>
          <w:p>
            <w:pPr>
              <w:jc w:val="right"/>
              <w:ind w:right="282"/>
              <w:spacing w:after="0" w:line="196" w:lineRule="exact"/>
              <w:rPr>
                <w:sz w:val="20"/>
                <w:szCs w:val="20"/>
                <w:color w:val="auto"/>
              </w:rPr>
            </w:pPr>
            <w:r>
              <w:rPr>
                <w:rFonts w:ascii="Arial" w:cs="Arial" w:eastAsia="Arial" w:hAnsi="Arial"/>
                <w:sz w:val="18"/>
                <w:szCs w:val="18"/>
                <w:color w:val="auto"/>
              </w:rPr>
              <w:t>15,486,430</w:t>
            </w:r>
          </w:p>
        </w:tc>
        <w:tc>
          <w:tcPr>
            <w:tcW w:w="138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11,374,048</w:t>
            </w: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Employee stock purchase plan contingently issuable</w:t>
            </w:r>
          </w:p>
        </w:tc>
        <w:tc>
          <w:tcPr>
            <w:tcW w:w="4800" w:type="dxa"/>
            <w:vAlign w:val="bottom"/>
            <w:gridSpan w:val="2"/>
          </w:tcPr>
          <w:p>
            <w:pPr>
              <w:jc w:val="right"/>
              <w:ind w:right="282"/>
              <w:spacing w:after="0" w:line="202" w:lineRule="exact"/>
              <w:rPr>
                <w:sz w:val="20"/>
                <w:szCs w:val="20"/>
                <w:color w:val="auto"/>
              </w:rPr>
            </w:pPr>
            <w:r>
              <w:rPr>
                <w:rFonts w:ascii="Arial" w:cs="Arial" w:eastAsia="Arial" w:hAnsi="Arial"/>
                <w:sz w:val="18"/>
                <w:szCs w:val="18"/>
                <w:color w:val="auto"/>
              </w:rPr>
              <w:t>52,567</w:t>
            </w:r>
          </w:p>
        </w:tc>
        <w:tc>
          <w:tcPr>
            <w:tcW w:w="13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17,227</w:t>
            </w:r>
          </w:p>
        </w:tc>
      </w:tr>
      <w:tr>
        <w:trPr>
          <w:trHeight w:val="203"/>
        </w:trPr>
        <w:tc>
          <w:tcPr>
            <w:tcW w:w="50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Unvested performance-based restricted stock unit awards</w:t>
            </w:r>
          </w:p>
        </w:tc>
        <w:tc>
          <w:tcPr>
            <w:tcW w:w="2880" w:type="dxa"/>
            <w:vAlign w:val="bottom"/>
            <w:tcBorders>
              <w:bottom w:val="single" w:sz="8" w:color="CFF0FC"/>
            </w:tcBorders>
            <w:shd w:val="clear" w:color="auto" w:fill="CFF0FC"/>
          </w:tcPr>
          <w:p>
            <w:pPr>
              <w:spacing w:after="0"/>
              <w:rPr>
                <w:sz w:val="17"/>
                <w:szCs w:val="17"/>
                <w:color w:val="auto"/>
              </w:rPr>
            </w:pPr>
          </w:p>
        </w:tc>
        <w:tc>
          <w:tcPr>
            <w:tcW w:w="1920" w:type="dxa"/>
            <w:vAlign w:val="bottom"/>
            <w:tcBorders>
              <w:bottom w:val="single" w:sz="8" w:color="auto"/>
            </w:tcBorders>
            <w:shd w:val="clear" w:color="auto" w:fill="CFF0FC"/>
          </w:tcPr>
          <w:p>
            <w:pPr>
              <w:jc w:val="right"/>
              <w:ind w:right="282"/>
              <w:spacing w:after="0" w:line="202"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403,000</w:t>
            </w:r>
          </w:p>
        </w:tc>
      </w:tr>
      <w:tr>
        <w:trPr>
          <w:trHeight w:val="196"/>
        </w:trPr>
        <w:tc>
          <w:tcPr>
            <w:tcW w:w="5060" w:type="dxa"/>
            <w:vAlign w:val="bottom"/>
            <w:tcBorders>
              <w:bottom w:val="single" w:sz="8" w:color="auto"/>
            </w:tcBorders>
          </w:tcPr>
          <w:p>
            <w:pPr>
              <w:spacing w:after="0"/>
              <w:rPr>
                <w:sz w:val="17"/>
                <w:szCs w:val="17"/>
                <w:color w:val="auto"/>
              </w:rPr>
            </w:pPr>
          </w:p>
        </w:tc>
        <w:tc>
          <w:tcPr>
            <w:tcW w:w="4800" w:type="dxa"/>
            <w:vAlign w:val="bottom"/>
            <w:tcBorders>
              <w:bottom w:val="single" w:sz="8" w:color="auto"/>
            </w:tcBorders>
            <w:gridSpan w:val="2"/>
          </w:tcPr>
          <w:p>
            <w:pPr>
              <w:jc w:val="right"/>
              <w:ind w:right="282"/>
              <w:spacing w:after="0" w:line="196" w:lineRule="exact"/>
              <w:rPr>
                <w:sz w:val="20"/>
                <w:szCs w:val="20"/>
                <w:color w:val="auto"/>
              </w:rPr>
            </w:pPr>
            <w:r>
              <w:rPr>
                <w:rFonts w:ascii="Arial" w:cs="Arial" w:eastAsia="Arial" w:hAnsi="Arial"/>
                <w:sz w:val="18"/>
                <w:szCs w:val="18"/>
                <w:color w:val="auto"/>
              </w:rPr>
              <w:t>15,538,997</w:t>
            </w:r>
          </w:p>
        </w:tc>
        <w:tc>
          <w:tcPr>
            <w:tcW w:w="138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11,794,275</w:t>
            </w: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700"/>
        </w:trPr>
        <w:tc>
          <w:tcPr>
            <w:tcW w:w="5060" w:type="dxa"/>
            <w:vAlign w:val="bottom"/>
          </w:tcPr>
          <w:p>
            <w:pPr>
              <w:spacing w:after="0"/>
              <w:rPr>
                <w:sz w:val="24"/>
                <w:szCs w:val="24"/>
                <w:color w:val="auto"/>
              </w:rPr>
            </w:pPr>
          </w:p>
        </w:tc>
        <w:tc>
          <w:tcPr>
            <w:tcW w:w="2880" w:type="dxa"/>
            <w:vAlign w:val="bottom"/>
          </w:tcPr>
          <w:p>
            <w:pPr>
              <w:jc w:val="right"/>
              <w:ind w:right="2130"/>
              <w:spacing w:after="0"/>
              <w:rPr>
                <w:sz w:val="20"/>
                <w:szCs w:val="20"/>
                <w:color w:val="auto"/>
              </w:rPr>
            </w:pPr>
            <w:r>
              <w:rPr>
                <w:rFonts w:ascii="Arial" w:cs="Arial" w:eastAsia="Arial" w:hAnsi="Arial"/>
                <w:sz w:val="18"/>
                <w:szCs w:val="18"/>
                <w:color w:val="auto"/>
              </w:rPr>
              <w:t>19</w:t>
            </w:r>
          </w:p>
        </w:tc>
        <w:tc>
          <w:tcPr>
            <w:tcW w:w="19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745"/>
        </w:trPr>
        <w:tc>
          <w:tcPr>
            <w:tcW w:w="506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Lease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Company leases certain of its facilities under non-cancellable operating leases expiring at various dates into 2027.</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December 15, 2020, the Company entered into a lease agreement with Tennieh LLC to lease approximately 9,800 square feet of office and lab space in San Francisco, California (the “Laboratory Lease Agreement”). The Laboratory Lease Agreement was for a period of five years commencing approximately February 1, 2021 and ending January 31, 2026. In April 2025, the Company exercised its option to extend the lease term by an additional year, resulting in a revised expiration date of January 31, 2027. The modification was accounted under ASC 842, resulting in a remeasurement of the lease liability and a corresponding $0.8 million increase to the ROU asset. The incremental borrowing rate was also updated as part of the remeasurement. According to the terms of the Laboratory Lease Agreement, the Company paid a $0.4 million security deposit and is required to pay monthly rent and common area charges. No additional security deposit was paid in connection with the amendment.</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August 17, 2023, the Company entered into a sublease agreement with Dropbox, Inc. to sublease approximately 6,713 square feet of office space in San Francisco, California (the “Dropbox Sublease Agreement”). The Dropbox Sublease Agreement was for a period of two years commencing on September 5, 2023 and ending December 31, 2025. In June 2025, the Company exercised its option to extend the lease term by an additional year, resulting in a revised expiration date of December 31, 2026. The modification was accounted under ASC 842, resulting in a remeasurement of the lease liability and a corresponding $0.1 million increase to the ROU asset. The incremental borrowing rate was also updated as part of the remeasurement. According to the terms of the Dropbox Sublease Agreement, the Company paid a $0.1 million security deposit and is required to pay monthly rent and common area charges. No additional security deposit was paid in connection with the amendment.</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August 23, 2023, the Company entered into a lease agreement with The Cambridge Redevelopment Authority to lease approximately 4,020 square feet of office space in Cambridge, Massachusetts (the “Cambridge Lease Agreement”). The Cambridge Lease Agreement is for a period of three years commencing on September 15, 2023 and ending September 14, 2026. According to the terms of the Cambridge Lease Agreement, the Company paid a less than $0.1 million security deposit and is required to pay monthly rent and common area charges.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total lease expense during the three and nine months ended September 30, 2025 and 2024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60" w:type="dxa"/>
            <w:vAlign w:val="bottom"/>
            <w:tcBorders>
              <w:top w:val="single" w:sz="8" w:color="auto"/>
            </w:tcBorders>
          </w:tcPr>
          <w:p>
            <w:pPr>
              <w:spacing w:after="0"/>
              <w:rPr>
                <w:sz w:val="15"/>
                <w:szCs w:val="15"/>
                <w:color w:val="auto"/>
              </w:rPr>
            </w:pPr>
          </w:p>
        </w:tc>
        <w:tc>
          <w:tcPr>
            <w:tcW w:w="2820" w:type="dxa"/>
            <w:vAlign w:val="bottom"/>
            <w:tcBorders>
              <w:top w:val="single" w:sz="8" w:color="auto"/>
              <w:bottom w:val="single" w:sz="8" w:color="auto"/>
            </w:tcBorders>
            <w:gridSpan w:val="5"/>
          </w:tcPr>
          <w:p>
            <w:pPr>
              <w:jc w:val="right"/>
              <w:ind w:right="155"/>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2700" w:type="dxa"/>
            <w:vAlign w:val="bottom"/>
            <w:tcBorders>
              <w:top w:val="single" w:sz="8" w:color="auto"/>
              <w:bottom w:val="single" w:sz="8" w:color="auto"/>
            </w:tcBorders>
            <w:gridSpan w:val="4"/>
          </w:tcPr>
          <w:p>
            <w:pPr>
              <w:jc w:val="right"/>
              <w:ind w:right="215"/>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546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97"/>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54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Straight-line operating lease expense</w:t>
            </w:r>
          </w:p>
        </w:tc>
        <w:tc>
          <w:tcPr>
            <w:tcW w:w="900" w:type="dxa"/>
            <w:vAlign w:val="bottom"/>
            <w:shd w:val="clear" w:color="auto" w:fill="CFF0FC"/>
          </w:tcPr>
          <w:p>
            <w:pPr>
              <w:jc w:val="right"/>
              <w:ind w:right="719"/>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300</w:t>
            </w:r>
          </w:p>
        </w:tc>
        <w:tc>
          <w:tcPr>
            <w:tcW w:w="44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288</w:t>
            </w:r>
          </w:p>
        </w:tc>
        <w:tc>
          <w:tcPr>
            <w:tcW w:w="2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875</w:t>
            </w:r>
          </w:p>
        </w:tc>
        <w:tc>
          <w:tcPr>
            <w:tcW w:w="3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863</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Variable lease expense</w:t>
            </w: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100</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117</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7"/>
              <w:spacing w:after="0" w:line="202" w:lineRule="exact"/>
              <w:rPr>
                <w:sz w:val="20"/>
                <w:szCs w:val="20"/>
                <w:color w:val="auto"/>
              </w:rPr>
            </w:pPr>
            <w:r>
              <w:rPr>
                <w:rFonts w:ascii="Arial" w:cs="Arial" w:eastAsia="Arial" w:hAnsi="Arial"/>
                <w:sz w:val="18"/>
                <w:szCs w:val="18"/>
                <w:color w:val="auto"/>
              </w:rPr>
              <w:t>284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286</w:t>
            </w:r>
          </w:p>
        </w:tc>
      </w:tr>
      <w:tr>
        <w:trPr>
          <w:trHeight w:val="236"/>
        </w:trPr>
        <w:tc>
          <w:tcPr>
            <w:tcW w:w="546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Total operating lease expense</w:t>
            </w:r>
          </w:p>
        </w:tc>
        <w:tc>
          <w:tcPr>
            <w:tcW w:w="900" w:type="dxa"/>
            <w:vAlign w:val="bottom"/>
            <w:tcBorders>
              <w:bottom w:val="single" w:sz="8" w:color="auto"/>
            </w:tcBorders>
            <w:shd w:val="clear" w:color="auto" w:fill="CFF0FC"/>
          </w:tcPr>
          <w:p>
            <w:pPr>
              <w:jc w:val="right"/>
              <w:ind w:right="719"/>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400</w:t>
            </w:r>
          </w:p>
        </w:tc>
        <w:tc>
          <w:tcPr>
            <w:tcW w:w="440" w:type="dxa"/>
            <w:vAlign w:val="bottom"/>
            <w:tcBorders>
              <w:bottom w:val="single" w:sz="8" w:color="auto"/>
            </w:tcBorders>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405</w:t>
            </w:r>
          </w:p>
        </w:tc>
        <w:tc>
          <w:tcPr>
            <w:tcW w:w="260" w:type="dxa"/>
            <w:vAlign w:val="bottom"/>
            <w:tcBorders>
              <w:bottom w:val="single" w:sz="8" w:color="auto"/>
            </w:tcBorders>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1,159</w:t>
            </w:r>
          </w:p>
        </w:tc>
        <w:tc>
          <w:tcPr>
            <w:tcW w:w="380" w:type="dxa"/>
            <w:vAlign w:val="bottom"/>
            <w:tcBorders>
              <w:bottom w:val="single" w:sz="8" w:color="auto"/>
            </w:tcBorders>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1,149</w:t>
            </w:r>
          </w:p>
        </w:tc>
      </w:tr>
    </w:tbl>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summarizes supplemental cash flow information during the three and nine months ended September 30, 2025 and 2024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580" w:type="dxa"/>
            <w:vAlign w:val="bottom"/>
            <w:tcBorders>
              <w:top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Borders>
              <w:top w:val="single" w:sz="8" w:color="auto"/>
            </w:tcBorders>
          </w:tcPr>
          <w:p>
            <w:pPr>
              <w:spacing w:after="0"/>
              <w:rPr>
                <w:sz w:val="15"/>
                <w:szCs w:val="15"/>
                <w:color w:val="auto"/>
              </w:rPr>
            </w:pPr>
          </w:p>
        </w:tc>
        <w:tc>
          <w:tcPr>
            <w:tcW w:w="2760" w:type="dxa"/>
            <w:vAlign w:val="bottom"/>
            <w:tcBorders>
              <w:top w:val="single" w:sz="8" w:color="auto"/>
            </w:tcBorders>
            <w:gridSpan w:val="5"/>
          </w:tcPr>
          <w:p>
            <w:pPr>
              <w:jc w:val="right"/>
              <w:ind w:right="176"/>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5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2025</w:t>
            </w:r>
          </w:p>
        </w:tc>
        <w:tc>
          <w:tcPr>
            <w:tcW w:w="50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76"/>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5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paid for amounts included measurement of lease liabilities:</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203"/>
        </w:trPr>
        <w:tc>
          <w:tcPr>
            <w:tcW w:w="5380" w:type="dxa"/>
            <w:vAlign w:val="bottom"/>
          </w:tcPr>
          <w:p>
            <w:pPr>
              <w:ind w:left="16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5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312</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303</w:t>
            </w:r>
          </w:p>
        </w:tc>
        <w:tc>
          <w:tcPr>
            <w:tcW w:w="1080" w:type="dxa"/>
            <w:vAlign w:val="bottom"/>
            <w:gridSpan w:val="2"/>
          </w:tcPr>
          <w:p>
            <w:pPr>
              <w:jc w:val="right"/>
              <w:ind w:right="688"/>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931</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56"/>
              <w:spacing w:after="0" w:line="202" w:lineRule="exact"/>
              <w:rPr>
                <w:sz w:val="20"/>
                <w:szCs w:val="20"/>
                <w:color w:val="auto"/>
              </w:rPr>
            </w:pPr>
            <w:r>
              <w:rPr>
                <w:rFonts w:ascii="Arial" w:cs="Arial" w:eastAsia="Arial" w:hAnsi="Arial"/>
                <w:sz w:val="18"/>
                <w:szCs w:val="18"/>
                <w:color w:val="auto"/>
              </w:rPr>
              <w:t>856</w:t>
            </w:r>
          </w:p>
        </w:tc>
      </w:tr>
      <w:tr>
        <w:trPr>
          <w:trHeight w:val="184"/>
        </w:trPr>
        <w:tc>
          <w:tcPr>
            <w:tcW w:w="5380" w:type="dxa"/>
            <w:vAlign w:val="bottom"/>
            <w:shd w:val="clear" w:color="auto" w:fill="CFF0FC"/>
          </w:tcPr>
          <w:p>
            <w:pPr>
              <w:ind w:left="160"/>
              <w:spacing w:after="0" w:line="183" w:lineRule="exact"/>
              <w:rPr>
                <w:sz w:val="20"/>
                <w:szCs w:val="20"/>
                <w:color w:val="auto"/>
              </w:rPr>
            </w:pPr>
            <w:r>
              <w:rPr>
                <w:rFonts w:ascii="Arial" w:cs="Arial" w:eastAsia="Arial" w:hAnsi="Arial"/>
                <w:sz w:val="18"/>
                <w:szCs w:val="18"/>
                <w:color w:val="auto"/>
              </w:rPr>
              <w:t>Supplemental noncash information on lease liability arising from</w:t>
            </w: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r>
      <w:tr>
        <w:trPr>
          <w:trHeight w:val="261"/>
        </w:trPr>
        <w:tc>
          <w:tcPr>
            <w:tcW w:w="5380" w:type="dxa"/>
            <w:vAlign w:val="bottom"/>
            <w:tcBorders>
              <w:bottom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rPr>
              <w:t>obtaining a right-use-asset</w:t>
            </w:r>
          </w:p>
        </w:tc>
        <w:tc>
          <w:tcPr>
            <w:tcW w:w="540" w:type="dxa"/>
            <w:vAlign w:val="bottom"/>
            <w:tcBorders>
              <w:bottom w:val="single" w:sz="8" w:color="auto"/>
            </w:tcBorders>
            <w:gridSpan w:val="2"/>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shd w:val="clear" w:color="auto" w:fill="CFF0FC"/>
          </w:tcPr>
          <w:p>
            <w:pPr>
              <w:jc w:val="right"/>
              <w:ind w:right="688"/>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896</w:t>
            </w:r>
          </w:p>
        </w:tc>
        <w:tc>
          <w:tcPr>
            <w:tcW w:w="360" w:type="dxa"/>
            <w:vAlign w:val="bottom"/>
            <w:tcBorders>
              <w:bottom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w:t>
            </w:r>
          </w:p>
        </w:tc>
      </w:tr>
      <w:tr>
        <w:trPr>
          <w:trHeight w:val="713"/>
        </w:trPr>
        <w:tc>
          <w:tcPr>
            <w:tcW w:w="5380" w:type="dxa"/>
            <w:vAlign w:val="bottom"/>
          </w:tcPr>
          <w:p>
            <w:pPr>
              <w:spacing w:after="0"/>
              <w:rPr>
                <w:sz w:val="24"/>
                <w:szCs w:val="24"/>
                <w:color w:val="auto"/>
              </w:rPr>
            </w:pPr>
          </w:p>
        </w:tc>
        <w:tc>
          <w:tcPr>
            <w:tcW w:w="540" w:type="dxa"/>
            <w:vAlign w:val="bottom"/>
            <w:gridSpan w:val="2"/>
          </w:tcPr>
          <w:p>
            <w:pPr>
              <w:jc w:val="right"/>
              <w:ind w:right="128"/>
              <w:spacing w:after="0"/>
              <w:rPr>
                <w:sz w:val="20"/>
                <w:szCs w:val="20"/>
                <w:color w:val="auto"/>
              </w:rPr>
            </w:pPr>
            <w:r>
              <w:rPr>
                <w:rFonts w:ascii="Arial" w:cs="Arial" w:eastAsia="Arial" w:hAnsi="Arial"/>
                <w:sz w:val="18"/>
                <w:szCs w:val="18"/>
                <w:color w:val="auto"/>
              </w:rPr>
              <w:t>20</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746"/>
        </w:trPr>
        <w:tc>
          <w:tcPr>
            <w:tcW w:w="5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4381500</wp:posOffset>
            </wp:positionH>
            <wp:positionV relativeFrom="paragraph">
              <wp:posOffset>-1623695</wp:posOffset>
            </wp:positionV>
            <wp:extent cx="93980" cy="145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5238750</wp:posOffset>
            </wp:positionH>
            <wp:positionV relativeFrom="paragraph">
              <wp:posOffset>-1623695</wp:posOffset>
            </wp:positionV>
            <wp:extent cx="162560"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62560" cy="145415"/>
                    </a:xfrm>
                    <a:prstGeom prst="rect">
                      <a:avLst/>
                    </a:prstGeom>
                    <a:noFill/>
                  </pic:spPr>
                </pic:pic>
              </a:graphicData>
            </a:graphic>
          </wp:anchor>
        </w:drawing>
        <w:drawing>
          <wp:anchor simplePos="0" relativeHeight="251657728" behindDoc="1" locked="0" layoutInCell="0" allowOverlap="1">
            <wp:simplePos x="0" y="0"/>
            <wp:positionH relativeFrom="column">
              <wp:posOffset>6233160</wp:posOffset>
            </wp:positionH>
            <wp:positionV relativeFrom="paragraph">
              <wp:posOffset>-1623695</wp:posOffset>
            </wp:positionV>
            <wp:extent cx="93980"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3980" cy="14541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summarizes the Company’s future minimum lease payments and reconciliation of lease liabilities as of September 30, 2025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Years Ending</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18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2025 (from October 2025)</w:t>
            </w:r>
          </w:p>
        </w:tc>
        <w:tc>
          <w:tcPr>
            <w:tcW w:w="800" w:type="dxa"/>
            <w:vAlign w:val="bottom"/>
            <w:tcBorders>
              <w:top w:val="single" w:sz="8" w:color="auto"/>
            </w:tcBorders>
            <w:shd w:val="clear" w:color="auto" w:fill="CFF0FC"/>
          </w:tcPr>
          <w:p>
            <w:pPr>
              <w:jc w:val="right"/>
              <w:ind w:right="61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314</w:t>
            </w: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800" w:type="dxa"/>
            <w:vAlign w:val="bottom"/>
          </w:tcPr>
          <w:p>
            <w:pPr>
              <w:spacing w:after="0"/>
              <w:rPr>
                <w:sz w:val="17"/>
                <w:szCs w:val="17"/>
                <w:color w:val="auto"/>
              </w:rPr>
            </w:pP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1,171</w:t>
            </w:r>
          </w:p>
        </w:tc>
      </w:tr>
      <w:tr>
        <w:trPr>
          <w:trHeight w:val="203"/>
        </w:trPr>
        <w:tc>
          <w:tcPr>
            <w:tcW w:w="91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2027</w:t>
            </w:r>
          </w:p>
        </w:tc>
        <w:tc>
          <w:tcPr>
            <w:tcW w:w="8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69</w:t>
            </w:r>
          </w:p>
        </w:tc>
      </w:tr>
      <w:tr>
        <w:trPr>
          <w:trHeight w:val="196"/>
        </w:trPr>
        <w:tc>
          <w:tcPr>
            <w:tcW w:w="9180" w:type="dxa"/>
            <w:vAlign w:val="bottom"/>
          </w:tcPr>
          <w:p>
            <w:pPr>
              <w:spacing w:after="0" w:line="196" w:lineRule="exact"/>
              <w:rPr>
                <w:sz w:val="20"/>
                <w:szCs w:val="20"/>
                <w:color w:val="auto"/>
              </w:rPr>
            </w:pPr>
            <w:r>
              <w:rPr>
                <w:rFonts w:ascii="Arial" w:cs="Arial" w:eastAsia="Arial" w:hAnsi="Arial"/>
                <w:sz w:val="18"/>
                <w:szCs w:val="18"/>
                <w:color w:val="auto"/>
              </w:rPr>
              <w:t>Total future minimum lease payments</w:t>
            </w:r>
          </w:p>
        </w:tc>
        <w:tc>
          <w:tcPr>
            <w:tcW w:w="800" w:type="dxa"/>
            <w:vAlign w:val="bottom"/>
          </w:tcPr>
          <w:p>
            <w:pPr>
              <w:spacing w:after="0"/>
              <w:rPr>
                <w:sz w:val="17"/>
                <w:szCs w:val="17"/>
                <w:color w:val="auto"/>
              </w:rPr>
            </w:pPr>
          </w:p>
        </w:tc>
        <w:tc>
          <w:tcPr>
            <w:tcW w:w="12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1,554</w:t>
            </w:r>
          </w:p>
        </w:tc>
      </w:tr>
      <w:tr>
        <w:trPr>
          <w:trHeight w:val="203"/>
        </w:trPr>
        <w:tc>
          <w:tcPr>
            <w:tcW w:w="91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Less: Interest</w:t>
            </w:r>
          </w:p>
        </w:tc>
        <w:tc>
          <w:tcPr>
            <w:tcW w:w="8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(76)</w:t>
            </w:r>
          </w:p>
        </w:tc>
      </w:tr>
      <w:tr>
        <w:trPr>
          <w:trHeight w:val="196"/>
        </w:trPr>
        <w:tc>
          <w:tcPr>
            <w:tcW w:w="9180" w:type="dxa"/>
            <w:vAlign w:val="bottom"/>
          </w:tcPr>
          <w:p>
            <w:pPr>
              <w:spacing w:after="0" w:line="196" w:lineRule="exact"/>
              <w:rPr>
                <w:sz w:val="20"/>
                <w:szCs w:val="20"/>
                <w:color w:val="auto"/>
              </w:rPr>
            </w:pPr>
            <w:r>
              <w:rPr>
                <w:rFonts w:ascii="Arial" w:cs="Arial" w:eastAsia="Arial" w:hAnsi="Arial"/>
                <w:sz w:val="18"/>
                <w:szCs w:val="18"/>
                <w:color w:val="auto"/>
              </w:rPr>
              <w:t>Total lease liabilities at present value</w:t>
            </w:r>
          </w:p>
        </w:tc>
        <w:tc>
          <w:tcPr>
            <w:tcW w:w="800" w:type="dxa"/>
            <w:vAlign w:val="bottom"/>
          </w:tcPr>
          <w:p>
            <w:pPr>
              <w:spacing w:after="0"/>
              <w:rPr>
                <w:sz w:val="17"/>
                <w:szCs w:val="17"/>
                <w:color w:val="auto"/>
              </w:rPr>
            </w:pPr>
          </w:p>
        </w:tc>
        <w:tc>
          <w:tcPr>
            <w:tcW w:w="12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1,478</w:t>
            </w:r>
          </w:p>
        </w:tc>
      </w:tr>
      <w:tr>
        <w:trPr>
          <w:trHeight w:val="216"/>
        </w:trPr>
        <w:tc>
          <w:tcPr>
            <w:tcW w:w="9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 liabilities, current</w:t>
            </w:r>
          </w:p>
        </w:tc>
        <w:tc>
          <w:tcPr>
            <w:tcW w:w="8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1,168</w:t>
            </w:r>
          </w:p>
        </w:tc>
      </w:tr>
      <w:tr>
        <w:trPr>
          <w:trHeight w:val="209"/>
        </w:trPr>
        <w:tc>
          <w:tcPr>
            <w:tcW w:w="9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Lease liabilities, non-current</w:t>
            </w: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310</w:t>
            </w:r>
          </w:p>
        </w:tc>
      </w:tr>
      <w:tr>
        <w:trPr>
          <w:trHeight w:val="20"/>
        </w:trPr>
        <w:tc>
          <w:tcPr>
            <w:tcW w:w="9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lease term and discount rate 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840" w:type="dxa"/>
            <w:vAlign w:val="bottom"/>
          </w:tcPr>
          <w:p>
            <w:pPr>
              <w:spacing w:after="0"/>
              <w:rPr>
                <w:sz w:val="13"/>
                <w:szCs w:val="13"/>
                <w:color w:val="auto"/>
              </w:rPr>
            </w:pPr>
          </w:p>
        </w:tc>
        <w:tc>
          <w:tcPr>
            <w:tcW w:w="136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2025</w:t>
            </w:r>
          </w:p>
        </w:tc>
        <w:tc>
          <w:tcPr>
            <w:tcW w:w="7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140" w:type="dxa"/>
            <w:vAlign w:val="bottom"/>
            <w:tcBorders>
              <w:top w:val="single" w:sz="8" w:color="auto"/>
              <w:bottom w:val="single" w:sz="8" w:color="auto"/>
            </w:tcBorders>
          </w:tcPr>
          <w:p>
            <w:pPr>
              <w:jc w:val="right"/>
              <w:ind w:right="928"/>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820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Weighted-average remaining lease term (years)</w:t>
            </w:r>
          </w:p>
        </w:tc>
        <w:tc>
          <w:tcPr>
            <w:tcW w:w="760" w:type="dxa"/>
            <w:vAlign w:val="bottom"/>
            <w:shd w:val="clear" w:color="auto" w:fill="CFF0FC"/>
          </w:tcPr>
          <w:p>
            <w:pPr>
              <w:ind w:left="220"/>
              <w:spacing w:after="0" w:line="196" w:lineRule="exact"/>
              <w:rPr>
                <w:sz w:val="20"/>
                <w:szCs w:val="20"/>
                <w:color w:val="auto"/>
              </w:rPr>
            </w:pPr>
            <w:r>
              <w:rPr>
                <w:rFonts w:ascii="Arial" w:cs="Arial" w:eastAsia="Arial" w:hAnsi="Arial"/>
                <w:sz w:val="18"/>
                <w:szCs w:val="18"/>
                <w:color w:val="auto"/>
              </w:rPr>
              <w:t>1.26</w:t>
            </w:r>
          </w:p>
        </w:tc>
        <w:tc>
          <w:tcPr>
            <w:tcW w:w="2280" w:type="dxa"/>
            <w:vAlign w:val="bottom"/>
            <w:gridSpan w:val="2"/>
            <w:shd w:val="clear" w:color="auto" w:fill="CFF0FC"/>
          </w:tcPr>
          <w:p>
            <w:pPr>
              <w:ind w:left="1740"/>
              <w:spacing w:after="0" w:line="196" w:lineRule="exact"/>
              <w:rPr>
                <w:sz w:val="20"/>
                <w:szCs w:val="20"/>
                <w:color w:val="auto"/>
              </w:rPr>
            </w:pPr>
            <w:r>
              <w:rPr>
                <w:rFonts w:ascii="Arial" w:cs="Arial" w:eastAsia="Arial" w:hAnsi="Arial"/>
                <w:sz w:val="18"/>
                <w:szCs w:val="18"/>
                <w:color w:val="auto"/>
              </w:rPr>
              <w:t>1.51</w:t>
            </w:r>
          </w:p>
        </w:tc>
      </w:tr>
      <w:tr>
        <w:trPr>
          <w:trHeight w:val="203"/>
        </w:trPr>
        <w:tc>
          <w:tcPr>
            <w:tcW w:w="820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color w:val="auto"/>
              </w:rPr>
              <w:t>Weighted-average discount rate</w:t>
            </w:r>
          </w:p>
        </w:tc>
        <w:tc>
          <w:tcPr>
            <w:tcW w:w="760" w:type="dxa"/>
            <w:vAlign w:val="bottom"/>
            <w:tcBorders>
              <w:bottom w:val="single" w:sz="8" w:color="auto"/>
            </w:tcBorders>
          </w:tcPr>
          <w:p>
            <w:pPr>
              <w:ind w:left="220"/>
              <w:spacing w:after="0" w:line="202" w:lineRule="exact"/>
              <w:rPr>
                <w:sz w:val="20"/>
                <w:szCs w:val="20"/>
                <w:color w:val="auto"/>
              </w:rPr>
            </w:pPr>
            <w:r>
              <w:rPr>
                <w:rFonts w:ascii="Arial" w:cs="Arial" w:eastAsia="Arial" w:hAnsi="Arial"/>
                <w:sz w:val="18"/>
                <w:szCs w:val="18"/>
                <w:color w:val="auto"/>
              </w:rPr>
              <w:t>9.00%</w:t>
            </w:r>
          </w:p>
        </w:tc>
        <w:tc>
          <w:tcPr>
            <w:tcW w:w="2280" w:type="dxa"/>
            <w:vAlign w:val="bottom"/>
            <w:tcBorders>
              <w:bottom w:val="single" w:sz="8" w:color="auto"/>
            </w:tcBorders>
            <w:gridSpan w:val="2"/>
          </w:tcPr>
          <w:p>
            <w:pPr>
              <w:ind w:left="1740"/>
              <w:spacing w:after="0" w:line="202" w:lineRule="exact"/>
              <w:rPr>
                <w:sz w:val="20"/>
                <w:szCs w:val="20"/>
                <w:color w:val="auto"/>
              </w:rPr>
            </w:pPr>
            <w:r>
              <w:rPr>
                <w:rFonts w:ascii="Arial" w:cs="Arial" w:eastAsia="Arial" w:hAnsi="Arial"/>
                <w:sz w:val="18"/>
                <w:szCs w:val="18"/>
                <w:color w:val="auto"/>
              </w:rPr>
              <w:t>9.00%</w:t>
            </w:r>
          </w:p>
        </w:tc>
      </w:tr>
      <w:tr>
        <w:trPr>
          <w:trHeight w:val="20"/>
        </w:trPr>
        <w:tc>
          <w:tcPr>
            <w:tcW w:w="68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10.  Commitments and Contingencies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Novartis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Clinical Trial Collaboration and Supply Agreement with Novartis</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November 29, 2024, the Company entered into a Clinical Trial Collaboration and Supply Agreement (the "Novartis Pharma Agreement") with Novartis Pharma AG (collectively, with affiliated entities, "Novartis"). Pursuant to the Agreement, Novartis will provide the Company with ribociclib drug supply for the Company’s Phase 3 OPERA-02 clinical trial of palazestrant in combination with ribociclib in ER+/HER2- frontline advanced or metastatic breast cancer (the "OPERA-02 trial").</w:t>
      </w:r>
    </w:p>
    <w:p>
      <w:pPr>
        <w:spacing w:after="0" w:line="17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Under the Novartis Pharma Agreement, the Company will supply (including manufacturing, packaging and labeling) palazestrant and letrozole for the OPERA-02 trial. Novartis will manufacture and supply (including primary packaging) the Company with a specified amount of ribociclib, which amount is expected to be sufficient for the OPERA-02 trial. The parties granted to each other a non-exclusive, royalty-free license under certain of the parties’ respective background patent rights and other technology to use the parties’ respective study drugs in research and development, solely to the extent reasonably needed for the other party’s activities in the collaboration. Any inventions developed in the performance of the clinical studies for the combined therapies (other than those specific to each component study drug) are jointly owned by the parties. Except as otherwise specified below, the Novartis Pharma Agreement does not grant any right of first negotiation to participate in future clinical trials, and each party retains all rights and ability to evaluate their respective compounds in any studies or clinical trials, either as a monotherapy or in combination with any other product or compound, in any therapeutic area. The parties retain their independent rights to commercialize their respective therapies both alone and with third parties.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granted Novartis a right of first negotiation with respect to (a) the grant to any person or entity any right, license or sublicense to exploit palazestrant, in any field or territory, other than to third party service providers, or (b) the sale or other transfer to any person or entity of palazestrant and any related assets (each referred to herein as an "Olema Compound Transaction"). If the Company desires to or does, at any time, (a) solicit or entertain any third party proposal or indication of interest with respect to an Olema Compound Transaction, or</w:t>
      </w:r>
    </w:p>
    <w:p>
      <w:pPr>
        <w:jc w:val="both"/>
        <w:ind w:firstLine="8"/>
        <w:spacing w:after="0" w:line="242" w:lineRule="auto"/>
        <w:tabs>
          <w:tab w:leader="none" w:pos="279"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negotiate (including in response to any proposal or indication of interest received by the Company), enter into or perform under, in each case, any written definitive agreement with a third party with respect to or that contemplates an Olema Compound Transaction, then the Company must provide written</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notice to Novartis regarding such Olema Compound Transaction, along with certain other specified information. Novartis will have 30 days after receipt of such notice to elect to enter into exclusive good faith negotiations with respect to such Olema Compound Transaction for a period of up to 120 days.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the Company’s board of directors (or a duly authorized board committee) determines that the Company should pursue or explore a change of control of the Company or sale of all or substantially all of its assets (an "Olema Change of Control"), other than in response to an unsolicited bona fide acquisition proposal (a "Proposed Sale"), the Company must promptly notify Novartis of such determination. In the event Novartis elects to engage in negotiations with the Company in respect of such Proposed Sale, then from the date such notice is given until 45 days after the later of (a) the date on which the foregoing notice is given to Novartis, (b) the date on which Novartis is given notice that a data room has been populated as required by the Novartis Pharma Agreement, and (c) entry by the Company and Novartis into a customary nondisclosure agreement, Novartis will have the exclusive right (but no obligation) to conduct due diligence on the Company and its business and negotiate with the Company and its representatives the definitive terms and conditions of the Proposed Sale.</w:t>
      </w:r>
    </w:p>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If the Company or its affiliates receive an unsolicited bona fide acquisition proposal from a third party, the Company must promptly notify its board of directors (or a duly authorized board committee) of the receipt thereof and request that they consider the merits of such acquisition proposal. If, after such consideration, the Company’s board of directors (or authorized committee) authorizes the Company to engage in negotiations with regard to such acquisition proposal, then the Company must notify Novartis in writing within 24 hours of receipt of such authorization. To the extent possible in light of any confidentiality obligations, such notice must include a summary of the key structural, non-financial terms of such acquisition proposal.</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the event of an Olema Compound Transaction or Olema Change of Control involving a third party other than Novartis (the first to occur, a "Repayment Trigger Event"), the Company must promptly pay, or procure the payment of, the Repayment Amount (as defined below) to Novartis. Notwithstanding the foregoing, if the Novartis Pharma Agreement is terminated as a result of certain patient safety issues, lack of product efficacy, regulatory issues or clinical hold issues prior to the consummation of the Olema Compound Transaction or Olema Change of Control, then the Company shall not be obligated to pay the Repayment Amount unless (a) the Olema Change of Control or Olema Compound Transaction occurs after such termination and (b) prior to the fifth anniversary of such Olema Change of Control or Olema Compound Transaction (as applicable), the Company or its affiliates (or the applicable acquirer, successor, licensee or optionholder of the Company or its affiliates) enrolls a subject in any clinical study involving the combination of palazestrant and ribociclib (the "Olema Combination") or submits any filing with any regulatory authority relating to the Olema Combination. The “Repayment Amount” is the proportion of approximately $275 million that is represented by the number of units of ribociclib actually supplied to the Company under the Supply Agreement as of immediately prior to the Repayment Trigger Event as compared to the total number of units that could be supplied under the Novartis Pharma Agreement.</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foregoing rights of first negotiation, first offer and notice and repayment obligations remain in effect until the first to occur of: (a) the date that is 120 days after filing of the New Drug Application for the Olema Combination, (b) one year after any expiration or termination of the Novartis Pharma Agreement, and (c) such time as the Novartis Pharma Agreement is terminated by the Company due to Novartis’ material breach. However, in the event the Novartis Pharma Agreement is terminated due to certain patient safety issues, lack of product efficacy, regulatory issues or clinical hold issues prior to the consummation of an Olema Change of Control or Olema Compound Transaction, then the Repayment Obligation shall survive until the fifth anniversary of such Olema Change of Control or Olema Compound Transaction (as applicable) or, if payment of the Repayment Amount is required, until the next business day after the Repayment Amount has been received by Novartis.</w:t>
      </w:r>
    </w:p>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Novartis Pharma Agreement will terminate on the fifth anniversary of the date on which the first dose of palazestrant is administered to the first study subject. Either party may terminate the Novartis Pharma Agreement for the uncured material breach or insolvency of the other party, for failure to comply with certain anti-corruption obligations, in the event of a change of control of the other party, if it reasonably deems it necessary in order to protect the safety, health or welfare of subjects enrolled in the clinical studies for the combined therapies due to the existence of a material safety issue, if the parties jointly decide that the Olema Combination is not achieving sufficiently superior levels of efficacy, if any regulatory authority action prevents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 party (or the Letrozole supplier) from supplying its product, in the event of an unresolved force majeure event, or in certain circumstances for an unresolved clinical hold with respect to ribociclib, palazestrant or letrozole (or the combination of ribociclib and palazestrant or ribociclib and letrozole). In addition, Novartis may terminate the Novartis Pharma Agreement if the Company has failed to commence the OPERA-02 trial on or prior to March 31, 2026 or if the Company consummates an Olema Compound Transaction, and the Company may terminate the Novartis Pharma Agreement if the Company terminates the OPERA-02 trial other than due to a material safety issue, efficacy issue, regulatory action or upon a clinical hold.</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Costs incurred in connection with the Novartis Pharma Agreement are included in the research and development expense in the accompanying condensed consolidated statements of operations and comprehensive loss for the three and nine months ended September 30, 2025.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Clinical Collaboration and Supply Agreement with Novartis</w:t>
      </w:r>
    </w:p>
    <w:p>
      <w:pPr>
        <w:spacing w:after="0" w:line="1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July 22, 2020, the Company entered into a non-exclusive clinical collaboration and supply agreement with Novartis Institutes for BioMedical Research, Inc. On January 13, 2022, the Company entered into an amended and restated clinical collaboration and supply agreement with Novartis, and on October 9, 2023, the Company and Novartis entered into the amendment no. 1 (the "Novartis Amendment") to the amended and restated clinical collaboration and supply agreement (as amended, the "Novartis Agreement"). The collaboration is focused on the evaluation of the safety, tolerability and efficacy of palazestrant in combination with Novartis’ proprietary CDK4/6 inhibitor KISQALI® (ribociclib) and/or Novartis’ proprietary phosphatidylinositol 3-kinase ("PI3Ka") Inhibitor PIQRAY® (alpelisib) (collectively the "Novartis Study Drugs") as part of the Company’s Phase 1b/2 study of palazestrant in patients with metastatic estrogen receptor-positive breast cancer. The Novartis Amendment, among other things, expanded the Company's clinical collaboration with Novartis, increasing the size of the ongoing Phase 1/2 study testing palazestrant in combination with ribociclib to approximately 60 patients. The Company will be responsible for the conduct of the clinical trials for the combined therapies in accordance with a mutually agreed development plan. As part of the collaboration, the parties granted to each other a non-exclusive, royalty-free license under certain of the parties’ respective background patent rights and other technology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spacing w:after="0" w:line="18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 is responsible for manufacturing, packaging and labeling palazestrant, and for packaging and labeling all drugs used in the clinical trials for the combined therapies (other than the Novartis Study Drugs). Novartis is responsible for manufacturing and delivering to the Company the Novartis Study Drugs in such quantities as reasonably needed for the clinical trials for the combined therapies. In accordance with an agreed budget, subject to certain thresholds, Novartis will reimburse the Company for a majority of the direct outside costs that the Company incurs related to conducting the activities under the agreed development plan in conducting the clinical trials for the combined therapies.</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Novartis Agreement will terminate upon completion of all activities outlined in the development plan and the relevant protocols. Either party may terminate the Novartis Agreement for the uncured material breach or insolvency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the Novartis Study Drugs or palazestrant. In addition, Novartis may terminate the Novartis Agreement if certain disputes between the parties are not resolved after following the applicable dispute resolution procedures, and the Company may terminate the Novartis Agreement in the event the Company terminates all clinical trials of the combined therapies other than due to a material safety issue or upon a clinical hold.</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Costs associated with research activities performed under the Novartis Agreement are included in research and development expenses in the accompanying condensed consolidated statements of operations and comprehensive loss for the three and nine months ended September 30, 2025, and 2024, with any reimbursable costs from Novartis reflected as a reduction of such expenses. The Company had previously incurred the full agreed-upon reimbursement amount.</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Pfizer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Clinical Trial Collaboration and Supply Agreement with Pfizer</w:t>
      </w:r>
    </w:p>
    <w:p>
      <w:pPr>
        <w:spacing w:after="0" w:line="1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September 2025, the Company announced that it entered into a non-exclusive clinical trial collaboration and supply agreement with Pfizer Inc. (“Pfizer”) (the “2025 Pfizer Agreement”), to evaluate the safety and tolerability of palazestrant in combination with Pfizer’s proprietary investigative selective CDK4 inhibitor atirmociclib in patients with metastatic ER+, HER2- breast cancer in a Phase 1b/2 clinical trial. Under the terms of the 2025 Pfizer Agreement, the Company will be responsible for conducting the clinical trial for the combined therapies and Pfizer is responsible for supplying atirmociclib to the Company at no cost to the Company. As part of the collaboration, the parties granted to each other a non-exclusive, royalty-free license under certain of the parties’ respective patent rights in the combination of atirmociclib and palazestrant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responsible for manufacturing, packaging and labeling palazestrant, and for packaging and labeling all drugs used in the clinical trials for the combined therapies. Pfizer is responsible for manufacturing and delivering to us atirmociclib in such quantities as reasonably needed for the clinical trials for the combined therapies.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2025 Pfizer Agreement will terminate upon completion of all activities outlined in the study plan and the relevant protocols. Either party may terminate the 2025 Pfizer Agreement for the uncured material breach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atirmociclib or palazestrant. In addition, Pfizer may terminate the 2025 Pfizer Agreement if reasonably and in good faith believe that atirmociclib is being used in an unsafe manner, and either party may terminate the 2025 Pfizer Agreement if either party determines to discontinue clinical development for medical, scientific, legal or other reasons.</w:t>
      </w:r>
    </w:p>
    <w:p>
      <w:pPr>
        <w:spacing w:after="0" w:line="185"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The 2025 Pfizer Agreement does not grant any right of first negotiation to participate in future clinical trials, and each of the parties retains all rights and ability to evaluate their respective compounds. Costs incurred in connection with the 2025 Pfizer Agreement are included in the research and development expense in the accompanying condensed consolidated statements of operations and comprehensive loss for the three and nine months ended September 30, 2025.</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Clinical Trial Agreement with Pfizer</w:t>
      </w:r>
    </w:p>
    <w:p>
      <w:pPr>
        <w:spacing w:after="0" w:line="1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November 2020, the Company entered into a non-exclusive clinical trial agreement with Pfizer (the “Pfizer Agreement”), to evaluate the safety and tolerability of palazestrant in combination with Pfizer’s proprietary CDK4/6 inhibitor IBRANCE® (palbociclib) in patients with recurrent, locally advanced or metastatic ER+, HER2 breast cancer in a clinical trial. Under the terms of the non-exclusive agreement, the Company will be responsible for conducting the clinical trial for the combined therapies and Pfizer is responsible for supplying IBRANCE® to the Company at no cost to the Company. As part of the collaboration, the parties granted to each other a non-exclusive, royalty-free license under certain of the parties’ respective patent rights in the combination of IBRANCE® and palazestrant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responsible for manufacturing, packaging and labeling palazestrant, and for packaging and labeling all drugs used in the clinical trials for the combined therapies (other than IBRANCE®). Pfizer is responsible for manufacturing and delivering to us IBRANCE® in such quantities as reasonably needed for the clinical trials for the combined therapies.</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Pfizer Agreement will terminate upon completion of all activities outlined in the study plan and the relevant protocols. Either party may terminate the Pfizer Agreement for the uncured material breach of the other party,</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IBRANCE® or palazestrant. In addition, either party may terminate the Pfizer Agreement if certain disputes between the parties are not resolved after following the applicable dispute resolution procedures or if either party determines to discontinue clinical development for medical, scientific, legal or other reasons.</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Pfizer Agreement does not grant any right of first negotiation to participate in future clinical trials, and each of the parties retains all rights and ability to evaluate their respective compounds. Costs incurred in connection with the Pfizer Agreement are included in the research and development expense in the accompanying condensed consolidated statements of operations and comprehensive loss for the three and nine months ended September 30, 2025, and 2024.</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with Aurigene</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June 2022, the Company entered into an exclusive global license agreement with Aurigene Discovery Technologies Limited (“Aurigene”) to research, develop and commercialize novel small molecule inhibitors of an undisclosed oncology target (“the Aurigene Agreement”).</w:t>
      </w:r>
    </w:p>
    <w:p>
      <w:pPr>
        <w:spacing w:after="0" w:line="1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Under the terms of the Aurigene Agreement, Aurigene will provide to the Company an exclusive license to its portfolio of novel small molecule inhibitors of the target. Financial terms of the Aurigene Agreement include a $8.0 million upfront payment for rights to a pre-existing Aurigene program and potential future milestone payments of up to $60.0 million in clinical development and regulatory milestones, and up to $370.0 million in commercial milestones. Aurigene is also eligible to receive mid-single digits to the low double digits royalties as percentages of product sales, if any. During the research term, the Company will contribute funding to Aurigene to facilitate Aurigene’s ongoing discovery efforts. The Company and Aurigene will jointly direct further preclinical work and, if successful, the Company will lead clinical development as well as regulatory and commercial activities. The Company and Aurigene jointly own collaboration compounds and rights to any inventions made during the research term.</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term of the Aurigene Agreement will continue until the expiration of the last-to-expire of all payment obligations with respect to all licensed products thereunder, unless terminated earlier in accordance with the terms of the Aurigene Agreement. The Aurigene Agreement may be terminated (a) by the Company for convenience, in its sole discretion, upon prior written notice to Aurigene, (b) by either the Company or Aurigene in connection with the other party’s uncured material breach or (c) by either the Company or Aurigene in connection with the insolvency of the other party.</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$8.0 million upfront payment was incurred in June 2022. Costs incurred and milestones payments due to Aurigene prior to regulatory approval are recognized as research and development expenses in the period incurred. Payments due to Aurigene upon or subsequent to regulatory approval will be accrued as a provision to cost of sales in the period when achievement of respective milestone target is probable. The $5.0 million milestone payment related to initiation of the first IND-enabling safety study was incurred and recorded as research and development expenses in the accompanying condensed consolidated statement of operations and comprehensive loss during the nine months ended September 30, 2024. The $10.0 million milestone payment related to dosing of the fifth patient in the first Phase 1 study was incurred and recognized as research and development expenses in the accompanying condensed consolidated statements of operations and comprehensive loss during the nine months ended September 30, 2025.</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Services Agreements</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conducts research and development programs internally and through third parties that include, among others, arrangements with vendors, consultants, CMOs, and CROs. The Company has contractual arrangements in the normal course of business with these parties, however, the contracts with these parties are cancelable generally on reasonable notice within one year and the Company’s obligations under these contracts are primarily based on services performed through termination dates plus certain cancelation charges, if any, as defined in each of the respective agreements. In addition, these agreements may, from time</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to time, be subjected to amendments as a result of any change orders executed by the parties. As of September 30, 2025, the Company did not have material contractual commitments with respect to these arrangements.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business. The Company accrues a liability for such matters when it is probable that future expenditures will be made, and such expenditures can be reasonably estimated. For all periods presented, the Company was not a party to any pending material litigation or other material legal proceedings.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Agreements</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and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As of September 30, 2025, the Company had not incurred any material costs as a result of such indemnifications.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11.  Long-term Borrowing</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On September 5, 2023, the Company entered into the Original Loan Agreement by and between the Company and the Bank. The Original Loan Agreement provided for a four-year senior secured credit facility in an aggregate principal amount of up to $50.0 million (the "Original Credit Facility"), of which $25.0 million became available upon the closing of a private placement of our common stock to selected institutional and accredited investors pursuant to a securities purchase agreement in September 2023 ("Term Loan A"), and the remaining $25.0 million could have been made available upon approval of the Bank in its discretion. The Original Credit Facility was to mature on August 1, 2027 (the "Original Maturity Date").</w:t>
      </w:r>
    </w:p>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June 28, 2024, the Company entered into the First Amendment, which, among other things, (i) increased the aggregate principal amount of the Original Credit Facility from up to $50 million to up to $100 million, of which the Term Loan A of $25 million was immediately available, an additional $25 million will become available upon the Company achieving certain milestones related to execution of a first line pivotal Phase 3 clinical trial of palazestrant in combination with ribociclib, and an additional $50 million which may be made available upon approval of the Bank, and (ii) extended the Original Maturity Date to July 1, 2028 ("Maturity Date").</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27, 2025, the Company entered into the Second Amendment (the Original Credit Facility, as amended, the "Credit Facility"), which, among other things, (i) decreased the interest rate to a floating rate equal to the greater of 6.0% or the prime rate, and (ii) extended the draw period for the Term Loan A to January 15, 2026.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obligations under the Loan Agreement are secured by substantially all of the assets of the Company, subject to limited exceptions.</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During the term of the Credit Facility, interest will accrue on any outstanding balance due under the Credit Facility at a floating rate per annum equal to the greater of (i) 6.0% and (ii) the prime rate. During an event of default, any outstanding amount under the Credit Facility will bear interest at a rate of 3.0% in excess of the otherwise applicable rate of interest. The Company will pay certain fees with respect to the Credit Facility, including a prepayment fee on any amount advanced under the Credit Facility to the extent paid prior to the Maturity Date, a final payment fee on the amount advanced under the Credit Facility.</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Loan Agreement contains customary events of default, including, but not limited to, nonpayment of principal, interest, fees or other amounts; material inaccuracy of a representation or warranty; failure to perform or observe covenants; cross-defaults with certain other indebtedness; bankruptcy and insolvency events;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material monetary judgment defaults; material adverse change occurs; delisting; and a material impairment in the Bank’s security interest. Upon the occurrence of an event of default (subject, in certain cases, to notice and grace periods), obligations under the Loan Agreement may be accelerated.</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Loan Agreement also contains a number of customary representations, warranties and covenants that, among other things, limit the ability of the Company to (subject to certain qualifications and exceptions): create liens and encumbrances; incur additional indebtedness; merge, dissolve, liquidate or consolidate; make acquisitions, investments, advances or loans; dispose of or transfer assets; pay dividends or make other payments in respect of its capital stock; amend certain material documents; redeem or repurchase certain debt; make payments on subordinated debt; and engage in certain transactions with affiliates.</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September 30, 2025, the Company had drawn $3.0 million from the Credit Facility which was recorded at cost and presented as long-term borrowing on the condensed consolidated balance sheet. The interest expense was less than $0.1 million for the three months and nine months ended September 30, 2025, which was included in other income on the condensed consolidated statements of operations and comprehensive loss.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12. Pre-Funded Warrants</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accounts for the pre-funded warrants as a freestanding equity-linked financial instrument that met the criteria for equity classification pursuant to ASC 480 and ASC 815. Accordingly, the Company recorded the pre-funded warrants as a component of stockholders' equity within additional paid-in capital. The following table summarizes the pre-funded warrants issued as of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08088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 w:type="dxa"/>
            <w:vAlign w:val="bottom"/>
            <w:tcBorders>
              <w:bottom w:val="single" w:sz="8" w:color="auto"/>
            </w:tcBorders>
          </w:tcPr>
          <w:p>
            <w:pPr>
              <w:spacing w:after="0"/>
              <w:rPr>
                <w:sz w:val="14"/>
                <w:szCs w:val="14"/>
                <w:color w:val="auto"/>
              </w:rPr>
            </w:pPr>
          </w:p>
        </w:tc>
        <w:tc>
          <w:tcPr>
            <w:tcW w:w="404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Issued Year</w:t>
            </w:r>
          </w:p>
        </w:tc>
        <w:tc>
          <w:tcPr>
            <w:tcW w:w="24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Expiration Date</w:t>
            </w:r>
          </w:p>
        </w:tc>
        <w:tc>
          <w:tcPr>
            <w:tcW w:w="4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Exercise Price</w:t>
            </w:r>
          </w:p>
        </w:tc>
      </w:tr>
      <w:tr>
        <w:trPr>
          <w:trHeight w:val="177"/>
        </w:trPr>
        <w:tc>
          <w:tcPr>
            <w:tcW w:w="440" w:type="dxa"/>
            <w:vAlign w:val="bottom"/>
          </w:tcPr>
          <w:p>
            <w:pPr>
              <w:jc w:val="right"/>
              <w:spacing w:after="0" w:line="177" w:lineRule="exact"/>
              <w:rPr>
                <w:sz w:val="20"/>
                <w:szCs w:val="20"/>
                <w:color w:val="auto"/>
              </w:rPr>
            </w:pPr>
            <w:r>
              <w:rPr>
                <w:rFonts w:ascii="Arial" w:cs="Arial" w:eastAsia="Arial" w:hAnsi="Arial"/>
                <w:sz w:val="18"/>
                <w:szCs w:val="18"/>
                <w:color w:val="auto"/>
                <w:w w:val="94"/>
              </w:rPr>
              <w:t>2024</w:t>
            </w:r>
          </w:p>
        </w:tc>
        <w:tc>
          <w:tcPr>
            <w:tcW w:w="4040" w:type="dxa"/>
            <w:vAlign w:val="bottom"/>
          </w:tcPr>
          <w:p>
            <w:pPr>
              <w:ind w:left="20"/>
              <w:spacing w:after="0" w:line="177" w:lineRule="exact"/>
              <w:rPr>
                <w:sz w:val="20"/>
                <w:szCs w:val="20"/>
                <w:color w:val="auto"/>
              </w:rPr>
            </w:pPr>
            <w:r>
              <w:rPr>
                <w:rFonts w:ascii="Arial" w:cs="Arial" w:eastAsia="Arial" w:hAnsi="Arial"/>
                <w:sz w:val="18"/>
                <w:szCs w:val="18"/>
                <w:color w:val="auto"/>
              </w:rPr>
              <w:t>(Private Placement)</w:t>
            </w:r>
          </w:p>
        </w:tc>
        <w:tc>
          <w:tcPr>
            <w:tcW w:w="240" w:type="dxa"/>
            <w:vAlign w:val="bottom"/>
          </w:tcPr>
          <w:p>
            <w:pPr>
              <w:spacing w:after="0"/>
              <w:rPr>
                <w:sz w:val="15"/>
                <w:szCs w:val="15"/>
                <w:color w:val="auto"/>
              </w:rPr>
            </w:pPr>
          </w:p>
        </w:tc>
        <w:tc>
          <w:tcPr>
            <w:tcW w:w="1400" w:type="dxa"/>
            <w:vAlign w:val="bottom"/>
          </w:tcPr>
          <w:p>
            <w:pPr>
              <w:jc w:val="center"/>
              <w:spacing w:after="0" w:line="177" w:lineRule="exact"/>
              <w:rPr>
                <w:sz w:val="20"/>
                <w:szCs w:val="20"/>
                <w:color w:val="auto"/>
              </w:rPr>
            </w:pPr>
            <w:r>
              <w:rPr>
                <w:rFonts w:ascii="Arial" w:cs="Arial" w:eastAsia="Arial" w:hAnsi="Arial"/>
                <w:sz w:val="18"/>
                <w:szCs w:val="18"/>
                <w:color w:val="auto"/>
                <w:w w:val="97"/>
              </w:rPr>
              <w:t>None</w:t>
            </w:r>
          </w:p>
        </w:tc>
        <w:tc>
          <w:tcPr>
            <w:tcW w:w="420" w:type="dxa"/>
            <w:vAlign w:val="bottom"/>
          </w:tcPr>
          <w:p>
            <w:pPr>
              <w:jc w:val="right"/>
              <w:ind w:right="30"/>
              <w:spacing w:after="0" w:line="177" w:lineRule="exact"/>
              <w:rPr>
                <w:sz w:val="20"/>
                <w:szCs w:val="20"/>
                <w:color w:val="auto"/>
              </w:rPr>
            </w:pPr>
            <w:r>
              <w:rPr>
                <w:rFonts w:ascii="Arial" w:cs="Arial" w:eastAsia="Arial" w:hAnsi="Arial"/>
                <w:sz w:val="18"/>
                <w:szCs w:val="18"/>
                <w:color w:val="auto"/>
              </w:rPr>
              <w:t>$</w:t>
            </w:r>
          </w:p>
        </w:tc>
        <w:tc>
          <w:tcPr>
            <w:tcW w:w="1500" w:type="dxa"/>
            <w:vAlign w:val="bottom"/>
          </w:tcPr>
          <w:p>
            <w:pPr>
              <w:jc w:val="right"/>
              <w:spacing w:after="0" w:line="177" w:lineRule="exact"/>
              <w:rPr>
                <w:sz w:val="20"/>
                <w:szCs w:val="20"/>
                <w:color w:val="auto"/>
              </w:rPr>
            </w:pPr>
            <w:r>
              <w:rPr>
                <w:rFonts w:ascii="Arial" w:cs="Arial" w:eastAsia="Arial" w:hAnsi="Arial"/>
                <w:sz w:val="18"/>
                <w:szCs w:val="18"/>
                <w:color w:val="auto"/>
              </w:rPr>
              <w:t>0.0001</w:t>
            </w: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94"/>
              </w:rPr>
              <w:t>2024</w:t>
            </w:r>
          </w:p>
        </w:tc>
        <w:tc>
          <w:tcPr>
            <w:tcW w:w="4040" w:type="dxa"/>
            <w:vAlign w:val="bottom"/>
          </w:tcPr>
          <w:p>
            <w:pPr>
              <w:ind w:left="20"/>
              <w:spacing w:after="0"/>
              <w:rPr>
                <w:sz w:val="20"/>
                <w:szCs w:val="20"/>
                <w:color w:val="auto"/>
              </w:rPr>
            </w:pPr>
            <w:r>
              <w:rPr>
                <w:rFonts w:ascii="Arial" w:cs="Arial" w:eastAsia="Arial" w:hAnsi="Arial"/>
                <w:sz w:val="18"/>
                <w:szCs w:val="18"/>
                <w:color w:val="auto"/>
              </w:rPr>
              <w:t>(Warrant Exchange Agreement)</w:t>
            </w:r>
          </w:p>
        </w:tc>
        <w:tc>
          <w:tcPr>
            <w:tcW w:w="2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7"/>
              </w:rPr>
              <w:t>None</w:t>
            </w: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0.0001</w:t>
            </w:r>
          </w:p>
        </w:tc>
      </w:tr>
      <w:tr>
        <w:trPr>
          <w:trHeight w:val="239"/>
        </w:trPr>
        <w:tc>
          <w:tcPr>
            <w:tcW w:w="440" w:type="dxa"/>
            <w:vAlign w:val="bottom"/>
          </w:tcPr>
          <w:p>
            <w:pPr>
              <w:jc w:val="right"/>
              <w:spacing w:after="0"/>
              <w:rPr>
                <w:sz w:val="20"/>
                <w:szCs w:val="20"/>
                <w:color w:val="auto"/>
              </w:rPr>
            </w:pPr>
            <w:r>
              <w:rPr>
                <w:rFonts w:ascii="Arial" w:cs="Arial" w:eastAsia="Arial" w:hAnsi="Arial"/>
                <w:sz w:val="18"/>
                <w:szCs w:val="18"/>
                <w:color w:val="auto"/>
                <w:w w:val="94"/>
              </w:rPr>
              <w:t>2025</w:t>
            </w:r>
          </w:p>
        </w:tc>
        <w:tc>
          <w:tcPr>
            <w:tcW w:w="4040" w:type="dxa"/>
            <w:vAlign w:val="bottom"/>
          </w:tcPr>
          <w:p>
            <w:pPr>
              <w:ind w:left="20"/>
              <w:spacing w:after="0"/>
              <w:rPr>
                <w:sz w:val="20"/>
                <w:szCs w:val="20"/>
                <w:color w:val="auto"/>
              </w:rPr>
            </w:pPr>
            <w:r>
              <w:rPr>
                <w:rFonts w:ascii="Arial" w:cs="Arial" w:eastAsia="Arial" w:hAnsi="Arial"/>
                <w:sz w:val="18"/>
                <w:szCs w:val="18"/>
                <w:color w:val="auto"/>
              </w:rPr>
              <w:t>(Warrant Exchange Agreement)</w:t>
            </w:r>
          </w:p>
        </w:tc>
        <w:tc>
          <w:tcPr>
            <w:tcW w:w="24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7"/>
              </w:rPr>
              <w:t>None</w:t>
            </w:r>
          </w:p>
        </w:tc>
        <w:tc>
          <w:tcPr>
            <w:tcW w:w="4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0.0001</w:t>
            </w:r>
          </w:p>
        </w:tc>
      </w:tr>
      <w:tr>
        <w:trPr>
          <w:trHeight w:val="185"/>
        </w:trPr>
        <w:tc>
          <w:tcPr>
            <w:tcW w:w="440" w:type="dxa"/>
            <w:vAlign w:val="bottom"/>
            <w:tcBorders>
              <w:bottom w:val="single" w:sz="8" w:color="auto"/>
            </w:tcBorders>
          </w:tcPr>
          <w:p>
            <w:pPr>
              <w:spacing w:after="0"/>
              <w:rPr>
                <w:sz w:val="16"/>
                <w:szCs w:val="16"/>
                <w:color w:val="auto"/>
              </w:rPr>
            </w:pPr>
          </w:p>
        </w:tc>
        <w:tc>
          <w:tcPr>
            <w:tcW w:w="40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289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Number of Warrants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6350</wp:posOffset>
            </wp:positionV>
            <wp:extent cx="19291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929130" cy="8255"/>
                    </a:xfrm>
                    <a:prstGeom prst="rect">
                      <a:avLst/>
                    </a:prstGeom>
                    <a:noFill/>
                  </pic:spPr>
                </pic:pic>
              </a:graphicData>
            </a:graphic>
          </wp:anchor>
        </w:drawing>
      </w:r>
    </w:p>
    <w:p>
      <w:pPr>
        <w:jc w:val="right"/>
        <w:ind w:right="100"/>
        <w:spacing w:after="0"/>
        <w:rPr>
          <w:sz w:val="20"/>
          <w:szCs w:val="20"/>
          <w:color w:val="auto"/>
        </w:rPr>
      </w:pPr>
      <w:r>
        <w:rPr>
          <w:rFonts w:ascii="Arial" w:cs="Arial" w:eastAsia="Arial" w:hAnsi="Arial"/>
          <w:sz w:val="18"/>
          <w:szCs w:val="18"/>
          <w:color w:val="auto"/>
        </w:rPr>
        <w:t>7,604,163</w:t>
      </w:r>
    </w:p>
    <w:p>
      <w:pPr>
        <w:jc w:val="right"/>
        <w:ind w:right="100"/>
        <w:spacing w:after="0" w:line="234" w:lineRule="auto"/>
        <w:rPr>
          <w:sz w:val="20"/>
          <w:szCs w:val="20"/>
          <w:color w:val="auto"/>
        </w:rPr>
      </w:pPr>
      <w:r>
        <w:rPr>
          <w:rFonts w:ascii="Arial" w:cs="Arial" w:eastAsia="Arial" w:hAnsi="Arial"/>
          <w:sz w:val="18"/>
          <w:szCs w:val="18"/>
          <w:color w:val="auto"/>
        </w:rPr>
        <w:t>3,420,000</w:t>
      </w:r>
    </w:p>
    <w:p>
      <w:pPr>
        <w:spacing w:after="0" w:line="1"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6,070,000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17,094,163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-1905</wp:posOffset>
            </wp:positionV>
            <wp:extent cx="19291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929130" cy="8255"/>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14605</wp:posOffset>
            </wp:positionV>
            <wp:extent cx="192913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8040" w:space="560"/>
            <w:col w:w="2640"/>
          </w:cols>
          <w:pgMar w:left="320" w:top="117" w:right="339" w:bottom="1440" w:gutter="0" w:footer="0" w:header="0"/>
          <w:type w:val="continuous"/>
        </w:sect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4"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unaudited condensed consolidated financial statements and related notes that are included elsewhere in this Quarterly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Q and the audited financial statements and related notes that are included in our Annual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 for the fiscal year ended December 31, 2024, filed with the U.S. Securities and Exchange Commission, or the SEC, on March 18, 2025, or our Annual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w:t>
      </w:r>
    </w:p>
    <w:p>
      <w:pPr>
        <w:spacing w:after="0" w:line="16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i w:val="1"/>
          <w:iCs w:val="1"/>
          <w:color w:val="auto"/>
        </w:rPr>
        <w:t>This Quarterly Report on Form 10-Q contains forward-looking statements within the meaning of Section 27A of the Securities Act of 1933, as amended, or the Securities Act, and Section 21E of the Securities Exchange Act of 1934, as amended, or the Exchange Act.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We caution investors that our business and financial performance are subject to substantial risks and uncertainties. In addition, statements that “we believe” and similar statements reflect our beliefs and opinions on the relevant subject, and these statements are based on information available to us as of the date of this Quarterly Report on Form 10-Q.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Olema is a clinical-stage biopharmaceutical company focused on the discovery, development, and commercialization of next-generation targeted therapies for breast cancer and beyond. We are advancing our pipeline of novel therapies by leveraging our deep understanding of endocrine-driven cancers, nuclear receptors, and mechanisms of acquired resistance. We aspire to transform the treatment paradigm for metastatic breast cancer (MBC).</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lead product candidate, palazestrant (OP-1250), is a novel, orally-available small molecule with dual activity as both a complete estrogen receptor (ER) antagonist (CERAN) and selective ER degrader (SERD), currently being investigated in patients with recurrent, locally advanced or metastatic ER positive (ER+), human epidermal growth factor receptor 2 negative (HER2-) breast cancer. In non-clinical models, palazestrant binds and completely blocks ER-driven transcriptional activity in both wild-type and mutant forms of ER+ MBC. In clinical studies across more than 400 patients, palazestrant has demonstrated strong anti-tumor activity, attractive pharmacokinetics and prolonged drug exposure, favorable tolerability, and combinability with CDK4/6 inhibitors with no significant drug-drug interaction. Based on the clinical results we have achieved to date, we are advancing palazestrant through late-stage clinical development both as a monotherapy and in combination with other targeted agents.</w:t>
      </w:r>
    </w:p>
    <w:p>
      <w:pPr>
        <w:spacing w:after="0" w:line="18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Our pivotal Phase 3 clinical trial of palazestrant as a monotherapy in second/third-line ER+/HER2- MBC, OPERA-01, is ongoing. 90mg of once-daily palazestrant has been selected as the dose for Part 2 of OPERA-01. We anticipate top-line results for this trial in the second half of 2026, expect to submit the New Drug</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Application in 2027, and anticipate U.S. Food and Drug Administration (FDA) approval and commercial launch in late 2027.</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combination, we are investigating palazestrant in multiple Phase 1/2 studies with CDK4/6 inhibitors (palbociclib or ribociclib), a phosphatidylinositol-3-kinase alpha (PI3Ka) inhibitor (alpelisib), with an mTOR inhibitor (everolimus). We have also entered into a clinical trial collaboration and supply agreement with Pfizer Inc. (Pfizer) to evaluate the safety and combinability of palazestrant and atirmociclib, Pfizer's investigative selective CDK4 inhibitor, in patients with ER+/HER2- MBC. We expect to initiate this Phase 1b/2 study in the fourth quarter of 2025.</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presented updated results from the ongoing Phase 1b/2 study of palazestrant in combination with ribociclib in patients with ER+/HER2-advanced or MBC at the San Antonio Breast Cancer Symposium (SABCS) in December 2024. In March 2025, we disclosed updated median progression-free survival (mPFS) from this study at the TD Cowen 45th Annual Health Care Conference. As of a data cutoff date of February 18, 2025, the mPFS was 13.8 months in 56 patients treated with 120 mg of palazestrant and 600 mg of ribociclib daily. 40 of the 56 patients had received prior treatment of a CDK4/6i plus an endocrine therapy; the mPFS in this population was 13.1 months.</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In October 2025, we presented updated data from this study at the European Society for Medical Oncology (ESMO) Congress. As of the data cutoff date of July 8, 2025, in the 120 mg palazestrant dose cohort, with a median follow-up of more than 19 months, mPFS are mature. mPFS was 15.5 months for all patients and 12.2 months for those who received prior treatment with CDK4/6i, including 9.2 months for patients with estrogen receptor 1 (ESR1) wild-type tumors and 13.8 months for patients with tumors with </w:t>
      </w:r>
      <w:r>
        <w:rPr>
          <w:rFonts w:ascii="Arial" w:cs="Arial" w:eastAsia="Arial" w:hAnsi="Arial"/>
          <w:sz w:val="18"/>
          <w:szCs w:val="18"/>
          <w:i w:val="1"/>
          <w:iCs w:val="1"/>
          <w:color w:val="auto"/>
        </w:rPr>
        <w:t>ESR1</w:t>
      </w:r>
      <w:r>
        <w:rPr>
          <w:rFonts w:ascii="Arial" w:cs="Arial" w:eastAsia="Arial" w:hAnsi="Arial"/>
          <w:sz w:val="18"/>
          <w:szCs w:val="18"/>
          <w:color w:val="auto"/>
        </w:rPr>
        <w:t xml:space="preserve"> mutations. In the 90 mg palazestrant dose cohort, with a median follow-up of 10.8 months, mPFS was not reached.</w:t>
      </w:r>
    </w:p>
    <w:p>
      <w:pPr>
        <w:spacing w:after="0" w:line="17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Further, we have initiated patient enrollment in the pivotal Phase 3 clinical trial of 90 mg of once-daily palazestrant in combination with 600 mg of ribociclib daily in front-line ER+/HER2- MBC, called OPERA-02. The execution of OPERA-02 is supported by our clinical trial collaboration and supply agreement with Novartis Pharma AG (collectively, with affiliated entities, Novartis), entered into in November 2024 (Novartis Pharma Agreement). Under the terms of the Novartis Pharma Agreement, Novartis will provide Olema with ribociclib drug supply for OPERA-02. We anticipate top-line data in 2028 and anticipate potential FDA approval and commercial launch in the frontline MBC setting in the U.S. in 2029.</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second product candidate in clinical development, called OP-3136, is a novel, orally-available small molecule that potently and selectively inhibits KAT6, an epigenetic target that is dysregulated in breast and other cancers. The IND application for OP-3136 was cleared by the FDA in late 2024 and the Phase 1 study is now enrolling patients. In April 2025, we presented new preclinical data at the AACR Annual Meeting demonstrating the anti-tumor activity of OP-3136 in prostate, ovarian, and non-small cell lung cancer models. We expect initial clinical results from the OP-3136 Phase 1 study in mid-2026, potential additional data readout in 2027, and potential initiation of a Phase 3 clinical trial in 2028. Based on our internal estimates, we believe that the current global market potential for OP-3136 in the second/third-line ER+/HER2- MBC market is approximately $5 billion.</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Since our inception, we have devoted substantially all of our resources to organizing and staffing our company, research and development activities, business planning, raising capital, establishing and maintaining our intellectual property portfolio, conducting non-clinical studies and clinical trials and providing general and administrative support for these operations.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do not have any product candidates approved for commercial sale, and we have not generated any revenue from product sales. Our ability to generate product revenue sufficient to achieve profitability, if ever, will depend on the successful development and eventual commercialization of one or more of our product candidates, which we expect, if it ever occurs, will take a number of years. We also do not own or operate, and currently have no plans to establish, any manufacturing facilities. We rely, and expect to continue to rely, on third parties for the manufacture of our product candidates for non-clinical and clinical testing, as well as for commercial manufacturing if any of our product candidates obtain marketing approval.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incurred significant operating losses since the commencement of our operations. Our net losses were $42.2 million and $34.6 million for the three months ended September 30, 2025 and 2024, respectively, and $ 116.4 million and $95.9 million for the nine months ended September 30, 2025 and 2024, respectively. We expect to incur significant and increasing losses for the foreseeable future as we continue to advance our product candidates, make potential milestone payments to our licensors, and as we continue to operate as a public company. Our net losses may fluctuate significantly from period to period, depending on the timing of expenditures on our research and development activities. As of September 30, 2025, we had an accumulated deficit of $551.5 million. Our primary use of cash is to fund operating expenses, which consist primarily of research and development expenditures and general and administrative expenditures. Cash used to fund operating expenses is impacted by the timing of when we pay these expenses, as reflected in the change in our outstanding accounts payable and other current liabilities.</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expect to continue to incur net operating losses for at least the next several years, and we expect our research and development expenses, general and administrative expenses, and capital expenditures will continue to increase. We expect our expenses and capital requirements will increase significantly in connection with our ongoing activities as we:</w:t>
      </w:r>
    </w:p>
    <w:p>
      <w:pPr>
        <w:spacing w:after="0" w:line="169" w:lineRule="exact"/>
        <w:rPr>
          <w:sz w:val="20"/>
          <w:szCs w:val="20"/>
          <w:color w:val="auto"/>
        </w:rPr>
      </w:pPr>
    </w:p>
    <w:p>
      <w:pPr>
        <w:ind w:left="760" w:hanging="378"/>
        <w:spacing w:after="0" w:line="270" w:lineRule="auto"/>
        <w:tabs>
          <w:tab w:leader="none" w:pos="76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continue our ongoing and planned research and development of our lead product candidate, palazestrant, for the treatment of ER+/HER2- breast cancer;</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continue to enroll patients in the Phase 1 study for OP-3136 and any additional product candidates that we may pursue in the future;</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seek to discover and develop additional product candidates and further expand our clinical product pipeline;</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seek regulatory approvals for any product candidates that successfully complete clinical trials;</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continue to scale up external manufacturing capacity with the aim of securing sufficient quantities to meet our capacity requirements for clinical trials and potential commercialization;</w:t>
      </w:r>
    </w:p>
    <w:p>
      <w:pPr>
        <w:spacing w:after="0" w:line="15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establish a sales, marketing and distribution infrastructure to commercialize any approved product candidates and related additional commercial manufacturing costs;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develop, maintain, expand, protect and enforce our intellectual property portfolio, including patents, trade secrets and know how;</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acquire or in-license other product candidates and technologies;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attract, hire and retain additional clinical, scientific, quality control, and manufacturing management and administrative personnel;</w:t>
      </w:r>
    </w:p>
    <w:p>
      <w:pPr>
        <w:spacing w:after="0" w:line="22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add clinical, operational, financial and management information systems and personnel, including personnel to support our product development and planned future commercialization efforts;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231F20"/>
        </w:rPr>
      </w:pPr>
      <w:r>
        <w:rPr>
          <w:rFonts w:ascii="Arial" w:cs="Arial" w:eastAsia="Arial" w:hAnsi="Arial"/>
          <w:sz w:val="18"/>
          <w:szCs w:val="18"/>
          <w:color w:val="231F20"/>
        </w:rPr>
        <w:t>expand our operations in the United States and to other geographies; and</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231F20"/>
        </w:rPr>
      </w:pPr>
      <w:r>
        <w:rPr>
          <w:rFonts w:ascii="Arial" w:cs="Arial" w:eastAsia="Arial" w:hAnsi="Arial"/>
          <w:sz w:val="18"/>
          <w:szCs w:val="18"/>
          <w:color w:val="231F20"/>
        </w:rPr>
        <w:t>incur additional legal, accounting, investor relations and other expenses associated with operating as a public company.</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net losses may fluctuate significantly from quarter-to-quarter and year-to-year, depending on the timing of our clinical trials, potential milestone payments to our licensors, and our expenditures on other research and development activities.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will require substantial additional funding to develop our product candidates and support our continuing operations beyond our current operating plans. Until such time that we can generate significant revenue from product sales or other sources, if ever, we expect to finance our operations through the sale of equity, debt financings or other capital sources, which could include income from collaborations, strategic partnerships or marketing, distribution, licensing or other strategic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and volatility in, the credit and financial markets in the United States and worldwide resulting from geopolitical and macroeconomic conditions. Our failure to obtain sufficient funds on acceptable terms when needed could have a material adverse effect on our business, results of operations or financial condition, including requiring us to have to delay, reduce or eliminate our product development or future commercialization efforts. Insufficient liquidity may also require us to relinquish rights to product candidates at an earlier stage of development or on less favorable terms than we would otherwise choose. The amount and timing of our future funding requirements will depend on many factors, including the pace and results of our development efforts. We cannot provide assurance that we will ever be profitable or generate positive cash flow from operating activities.</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Global economic and business activities continue to face widespread uncertainty due to the geopolitical and macroeconomic environment, generally, including economic uncertainty, market volatility, labor shortages, recent and changing tariff policy announcements, tariffs, trade tensions and retaliatory measures by other countries, supply chain disruptions, the ongoing conflicts between Ukraine and Russia and in the Middle East, as well as any related political or economic responses and counter-responses or otherwise by various global actors, inflationary pressures, monetary supply shifts, increased recession risk, and related financial instability. The extent of the impact of these factors on our operational and financial performance, including our ability to execute our business strategies and initiatives in the expected time frame, will depend on future developments, which are uncertain and cannot be predicted. Any continued or renewed disruption resulting from these factors could negatively impact our business. We continue to monitor the impact of these geopolitical and macroeconomic factors on our results of operations, financial condition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To date, we have not generated any revenue from product sales and do not expect to generate any revenue from the sale of products for the foreseeable future.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Research and development expenses account for a significant portion of our operating expenses and consist primarily of external and internal expenses incurred in connection with the discovery and development of our product candidates. To date, our research and development expenses have related primarily to discovery efforts and non-clinical and clinical development of our lead product candidate, palazestrant, as well as OP-3136. Research and development expenses are recognized as incurred and payments made prior to the receipt of goods or services to be used in research and development are capitalized until the goods or services are received.</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External expenses include:</w:t>
      </w:r>
    </w:p>
    <w:p>
      <w:pPr>
        <w:spacing w:after="0" w:line="212" w:lineRule="exact"/>
        <w:rPr>
          <w:sz w:val="20"/>
          <w:szCs w:val="20"/>
          <w:color w:val="auto"/>
        </w:rPr>
      </w:pPr>
    </w:p>
    <w:p>
      <w:pPr>
        <w:ind w:left="760" w:hanging="378"/>
        <w:spacing w:after="0" w:line="270" w:lineRule="auto"/>
        <w:tabs>
          <w:tab w:leader="none" w:pos="76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expenses incurred in connection with the discovery efforts and non-clinical and clinical development of our product candidates, including under agreements with third parties, such as consultants and contract research organizations (CROs);</w:t>
      </w:r>
    </w:p>
    <w:p>
      <w:pPr>
        <w:spacing w:after="0" w:line="15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costs of manufacturing products for use in our non-clinical studies and clinical trials, including payments to contract manufacturing organizations (CMOs), and consultants;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costs of funding research performed by third parties;</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costs of purchasing lab supplies and non-capital equipment used in designing, developing and manufacturing non-clinical study and clinical trial materials;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costs associated with consultants for chemistry, manufacturing and controls development, regulatory, statistics and other services;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expenses related to regulatory activities, including filing fees paid to regulatory agencies; and</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allocated facility-related costs, which include rent, depreciation and maintenance expenses, and other operating costs.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Internal expenses include employee and personnel-related costs and expenses, including salaries, benefits and stock-based compensation expense for employees and personnel engaged in research and development functions.</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expense research and development expenses in the periods in which they are incurred. Costs for certain activities, such as manufacturing, non-clinical studies, and clinical trials, are generally recognized based on an evaluation of the progress to completion of specific tasks using information and data provided to us by our vendors and collaborators.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typically use our employee, consultant and infrastructure resources across our development programs. We track outsourced development costs by product candidate or non-clinical program, but we do not allocate personnel costs, other internal costs or external consultant costs to specific product candidates or non-clinical programs.</w:t>
      </w:r>
    </w:p>
    <w:p>
      <w:pPr>
        <w:spacing w:after="0" w:line="16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While our research and development expenses may fluctuate from period to period, we generally expect our research and development expenses to increase substantially in absolute dollars for the foreseeable future as we advance palazestrant, OP-3136 or any other future product candidates we may develop into and through non-clinical studies and clinical trials and pursue regulatory approval of our product candidates. The process of conducting the necessary clinical research to obtain regulatory approval is costly and time-consuming. The actual probability of success for palazestrant, OP-3136 or any other future product candidates we may develop may be affected by a variety of factors including but not limited to: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our product candidates. As a result of the uncertainties discussed above, we are unable to determine the duration and completion costs of our research and development projects or when and to what extent we will generate revenue from the commercialization and sale of palazestrant, OP-3136 or any other future product candidates we may develop. Clinical and non-clinical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non-clinical studies and clinical trials, regulatory developments and our ongoing assessments as to each product candidate’s commercial potential. In addition, we cannot forecast whether palazestrant, OP-3136 or any other future product candidates we may develop may be subject to future collaborations, when such arrangements will be secured, if at all, and to what degree such arrangements would affect our development plans and capital requirements. We are also unable to predict when, if ever, we will generate revenue from our</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product candidates to offset these expenses. Our expenditures on current and future non-clinical and clinical development programs are subject to numerous uncertainties in timing and cost to completion. The duration, costs and timing of non-clinical studies and clinical trials and development of our product candidates will depend on a variety of factors, including:</w:t>
      </w:r>
    </w:p>
    <w:p>
      <w:pPr>
        <w:spacing w:after="0" w:line="169"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the timing and progress of non-clinical and clinical development activities;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the number and scope of non-clinical and clinical programs we decide to pursue;</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maintain our current research and development programs and to establish new ones;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establishing an appropriate safety profile with investigational new drug-enabling toxicology studies;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successful patient enrollment in, and the initiation and completion of, clinical trials;</w:t>
      </w:r>
    </w:p>
    <w:p>
      <w:pPr>
        <w:spacing w:after="0" w:line="22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the successful completion of clinical trials with safety, tolerability and efficacy profiles that are satisfactory to the FDA or any comparable foreign regulatory authority;</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establishing commercial manufacturing capabilities or making arrangements with third-party manufacturers;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receipt of regulatory approvals from applicable regulatory authorities;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the timing, receipt and terms of any marketing approvals from applicable regulatory authorities;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establish licensing or collaboration arrangements;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the performance of our future collaborators, if any;</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development and timely delivery of commercial-grade product formulations that can be used in our planned clinical trials and for commercial launch;</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commercializing the product candidates, if approved, whether alone or in collaboration with others;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obtaining and maintaining patent and trade secret protection and regulatory exclusivity for our product candidates;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obtaining, maintaining, defending and enforcing patent claims and other intellectual property rights;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maintaining continued acceptable safety profiles of our products following approval; and</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obtaining and retaining key research and development personnel.</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Any changes in the outcome of any of these factors could significantly impact the costs, timing and viability associated with the development of our product candidates.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General and administrative expenses consist primarily of personnel expenses, including salaries, benefits and stock-based compensation expense, for personnel in executive, finance, accounting, business development, communications, legal, human resources, information technology (IT), and administrative functions. General and administrative expenses also include costs not otherwise included in research and development expenses, including corporate facility costs, depreciation and other expenses, which include direct or allocated expenses for rent and maintenance of facilities and insurance, and professional fees for legal, patent and consulting services.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While our general and administrative expenses may fluctuate from period to period, we generally expect that our general and administrative expenses will increase in the foreseeable future as we increase our headcount to support the continued research and development of our programs and the growth of our business. We also anticipate incurring additional expenses associated with operating as a public company, including increased expenses related to the building and improving of our IT infrastructure, including cyber security monitoring, legal, other regulatory and compliance, director and officer insurance, investor and public relations and tax-related services associated with maintaining compliance with the rules and regulations of the SEC and standards applicable to companies listed on a national securities exchange, additional insurance expenses, investor relations activities and other administrative and professional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other income</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Total other income consists of interest income and other income (expense). Interest income primarily consists of interest earned from our cash equivalents and marketable securities. Other income (expense) primarily consists of unrealized foreign currency remeasurement gain (loss), interest expense, and other miscellaneous income (expense) not related to operating activities.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2025 and 2024</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three months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5881370</wp:posOffset>
            </wp:positionH>
            <wp:positionV relativeFrom="paragraph">
              <wp:posOffset>193675</wp:posOffset>
            </wp:positionV>
            <wp:extent cx="93980" cy="145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3980" cy="145415"/>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80" w:type="dxa"/>
            <w:vAlign w:val="bottom"/>
            <w:tcBorders>
              <w:top w:val="single" w:sz="8" w:color="auto"/>
            </w:tcBorders>
          </w:tcPr>
          <w:p>
            <w:pPr>
              <w:spacing w:after="0"/>
              <w:rPr>
                <w:sz w:val="15"/>
                <w:szCs w:val="15"/>
                <w:color w:val="auto"/>
              </w:rPr>
            </w:pPr>
          </w:p>
        </w:tc>
        <w:tc>
          <w:tcPr>
            <w:tcW w:w="3380" w:type="dxa"/>
            <w:vAlign w:val="bottom"/>
            <w:tcBorders>
              <w:top w:val="single" w:sz="8" w:color="auto"/>
              <w:bottom w:val="single" w:sz="8" w:color="auto"/>
            </w:tcBorders>
            <w:gridSpan w:val="4"/>
          </w:tcPr>
          <w:p>
            <w:pPr>
              <w:jc w:val="right"/>
              <w:ind w:right="79"/>
              <w:spacing w:after="0"/>
              <w:rPr>
                <w:sz w:val="20"/>
                <w:szCs w:val="20"/>
                <w:color w:val="auto"/>
              </w:rPr>
            </w:pPr>
            <w:r>
              <w:rPr>
                <w:rFonts w:ascii="Arial" w:cs="Arial" w:eastAsia="Arial" w:hAnsi="Arial"/>
                <w:sz w:val="14"/>
                <w:szCs w:val="14"/>
                <w:b w:val="1"/>
                <w:bCs w:val="1"/>
                <w:color w:val="auto"/>
              </w:rPr>
              <w:t>Three Months Ended September 30,</w:t>
            </w:r>
          </w:p>
        </w:tc>
        <w:tc>
          <w:tcPr>
            <w:tcW w:w="620" w:type="dxa"/>
            <w:vAlign w:val="bottom"/>
            <w:tcBorders>
              <w:top w:val="single" w:sz="8" w:color="auto"/>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320" w:type="dxa"/>
            <w:vAlign w:val="bottom"/>
            <w:tcBorders>
              <w:top w:val="single" w:sz="8" w:color="auto"/>
              <w:bottom w:val="single" w:sz="8" w:color="auto"/>
            </w:tcBorders>
            <w:vMerge w:val="restart"/>
          </w:tcPr>
          <w:p>
            <w:pPr>
              <w:jc w:val="right"/>
              <w:ind w:right="352"/>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7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Borders>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right"/>
              <w:spacing w:after="0" w:line="155" w:lineRule="exact"/>
              <w:rPr>
                <w:sz w:val="20"/>
                <w:szCs w:val="20"/>
                <w:color w:val="auto"/>
              </w:rPr>
            </w:pPr>
            <w:r>
              <w:rPr>
                <w:rFonts w:ascii="Arial" w:cs="Arial" w:eastAsia="Arial" w:hAnsi="Arial"/>
                <w:sz w:val="14"/>
                <w:szCs w:val="14"/>
                <w:color w:val="auto"/>
              </w:rPr>
              <w:t>(in thousands)</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expenses:</w:t>
            </w:r>
          </w:p>
        </w:tc>
        <w:tc>
          <w:tcPr>
            <w:tcW w:w="1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80"/>
              <w:spacing w:after="0" w:line="202" w:lineRule="exact"/>
              <w:rPr>
                <w:sz w:val="20"/>
                <w:szCs w:val="20"/>
                <w:color w:val="auto"/>
              </w:rPr>
            </w:pPr>
            <w:r>
              <w:rPr>
                <w:rFonts w:ascii="Arial" w:cs="Arial" w:eastAsia="Arial" w:hAnsi="Arial"/>
                <w:sz w:val="18"/>
                <w:szCs w:val="18"/>
                <w:color w:val="auto"/>
              </w:rPr>
              <w:t>Research and development</w:t>
            </w:r>
          </w:p>
        </w:tc>
        <w:tc>
          <w:tcPr>
            <w:tcW w:w="1200" w:type="dxa"/>
            <w:vAlign w:val="bottom"/>
          </w:tcPr>
          <w:p>
            <w:pPr>
              <w:jc w:val="right"/>
              <w:ind w:right="879"/>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39,951</w:t>
            </w:r>
          </w:p>
        </w:tc>
        <w:tc>
          <w:tcPr>
            <w:tcW w:w="140" w:type="dxa"/>
            <w:vAlign w:val="bottom"/>
          </w:tcPr>
          <w:p>
            <w:pPr>
              <w:spacing w:after="0"/>
              <w:rPr>
                <w:sz w:val="17"/>
                <w:szCs w:val="17"/>
                <w:color w:val="auto"/>
              </w:rPr>
            </w:pPr>
          </w:p>
        </w:tc>
        <w:tc>
          <w:tcPr>
            <w:tcW w:w="1340" w:type="dxa"/>
            <w:vAlign w:val="bottom"/>
          </w:tcPr>
          <w:p>
            <w:pPr>
              <w:jc w:val="right"/>
              <w:ind w:right="939"/>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33,226</w:t>
            </w:r>
          </w:p>
        </w:tc>
        <w:tc>
          <w:tcPr>
            <w:tcW w:w="120" w:type="dxa"/>
            <w:vAlign w:val="bottom"/>
          </w:tcPr>
          <w:p>
            <w:pPr>
              <w:spacing w:after="0"/>
              <w:rPr>
                <w:sz w:val="17"/>
                <w:szCs w:val="17"/>
                <w:color w:val="auto"/>
              </w:rPr>
            </w:pPr>
          </w:p>
        </w:tc>
        <w:tc>
          <w:tcPr>
            <w:tcW w:w="4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6,725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Borders>
              <w:bottom w:val="single" w:sz="8" w:color="CFF0FC"/>
            </w:tcBorders>
            <w:shd w:val="clear" w:color="auto" w:fill="CFF0FC"/>
          </w:tcPr>
          <w:p>
            <w:pPr>
              <w:ind w:left="80"/>
              <w:spacing w:after="0" w:line="202" w:lineRule="exact"/>
              <w:rPr>
                <w:sz w:val="20"/>
                <w:szCs w:val="20"/>
                <w:color w:val="auto"/>
              </w:rPr>
            </w:pPr>
            <w:r>
              <w:rPr>
                <w:rFonts w:ascii="Arial" w:cs="Arial" w:eastAsia="Arial" w:hAnsi="Arial"/>
                <w:sz w:val="18"/>
                <w:szCs w:val="18"/>
                <w:color w:val="auto"/>
              </w:rPr>
              <w:t>General and administrative</w:t>
            </w:r>
          </w:p>
        </w:tc>
        <w:tc>
          <w:tcPr>
            <w:tcW w:w="12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5,926</w:t>
            </w:r>
          </w:p>
        </w:tc>
        <w:tc>
          <w:tcPr>
            <w:tcW w:w="14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4,395</w:t>
            </w:r>
          </w:p>
        </w:tc>
        <w:tc>
          <w:tcPr>
            <w:tcW w:w="1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1,531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Pr>
          <w:p>
            <w:pPr>
              <w:ind w:left="140"/>
              <w:spacing w:after="0" w:line="196" w:lineRule="exact"/>
              <w:rPr>
                <w:sz w:val="20"/>
                <w:szCs w:val="20"/>
                <w:color w:val="auto"/>
              </w:rPr>
            </w:pPr>
            <w:r>
              <w:rPr>
                <w:rFonts w:ascii="Arial" w:cs="Arial" w:eastAsia="Arial" w:hAnsi="Arial"/>
                <w:sz w:val="18"/>
                <w:szCs w:val="18"/>
                <w:color w:val="auto"/>
              </w:rPr>
              <w:t>Total operating expenses</w:t>
            </w:r>
          </w:p>
        </w:tc>
        <w:tc>
          <w:tcPr>
            <w:tcW w:w="1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45,877</w:t>
            </w:r>
          </w:p>
        </w:tc>
        <w:tc>
          <w:tcPr>
            <w:tcW w:w="14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37,621</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12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(45,877)</w:t>
            </w:r>
          </w:p>
        </w:tc>
        <w:tc>
          <w:tcPr>
            <w:tcW w:w="13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w w:val="98"/>
              </w:rPr>
              <w:t>(37,621)</w:t>
            </w:r>
          </w:p>
        </w:tc>
        <w:tc>
          <w:tcPr>
            <w:tcW w:w="4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(8,256)</w:t>
            </w:r>
          </w:p>
        </w:tc>
        <w:tc>
          <w:tcPr>
            <w:tcW w:w="0" w:type="dxa"/>
            <w:vAlign w:val="bottom"/>
          </w:tcPr>
          <w:p>
            <w:pPr>
              <w:spacing w:after="0"/>
              <w:rPr>
                <w:sz w:val="1"/>
                <w:szCs w:val="1"/>
                <w:color w:val="auto"/>
              </w:rPr>
            </w:pP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Other income:</w:t>
            </w: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Interest income</w:t>
            </w:r>
          </w:p>
        </w:tc>
        <w:tc>
          <w:tcPr>
            <w:tcW w:w="1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3,648</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2,928</w:t>
            </w: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80"/>
              <w:spacing w:after="0" w:line="202" w:lineRule="exact"/>
              <w:rPr>
                <w:sz w:val="20"/>
                <w:szCs w:val="20"/>
                <w:color w:val="auto"/>
              </w:rPr>
            </w:pPr>
            <w:r>
              <w:rPr>
                <w:rFonts w:ascii="Arial" w:cs="Arial" w:eastAsia="Arial" w:hAnsi="Arial"/>
                <w:sz w:val="18"/>
                <w:szCs w:val="18"/>
                <w:color w:val="auto"/>
              </w:rPr>
              <w:t>Other income</w:t>
            </w:r>
          </w:p>
        </w:tc>
        <w:tc>
          <w:tcPr>
            <w:tcW w:w="1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138</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CFF0FC"/>
            </w:tcBorders>
            <w:shd w:val="clear" w:color="auto" w:fill="CFF0FC"/>
          </w:tcPr>
          <w:p>
            <w:pPr>
              <w:ind w:left="80"/>
              <w:spacing w:after="0" w:line="196" w:lineRule="exact"/>
              <w:rPr>
                <w:sz w:val="20"/>
                <w:szCs w:val="20"/>
                <w:color w:val="auto"/>
              </w:rPr>
            </w:pPr>
            <w:r>
              <w:rPr>
                <w:rFonts w:ascii="Arial" w:cs="Arial" w:eastAsia="Arial" w:hAnsi="Arial"/>
                <w:sz w:val="18"/>
                <w:szCs w:val="18"/>
                <w:color w:val="auto"/>
              </w:rPr>
              <w:t>Total other income</w:t>
            </w:r>
          </w:p>
        </w:tc>
        <w:tc>
          <w:tcPr>
            <w:tcW w:w="1200" w:type="dxa"/>
            <w:vAlign w:val="bottom"/>
            <w:tcBorders>
              <w:top w:val="single" w:sz="8" w:color="auto"/>
              <w:bottom w:val="single" w:sz="8" w:color="auto"/>
            </w:tcBorders>
            <w:shd w:val="clear" w:color="auto" w:fill="CFF0FC"/>
          </w:tcPr>
          <w:p>
            <w:pPr>
              <w:spacing w:after="0"/>
              <w:rPr>
                <w:sz w:val="17"/>
                <w:szCs w:val="17"/>
                <w:color w:val="auto"/>
              </w:rPr>
            </w:pPr>
          </w:p>
        </w:tc>
        <w:tc>
          <w:tcPr>
            <w:tcW w:w="7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3,660</w:t>
            </w:r>
          </w:p>
        </w:tc>
        <w:tc>
          <w:tcPr>
            <w:tcW w:w="14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3,066</w:t>
            </w:r>
          </w:p>
        </w:tc>
        <w:tc>
          <w:tcPr>
            <w:tcW w:w="1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top w:val="single" w:sz="8" w:color="auto"/>
              <w:bottom w:val="single" w:sz="8" w:color="auto"/>
            </w:tcBorders>
            <w:shd w:val="clear" w:color="auto" w:fill="CFF0FC"/>
          </w:tcPr>
          <w:p>
            <w:pPr>
              <w:spacing w:after="0"/>
              <w:rPr>
                <w:sz w:val="17"/>
                <w:szCs w:val="17"/>
                <w:color w:val="auto"/>
              </w:rPr>
            </w:pPr>
          </w:p>
        </w:tc>
        <w:tc>
          <w:tcPr>
            <w:tcW w:w="13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1200" w:type="dxa"/>
            <w:vAlign w:val="bottom"/>
          </w:tcPr>
          <w:p>
            <w:pPr>
              <w:jc w:val="right"/>
              <w:ind w:right="879"/>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(42,217)</w:t>
            </w:r>
          </w:p>
        </w:tc>
        <w:tc>
          <w:tcPr>
            <w:tcW w:w="1340" w:type="dxa"/>
            <w:vAlign w:val="bottom"/>
          </w:tcPr>
          <w:p>
            <w:pPr>
              <w:jc w:val="right"/>
              <w:ind w:right="939"/>
              <w:spacing w:after="0" w:line="196"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w w:val="98"/>
              </w:rPr>
              <w:t>(34,555)</w:t>
            </w:r>
          </w:p>
        </w:tc>
        <w:tc>
          <w:tcPr>
            <w:tcW w:w="4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(7,662)</w:t>
            </w:r>
          </w:p>
        </w:tc>
        <w:tc>
          <w:tcPr>
            <w:tcW w:w="0" w:type="dxa"/>
            <w:vAlign w:val="bottom"/>
          </w:tcPr>
          <w:p>
            <w:pPr>
              <w:spacing w:after="0"/>
              <w:rPr>
                <w:sz w:val="1"/>
                <w:szCs w:val="1"/>
                <w:color w:val="auto"/>
              </w:rPr>
            </w:pPr>
          </w:p>
        </w:tc>
      </w:tr>
      <w:tr>
        <w:trPr>
          <w:trHeight w:val="20"/>
        </w:trPr>
        <w:tc>
          <w:tcPr>
            <w:tcW w:w="5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-959485</wp:posOffset>
            </wp:positionV>
            <wp:extent cx="768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-959485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-162560</wp:posOffset>
            </wp:positionV>
            <wp:extent cx="768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-162560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1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 summarizes our research and development expenses by functional area for the three months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5932805</wp:posOffset>
            </wp:positionH>
            <wp:positionV relativeFrom="paragraph">
              <wp:posOffset>156845</wp:posOffset>
            </wp:positionV>
            <wp:extent cx="93980" cy="145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3980" cy="14541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3580" w:type="dxa"/>
            <w:vAlign w:val="bottom"/>
            <w:tcBorders>
              <w:top w:val="single" w:sz="8" w:color="auto"/>
              <w:bottom w:val="single" w:sz="8" w:color="auto"/>
            </w:tcBorders>
            <w:gridSpan w:val="5"/>
          </w:tcPr>
          <w:p>
            <w:pPr>
              <w:jc w:val="right"/>
              <w:ind w:right="475"/>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220" w:type="dxa"/>
            <w:vAlign w:val="bottom"/>
            <w:tcBorders>
              <w:top w:val="single" w:sz="8" w:color="auto"/>
              <w:bottom w:val="single" w:sz="8" w:color="auto"/>
            </w:tcBorders>
            <w:vMerge w:val="restart"/>
          </w:tcPr>
          <w:p>
            <w:pPr>
              <w:jc w:val="right"/>
              <w:ind w:right="293"/>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595"/>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40" w:type="dxa"/>
            <w:vAlign w:val="bottom"/>
          </w:tcPr>
          <w:p>
            <w:pPr>
              <w:jc w:val="right"/>
              <w:ind w:right="375"/>
              <w:spacing w:after="0" w:line="155" w:lineRule="exact"/>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28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CROs, CMOs and other clinical development related third-party</w:t>
            </w: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vendor expenses</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21,143</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14,557</w:t>
            </w:r>
          </w:p>
        </w:tc>
        <w:tc>
          <w:tcPr>
            <w:tcW w:w="5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Compensation and related benefits</w:t>
            </w: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9,624</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6,994</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2,630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research and development expenses</w:t>
            </w:r>
          </w:p>
        </w:tc>
        <w:tc>
          <w:tcPr>
            <w:tcW w:w="5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6,602</w:t>
            </w: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7,395</w:t>
            </w: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2,582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4,280</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36"/>
        </w:trPr>
        <w:tc>
          <w:tcPr>
            <w:tcW w:w="528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Total research and development expenses</w:t>
            </w:r>
          </w:p>
        </w:tc>
        <w:tc>
          <w:tcPr>
            <w:tcW w:w="5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39,951</w:t>
            </w:r>
          </w:p>
        </w:tc>
        <w:tc>
          <w:tcPr>
            <w:tcW w:w="10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33,226</w:t>
            </w:r>
          </w:p>
        </w:tc>
        <w:tc>
          <w:tcPr>
            <w:tcW w:w="1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6,725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713"/>
        </w:trPr>
        <w:tc>
          <w:tcPr>
            <w:tcW w:w="52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5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-976630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-959485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-976630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-959485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Research and development expenses for the three months ended September 30, 2025 were $40.0 million, compared to $33.2 million for the three months ended September 30, 2024. The increase of $6.7 million was primarily related to (i) increased spending on clinical development-related activities as we continue to advance palazestrant through late-stage clinical trials, (ii) increased spending related to the advancement of OP-3136, and (iii) increased personnel-related costs due to higher headcount, partially offset by a decrease in non-cash stock-based compensation expense of $1.7 million mainly due to lower fair value of options granted in 2025.</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General and administrative expenses for the three months ended September 30, 2025 were $5.9 million compared to $4.4 million for the three months ended September 30, 2024. The increase of $1.5 million was primarily attributable to higher corporate-related costs and an increase in non-cash stock-based compensation expense of $0.3 million due to higher headcount, partially offset by lower fair value of options granted in 2025.</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1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Other income for the three months ended September 30, 2025 was $3.7 million, compared to $3.1 million for the three months ended September 30, 2024. The increase of $0.6 million was primarily due to an increase in interest income from our investments in interest-bearing money market funds and marketable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2025 and 2024</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nine months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5761355</wp:posOffset>
            </wp:positionH>
            <wp:positionV relativeFrom="paragraph">
              <wp:posOffset>193675</wp:posOffset>
            </wp:positionV>
            <wp:extent cx="93980" cy="145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3980" cy="145415"/>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20" w:type="dxa"/>
            <w:vAlign w:val="bottom"/>
            <w:tcBorders>
              <w:top w:val="single" w:sz="8" w:color="auto"/>
            </w:tcBorders>
          </w:tcPr>
          <w:p>
            <w:pPr>
              <w:spacing w:after="0"/>
              <w:rPr>
                <w:sz w:val="15"/>
                <w:szCs w:val="15"/>
                <w:color w:val="auto"/>
              </w:rPr>
            </w:pPr>
          </w:p>
        </w:tc>
        <w:tc>
          <w:tcPr>
            <w:tcW w:w="4080" w:type="dxa"/>
            <w:vAlign w:val="bottom"/>
            <w:tcBorders>
              <w:top w:val="single" w:sz="8" w:color="auto"/>
              <w:bottom w:val="single" w:sz="8" w:color="auto"/>
            </w:tcBorders>
            <w:gridSpan w:val="5"/>
          </w:tcPr>
          <w:p>
            <w:pPr>
              <w:jc w:val="right"/>
              <w:ind w:right="774"/>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540" w:type="dxa"/>
            <w:vAlign w:val="bottom"/>
            <w:tcBorders>
              <w:top w:val="single" w:sz="8" w:color="auto"/>
              <w:bottom w:val="single" w:sz="8" w:color="auto"/>
            </w:tcBorders>
            <w:vMerge w:val="restart"/>
          </w:tcPr>
          <w:p>
            <w:pPr>
              <w:jc w:val="right"/>
              <w:ind w:right="512"/>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734"/>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20" w:type="dxa"/>
            <w:vAlign w:val="bottom"/>
          </w:tcPr>
          <w:p>
            <w:pPr>
              <w:jc w:val="right"/>
              <w:ind w:right="374"/>
              <w:spacing w:after="0" w:line="155"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expenses:</w:t>
            </w:r>
          </w:p>
        </w:tc>
        <w:tc>
          <w:tcPr>
            <w:tcW w:w="1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ind w:left="80"/>
              <w:spacing w:after="0" w:line="202" w:lineRule="exact"/>
              <w:rPr>
                <w:sz w:val="20"/>
                <w:szCs w:val="20"/>
                <w:color w:val="auto"/>
              </w:rPr>
            </w:pPr>
            <w:r>
              <w:rPr>
                <w:rFonts w:ascii="Arial" w:cs="Arial" w:eastAsia="Arial" w:hAnsi="Arial"/>
                <w:sz w:val="18"/>
                <w:szCs w:val="18"/>
                <w:color w:val="auto"/>
              </w:rPr>
              <w:t>Research and development¹</w:t>
            </w:r>
          </w:p>
        </w:tc>
        <w:tc>
          <w:tcPr>
            <w:tcW w:w="1140" w:type="dxa"/>
            <w:vAlign w:val="bottom"/>
          </w:tcPr>
          <w:p>
            <w:pPr>
              <w:jc w:val="right"/>
              <w:ind w:right="859"/>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114,477</w:t>
            </w:r>
          </w:p>
        </w:tc>
        <w:tc>
          <w:tcPr>
            <w:tcW w:w="100" w:type="dxa"/>
            <w:vAlign w:val="bottom"/>
          </w:tcPr>
          <w:p>
            <w:pPr>
              <w:spacing w:after="0"/>
              <w:rPr>
                <w:sz w:val="17"/>
                <w:szCs w:val="17"/>
                <w:color w:val="auto"/>
              </w:rPr>
            </w:pPr>
          </w:p>
        </w:tc>
        <w:tc>
          <w:tcPr>
            <w:tcW w:w="4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92,218</w:t>
            </w:r>
          </w:p>
        </w:tc>
        <w:tc>
          <w:tcPr>
            <w:tcW w:w="100" w:type="dxa"/>
            <w:vAlign w:val="bottom"/>
          </w:tcPr>
          <w:p>
            <w:pPr>
              <w:spacing w:after="0"/>
              <w:rPr>
                <w:sz w:val="17"/>
                <w:szCs w:val="17"/>
                <w:color w:val="auto"/>
              </w:rPr>
            </w:pPr>
          </w:p>
        </w:tc>
        <w:tc>
          <w:tcPr>
            <w:tcW w:w="40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22,259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Borders>
              <w:bottom w:val="single" w:sz="8" w:color="CFF0FC"/>
            </w:tcBorders>
            <w:shd w:val="clear" w:color="auto" w:fill="CFF0FC"/>
          </w:tcPr>
          <w:p>
            <w:pPr>
              <w:ind w:left="80"/>
              <w:spacing w:after="0" w:line="202" w:lineRule="exact"/>
              <w:rPr>
                <w:sz w:val="20"/>
                <w:szCs w:val="20"/>
                <w:color w:val="auto"/>
              </w:rPr>
            </w:pPr>
            <w:r>
              <w:rPr>
                <w:rFonts w:ascii="Arial" w:cs="Arial" w:eastAsia="Arial" w:hAnsi="Arial"/>
                <w:sz w:val="18"/>
                <w:szCs w:val="18"/>
                <w:color w:val="auto"/>
              </w:rPr>
              <w:t>General and administrative</w:t>
            </w:r>
          </w:p>
        </w:tc>
        <w:tc>
          <w:tcPr>
            <w:tcW w:w="11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14,137</w:t>
            </w:r>
          </w:p>
        </w:tc>
        <w:tc>
          <w:tcPr>
            <w:tcW w:w="1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13,272</w:t>
            </w:r>
          </w:p>
        </w:tc>
        <w:tc>
          <w:tcPr>
            <w:tcW w:w="1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865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20" w:type="dxa"/>
            <w:vAlign w:val="bottom"/>
          </w:tcPr>
          <w:p>
            <w:pPr>
              <w:ind w:left="140"/>
              <w:spacing w:after="0" w:line="196" w:lineRule="exact"/>
              <w:rPr>
                <w:sz w:val="20"/>
                <w:szCs w:val="20"/>
                <w:color w:val="auto"/>
              </w:rPr>
            </w:pPr>
            <w:r>
              <w:rPr>
                <w:rFonts w:ascii="Arial" w:cs="Arial" w:eastAsia="Arial" w:hAnsi="Arial"/>
                <w:sz w:val="18"/>
                <w:szCs w:val="18"/>
                <w:color w:val="auto"/>
              </w:rPr>
              <w:t>Total operating expenses</w:t>
            </w:r>
          </w:p>
        </w:tc>
        <w:tc>
          <w:tcPr>
            <w:tcW w:w="1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128,614</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105,490</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23,124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11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(128,614)</w:t>
            </w:r>
          </w:p>
        </w:tc>
        <w:tc>
          <w:tcPr>
            <w:tcW w:w="44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(105,490)</w:t>
            </w:r>
          </w:p>
        </w:tc>
        <w:tc>
          <w:tcPr>
            <w:tcW w:w="40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(23,124)</w:t>
            </w:r>
          </w:p>
        </w:tc>
        <w:tc>
          <w:tcPr>
            <w:tcW w:w="0" w:type="dxa"/>
            <w:vAlign w:val="bottom"/>
          </w:tcPr>
          <w:p>
            <w:pPr>
              <w:spacing w:after="0"/>
              <w:rPr>
                <w:sz w:val="1"/>
                <w:szCs w:val="1"/>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Other income:</w:t>
            </w: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Interest income</w:t>
            </w:r>
          </w:p>
        </w:tc>
        <w:tc>
          <w:tcPr>
            <w:tcW w:w="1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12,214</w:t>
            </w: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9,388</w:t>
            </w: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2,826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ind w:left="80"/>
              <w:spacing w:after="0" w:line="202" w:lineRule="exact"/>
              <w:rPr>
                <w:sz w:val="20"/>
                <w:szCs w:val="20"/>
                <w:color w:val="auto"/>
              </w:rPr>
            </w:pPr>
            <w:r>
              <w:rPr>
                <w:rFonts w:ascii="Arial" w:cs="Arial" w:eastAsia="Arial" w:hAnsi="Arial"/>
                <w:sz w:val="18"/>
                <w:szCs w:val="18"/>
                <w:color w:val="auto"/>
              </w:rPr>
              <w:t>Other income</w:t>
            </w:r>
          </w:p>
        </w:tc>
        <w:tc>
          <w:tcPr>
            <w:tcW w:w="1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195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CFF0FC"/>
            </w:tcBorders>
            <w:shd w:val="clear" w:color="auto" w:fill="CFF0FC"/>
          </w:tcPr>
          <w:p>
            <w:pPr>
              <w:ind w:left="80"/>
              <w:spacing w:after="0" w:line="196" w:lineRule="exact"/>
              <w:rPr>
                <w:sz w:val="20"/>
                <w:szCs w:val="20"/>
                <w:color w:val="auto"/>
              </w:rPr>
            </w:pPr>
            <w:r>
              <w:rPr>
                <w:rFonts w:ascii="Arial" w:cs="Arial" w:eastAsia="Arial" w:hAnsi="Arial"/>
                <w:sz w:val="18"/>
                <w:szCs w:val="18"/>
                <w:color w:val="auto"/>
              </w:rPr>
              <w:t>Total other income</w:t>
            </w:r>
          </w:p>
        </w:tc>
        <w:tc>
          <w:tcPr>
            <w:tcW w:w="1140" w:type="dxa"/>
            <w:vAlign w:val="bottom"/>
            <w:tcBorders>
              <w:top w:val="single" w:sz="8" w:color="auto"/>
              <w:bottom w:val="single" w:sz="8" w:color="auto"/>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12,224</w:t>
            </w:r>
          </w:p>
        </w:tc>
        <w:tc>
          <w:tcPr>
            <w:tcW w:w="1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top w:val="single" w:sz="8" w:color="auto"/>
              <w:bottom w:val="single" w:sz="8" w:color="auto"/>
            </w:tcBorders>
            <w:shd w:val="clear" w:color="auto" w:fill="CFF0FC"/>
          </w:tcPr>
          <w:p>
            <w:pPr>
              <w:spacing w:after="0"/>
              <w:rPr>
                <w:sz w:val="17"/>
                <w:szCs w:val="17"/>
                <w:color w:val="auto"/>
              </w:rPr>
            </w:pPr>
          </w:p>
        </w:tc>
        <w:tc>
          <w:tcPr>
            <w:tcW w:w="1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9,583</w:t>
            </w:r>
          </w:p>
        </w:tc>
        <w:tc>
          <w:tcPr>
            <w:tcW w:w="1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top w:val="single" w:sz="8" w:color="auto"/>
              <w:bottom w:val="single" w:sz="8" w:color="auto"/>
            </w:tcBorders>
            <w:shd w:val="clear" w:color="auto" w:fill="CFF0FC"/>
          </w:tcPr>
          <w:p>
            <w:pPr>
              <w:spacing w:after="0"/>
              <w:rPr>
                <w:sz w:val="17"/>
                <w:szCs w:val="17"/>
                <w:color w:val="auto"/>
              </w:rPr>
            </w:pPr>
          </w:p>
        </w:tc>
        <w:tc>
          <w:tcPr>
            <w:tcW w:w="15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2,641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2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1140" w:type="dxa"/>
            <w:vAlign w:val="bottom"/>
          </w:tcPr>
          <w:p>
            <w:pPr>
              <w:jc w:val="right"/>
              <w:ind w:right="859"/>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(116,390)</w:t>
            </w:r>
          </w:p>
        </w:tc>
        <w:tc>
          <w:tcPr>
            <w:tcW w:w="44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(95,907)</w:t>
            </w:r>
          </w:p>
        </w:tc>
        <w:tc>
          <w:tcPr>
            <w:tcW w:w="40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(20,483)</w:t>
            </w:r>
          </w:p>
        </w:tc>
        <w:tc>
          <w:tcPr>
            <w:tcW w:w="0" w:type="dxa"/>
            <w:vAlign w:val="bottom"/>
          </w:tcPr>
          <w:p>
            <w:pPr>
              <w:spacing w:after="0"/>
              <w:rPr>
                <w:sz w:val="1"/>
                <w:szCs w:val="1"/>
                <w:color w:val="auto"/>
              </w:rPr>
            </w:pPr>
          </w:p>
        </w:tc>
      </w:tr>
      <w:tr>
        <w:trPr>
          <w:trHeight w:val="20"/>
        </w:trPr>
        <w:tc>
          <w:tcPr>
            <w:tcW w:w="50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-959485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-959485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-162560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-162560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ind w:right="760"/>
        <w:spacing w:after="0" w:line="286" w:lineRule="auto"/>
        <w:rPr>
          <w:sz w:val="20"/>
          <w:szCs w:val="20"/>
          <w:color w:val="auto"/>
        </w:rPr>
      </w:pPr>
      <w:r>
        <w:rPr>
          <w:rFonts w:ascii="Arial" w:cs="Arial" w:eastAsia="Arial" w:hAnsi="Arial"/>
          <w:sz w:val="16"/>
          <w:szCs w:val="16"/>
          <w:color w:val="auto"/>
        </w:rPr>
        <w:t>¹The amounts for the nine months ended September 30, 2025 and 2024 include one-time milestone payments to Aurigene of $10,000 and $5,000, respectively.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summarizes our research and development expenses by functional area for the nine months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5855970</wp:posOffset>
            </wp:positionH>
            <wp:positionV relativeFrom="paragraph">
              <wp:posOffset>156845</wp:posOffset>
            </wp:positionV>
            <wp:extent cx="93980" cy="145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3980" cy="14541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0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3420" w:type="dxa"/>
            <w:vAlign w:val="bottom"/>
            <w:tcBorders>
              <w:top w:val="single" w:sz="8" w:color="auto"/>
              <w:bottom w:val="single" w:sz="8" w:color="auto"/>
            </w:tcBorders>
            <w:gridSpan w:val="4"/>
          </w:tcPr>
          <w:p>
            <w:pPr>
              <w:jc w:val="right"/>
              <w:ind w:right="239"/>
              <w:spacing w:after="0"/>
              <w:rPr>
                <w:sz w:val="20"/>
                <w:szCs w:val="20"/>
                <w:color w:val="auto"/>
              </w:rPr>
            </w:pPr>
            <w:r>
              <w:rPr>
                <w:rFonts w:ascii="Arial" w:cs="Arial" w:eastAsia="Arial" w:hAnsi="Arial"/>
                <w:sz w:val="14"/>
                <w:szCs w:val="14"/>
                <w:b w:val="1"/>
                <w:bCs w:val="1"/>
                <w:color w:val="auto"/>
              </w:rPr>
              <w:t>Nine Months Ended September 30,</w:t>
            </w:r>
          </w:p>
        </w:tc>
        <w:tc>
          <w:tcPr>
            <w:tcW w:w="660" w:type="dxa"/>
            <w:vAlign w:val="bottom"/>
            <w:tcBorders>
              <w:top w:val="single" w:sz="8" w:color="auto"/>
              <w:bottom w:val="single" w:sz="8" w:color="auto"/>
            </w:tcBorders>
          </w:tcPr>
          <w:p>
            <w:pPr>
              <w:spacing w:after="0"/>
              <w:rPr>
                <w:sz w:val="15"/>
                <w:szCs w:val="15"/>
                <w:color w:val="auto"/>
              </w:rPr>
            </w:pPr>
          </w:p>
        </w:tc>
        <w:tc>
          <w:tcPr>
            <w:tcW w:w="100" w:type="dxa"/>
            <w:vAlign w:val="bottom"/>
            <w:vMerge w:val="restart"/>
          </w:tcPr>
          <w:p>
            <w:pPr>
              <w:spacing w:after="0"/>
              <w:rPr>
                <w:sz w:val="15"/>
                <w:szCs w:val="15"/>
                <w:color w:val="auto"/>
              </w:rPr>
            </w:pPr>
          </w:p>
        </w:tc>
        <w:tc>
          <w:tcPr>
            <w:tcW w:w="78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vMerge w:val="restart"/>
          </w:tcPr>
          <w:p>
            <w:pPr>
              <w:jc w:val="right"/>
              <w:ind w:right="373"/>
              <w:spacing w:after="0"/>
              <w:rPr>
                <w:sz w:val="20"/>
                <w:szCs w:val="20"/>
                <w:color w:val="auto"/>
              </w:rPr>
            </w:pPr>
            <w:r>
              <w:rPr>
                <w:rFonts w:ascii="Arial" w:cs="Arial" w:eastAsia="Arial" w:hAnsi="Arial"/>
                <w:sz w:val="14"/>
                <w:szCs w:val="14"/>
                <w:b w:val="1"/>
                <w:bCs w:val="1"/>
                <w:color w:val="auto"/>
              </w:rPr>
              <w:t>Change</w:t>
            </w:r>
          </w:p>
        </w:tc>
        <w:tc>
          <w:tcPr>
            <w:tcW w:w="1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900" w:type="dxa"/>
            <w:vAlign w:val="bottom"/>
          </w:tcPr>
          <w:p>
            <w:pPr>
              <w:spacing w:after="0"/>
              <w:rPr>
                <w:sz w:val="13"/>
                <w:szCs w:val="13"/>
                <w:color w:val="auto"/>
              </w:rPr>
            </w:pPr>
          </w:p>
        </w:tc>
        <w:tc>
          <w:tcPr>
            <w:tcW w:w="1300" w:type="dxa"/>
            <w:vAlign w:val="bottom"/>
            <w:gridSpan w:val="2"/>
          </w:tcPr>
          <w:p>
            <w:pPr>
              <w:jc w:val="right"/>
              <w:ind w:right="48"/>
              <w:spacing w:after="0" w:line="155" w:lineRule="exact"/>
              <w:rPr>
                <w:sz w:val="20"/>
                <w:szCs w:val="20"/>
                <w:color w:val="auto"/>
              </w:rPr>
            </w:pPr>
            <w:r>
              <w:rPr>
                <w:rFonts w:ascii="Arial" w:cs="Arial" w:eastAsia="Arial" w:hAnsi="Arial"/>
                <w:sz w:val="14"/>
                <w:szCs w:val="14"/>
                <w:b w:val="1"/>
                <w:bCs w:val="1"/>
                <w:color w:val="auto"/>
              </w:rPr>
              <w:t>2025</w:t>
            </w:r>
          </w:p>
        </w:tc>
        <w:tc>
          <w:tcPr>
            <w:tcW w:w="760" w:type="dxa"/>
            <w:vAlign w:val="bottom"/>
          </w:tcPr>
          <w:p>
            <w:pPr>
              <w:spacing w:after="0"/>
              <w:rPr>
                <w:sz w:val="13"/>
                <w:szCs w:val="13"/>
                <w:color w:val="auto"/>
              </w:rPr>
            </w:pPr>
          </w:p>
        </w:tc>
        <w:tc>
          <w:tcPr>
            <w:tcW w:w="1620" w:type="dxa"/>
            <w:vAlign w:val="bottom"/>
            <w:gridSpan w:val="2"/>
          </w:tcPr>
          <w:p>
            <w:pPr>
              <w:jc w:val="right"/>
              <w:ind w:right="119"/>
              <w:spacing w:after="0" w:line="155" w:lineRule="exact"/>
              <w:rPr>
                <w:sz w:val="20"/>
                <w:szCs w:val="20"/>
                <w:color w:val="auto"/>
              </w:rPr>
            </w:pPr>
            <w:r>
              <w:rPr>
                <w:rFonts w:ascii="Arial" w:cs="Arial" w:eastAsia="Arial" w:hAnsi="Arial"/>
                <w:sz w:val="14"/>
                <w:szCs w:val="14"/>
                <w:b w:val="1"/>
                <w:bCs w:val="1"/>
                <w:color w:val="auto"/>
              </w:rPr>
              <w:t>2024</w:t>
            </w:r>
          </w:p>
        </w:tc>
        <w:tc>
          <w:tcPr>
            <w:tcW w:w="6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Borders>
              <w:top w:val="single" w:sz="8" w:color="auto"/>
            </w:tcBorders>
          </w:tcPr>
          <w:p>
            <w:pPr>
              <w:jc w:val="right"/>
              <w:ind w:right="39"/>
              <w:spacing w:after="0" w:line="155" w:lineRule="exact"/>
              <w:rPr>
                <w:sz w:val="20"/>
                <w:szCs w:val="20"/>
                <w:color w:val="auto"/>
              </w:rPr>
            </w:pPr>
            <w:r>
              <w:rPr>
                <w:rFonts w:ascii="Arial" w:cs="Arial" w:eastAsia="Arial" w:hAnsi="Arial"/>
                <w:sz w:val="14"/>
                <w:szCs w:val="14"/>
                <w:color w:val="auto"/>
              </w:rPr>
              <w:t>(in thousands)</w:t>
            </w: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9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CROs, CMOs and other clinical development related third-</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party vendor expenses</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48,376</w:t>
            </w:r>
          </w:p>
        </w:tc>
        <w:tc>
          <w:tcPr>
            <w:tcW w:w="1620" w:type="dxa"/>
            <w:vAlign w:val="bottom"/>
            <w:gridSpan w:val="2"/>
            <w:shd w:val="clear" w:color="auto" w:fill="CFF0FC"/>
          </w:tcPr>
          <w:p>
            <w:pPr>
              <w:jc w:val="right"/>
              <w:ind w:right="1139"/>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37,517</w:t>
            </w:r>
          </w:p>
        </w:tc>
        <w:tc>
          <w:tcPr>
            <w:tcW w:w="880" w:type="dxa"/>
            <w:vAlign w:val="bottom"/>
            <w:gridSpan w:val="2"/>
            <w:shd w:val="clear" w:color="auto" w:fill="CFF0FC"/>
          </w:tcPr>
          <w:p>
            <w:pPr>
              <w:jc w:val="right"/>
              <w:ind w:right="479"/>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Compensation and related benefits</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27,432</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19,306</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8,126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research and development expenses</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19,077</w:t>
            </w: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18,470</w:t>
            </w: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Milestone payment made to Aurigene</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10,000</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5,000</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9,592</w:t>
            </w: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11,925</w:t>
            </w: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196"/>
        </w:trPr>
        <w:tc>
          <w:tcPr>
            <w:tcW w:w="4900" w:type="dxa"/>
            <w:vAlign w:val="bottom"/>
            <w:tcBorders>
              <w:top w:val="single" w:sz="8" w:color="CFF0FC"/>
              <w:bottom w:val="single" w:sz="8" w:color="auto"/>
            </w:tcBorders>
          </w:tcPr>
          <w:p>
            <w:pPr>
              <w:spacing w:after="0" w:line="196" w:lineRule="exact"/>
              <w:rPr>
                <w:sz w:val="20"/>
                <w:szCs w:val="20"/>
                <w:color w:val="auto"/>
              </w:rPr>
            </w:pPr>
            <w:r>
              <w:rPr>
                <w:rFonts w:ascii="Arial" w:cs="Arial" w:eastAsia="Arial" w:hAnsi="Arial"/>
                <w:sz w:val="18"/>
                <w:szCs w:val="18"/>
                <w:color w:val="auto"/>
              </w:rPr>
              <w:t>Total research and development expenses</w:t>
            </w:r>
          </w:p>
        </w:tc>
        <w:tc>
          <w:tcPr>
            <w:tcW w:w="260" w:type="dxa"/>
            <w:vAlign w:val="bottom"/>
            <w:tcBorders>
              <w:top w:val="single" w:sz="8" w:color="CFF0FC"/>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114,477</w:t>
            </w:r>
          </w:p>
        </w:tc>
        <w:tc>
          <w:tcPr>
            <w:tcW w:w="120" w:type="dxa"/>
            <w:vAlign w:val="bottom"/>
            <w:tcBorders>
              <w:top w:val="single" w:sz="8" w:color="CFF0FC"/>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1059"/>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92,218</w:t>
            </w:r>
          </w:p>
        </w:tc>
        <w:tc>
          <w:tcPr>
            <w:tcW w:w="100" w:type="dxa"/>
            <w:vAlign w:val="bottom"/>
            <w:tcBorders>
              <w:top w:val="single" w:sz="8" w:color="CFF0FC"/>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479"/>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22,259</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-161925</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-161925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Research and development expenses for the nine months ended September 30, 2025 were $114.5 million, compared to $92.2 million for the nine months ended September 30, 2024. The increase of $22.3 million was primarily related to (i) increased spending on clinical development-related activities as we continue to advance palazestrant through late-stage clinical trials, (ii) increased spending related to the advancement of OP-3136, (iii) $5.0 million higher milestone payment to Aurigene, and (iv) increased personnel-related costs due to higher headcount, partially offset by a decrease in non-cash stock-based compensation expense of $2.3 million mainly due to lower fair value of options granted in 2025.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General and administrative expenses for the nine months ended September 30, 2025 were $ 14.1 million compared to $13.3 million for the nine months ended September 30, 2024. The increase of $0.8 million was primarily related to higher corporate-related costs, partially offset by a decrease in non-cash stock-based compensation expense of $0.6 million due to lower fair value options granted in 2025.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1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Other income for the nine months ended September 30, 2025 was $12.2 million, compared to $9.6 million for the nine months ended September 30, 2024. The increase of $2.6 million was primarily due to an increase in interest income from our investments in interest-bearing money market funds and marketable securities.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liquidity</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Since our inception, we have not generated any revenue from product sales and have incurred significant operating losses and negative cash flows from our operations. Our net losses were $42.2 million and $34.6 million for the three months ended September 30, 2025 and 2024, respectively, and $ 116.4 million and $95.9 million for the nine months ended September 30, 2025 and 2024, respectively. Through September 30, 2025, we had received aggregate gross proceeds of $793.2 million from sales of our common stock, convertible preferred stock and issuance of convertible promissory notes, stock option exercises, sale of stock through the Company’s 2020 Employee Stock Purchase Plan (ESPP) and borrowings under our Credit Facility, as defined below.</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September 30, 2025, we had $329.0 million in cash, cash equivalents and marketable securities and accumulated deficit of $551.5 million.</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September 5, 2023, we entered into a loan and security agreement (the Original Loan Agreement) with Silicon Valley Bank, a division of First Citizens Bank &amp; Trust Company (the Bank), which provided us with an aggregate principal amount of up to $50.0 million (the Original Credit Facility), of which $25.0 million became available in September 2023 (Term Loan A) upon the closing of a private placement and issuance of our common stock to selected institutional and accredited investors pursuant to a securities purchase agreement, and the remaining $25.0 million could have been made available upon approval of the Bank in its discretion. The Original Credit Facility was to mature on August 1, 2027. On June 28, 2024, we entered into the First Amendment to Loan and Security Agreement (the First Amendment) with the Bank, which, among other things, (i) increased the aggregate principal amount of the Original Credit Facility from up to $50.0 million to up to $100.0 million of which the Term Loan A of $25.0 million was immediately available, an additional $25.0 million will become available upon achieving certain milestones related to execution of a first-line pivotal Phase 3 clinical trial of palazestrant in combination with ribociclib, and an additional $50.0 million which may be made available upon approval of the Bank in its discretion, and (ii) extended the maturity date to July 1, 2028 (Maturity Date). On June 27, 2025, we entered into a Second Amendment to Loan and Security Agreement (the Second Amendment, and the Original Loan Agreement, as amended by the First Amendment, the Credit Facility) with the Bank, which, among other things, (i) decreased the interest rate to a floating rate equal to the greater of 6.0% or the prime rate, and (ii) extended the draw period of Term Loan A to January 15, 2026. As of September 30, 2025, we had an outstanding liability of $3.0 million under our Credit Facility, representing the full amount drawn to date.</w:t>
      </w:r>
    </w:p>
    <w:p>
      <w:pPr>
        <w:spacing w:after="0" w:line="39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November 29, 2024, we entered into a securities purchase agreement for a private placement of (i) 19,928,875 shares of our common stock at a price of $9.08 per share and (ii) pre-funded warrants to purchase up to an aggregate of 7,604,163 shares of our common stock at a price of $9.0799 per pre-funded warrant, which represents the per share purchase price of the common stock sold in the private placement less the $0.0001 per share exercise price for each pre-funded warrant to selected institutional and accredited investors (the 2024 Private Placement). The aggregate gross proceeds for the 2024 Private Placement were approximately $250.0 million. After deducting offering expenses related to the 2024 Private Placement of approximately $13.0 million, the net proceeds to us from the 2024 Private Placement were approximately $237.0 million. Concurrently, on November 29, 2024, we entered in an exchange agreement with an investor and issued to such investor pre-funded warrants to purchase up to 3,420,000 shares of our common stock at an exercise price of $0.0001 per share, in exchange for 3,420,000 shares of our common stock previously outstanding and held by such investor. Thereafter, on January 10, 2025, we entered into exchange agreements with certain investors pursuant to which we issued pre-funded warrants to purchase up to 6,070,000 shares of our common stock at an exercise price of $0.0001 per share, in exchange for 6,070,000 shares of our common stock previously outstanding and held by such investors. Certain holders of pre-funded warrants (together with such holder’s affiliates and other attribution parties) may not exercise pre-funded warrants held by them to the extent that immediately prior to or after giving effect to such exercise such holder would own more than 9.99% of our outstanding common stock immediately after exercise, which percentage may be changed at the holder’s election to a lower or higher percentage not in excess of 19.99% upon 61 days’ notice to us, subject to the terms of the pre-funded warrants. Refer to Note 12 of our notes to the condensed consolidated financial statements contained in this Quarterly Report on Form 10-Q for further information regarding the exchange transactions.</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January 5, 2024, we entered into a sales agreement (the 2024 Sales Agreement), with Cowen and Company, LLC (Cowen and Company), as sales agent, pursuant to which we were permitted to offer and sell, from time to time, shares of our common stock, having an aggregate offering price of up to $150.0 million (the 2024 ATM Shares). The sales of the 2024 ATM Shares were made as an “at-the-market” (ATM) equity offering as defined in Rule 415(a)(4) promulgated under the Securities Act. We agreed to pay Cowen and Company a commission of up to 3.0% of the aggregate gross proceeds from any 2024 ATM Shares sold by Cowen and Company. During the year ended December 31, 2024, we issued 1,772,278 shares of our common stock under the 2024 Sales Agreement at a weighted-average price of $13.19 for net proceeds of $22.8 million after deducting related issuance costs.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January 6, 2025, we entered into a sales agreement (the 2025 Sales Agreement) with TD Securities (USA) LLC, (TD Cowen) as sales agent, pursuant to which the Company may offer and sell, from time to time, shares of the Company's common stock, having an aggregate offering price of up to $150.0 million (the 2025 ATM</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Shares). The 2025 Sales Agreement replaced our 2024 Sales Agreement, and no further sales may be made pursuant to the 2024 Sales Agreement. The sales of the 2025 ATM Shares will be made by any method permitted that is deemed to be an ATM equity offering as defined in Rule 415(a)(4) promulgated under the Securities Act, including sales made directly on or through the Nasdaq Global Select Market. We have agreed to pay TD Cowen a commission of up to 3.0% of the aggregate gross proceeds from any 2025 ATM Shares sold by TD Cowen. There were no sales under the 2025 Sales Agreement during the nine months ended September 30, 2025 and as of September 30, 2025, $150.0 million remained available for issuance under the 2025 Sales Agreement.</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expect to incur significant expenses and operating losses for the foreseeable future as we advance the clinical development of palazestrant, OP-3136 and non-clinical studies. We expect that our research and development and general and administrative costs will increase in connection with conducting additional non-clinical studies and clinical trials for our current and future research programs and product candidates, contracting with CMOs to support non-clinical studies and clinical trials,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primary uses of cash are to fund our research and development activities, including with respect to palazestrant, OP-3136 and other non-clinical programs, business planning, establishing and maintaining our intellectual property portfolio, hiring personnel, raising capital and providing general and administrative support for these operations.</w:t>
      </w:r>
    </w:p>
    <w:p>
      <w:pPr>
        <w:spacing w:after="0" w:line="16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Other than as noted above, we currently have no financing commitments, such as lines of credit or guarantees, that are expected to affect our liquidity over the next five years.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funding and material cash requirements</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 date, we have not generated any revenue from product sales. We do not expect to generate any meaningful revenue unless and until we obtain regulatory approval of and commercialize any of our product candidates, and we do not know when, or if at all, that will occur. We expect our expenses to increase in connection with our ongoing activities, particularly as we initiate and conduct clinical trials of, and seek marketing approval for, palazestrant or OP-3136. In addition, if we obtain marketing approval for our product candidates, we expect to incur significant commercialization expenses related to program sales, marketing, manufacturing and distribution to the extent that such sales, marketing and distribution are not the responsibility of potential collaborators. Furthermore, we have incurred and expect to continue to incur additional costs associated with operating as a public company. The amount and timing of our future funding requirements will depend on many factors, including the pace and results of our development efforts.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expect our cash, cash equivalents, and marketable securities as of September 30, 2025, as well as the available balance under the Credit Facility, will enable us to fund our current operating plan for at least the next 12 months from the filing date of these condensed consolidated financial statements.</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Refer to Notes 9, 10 and 11 of our notes to the condensed consolidated financial statements contained in this Quarterly Report on Form 10-Q for further information regarding our material cash requirements; other than as set forth therein, there have been no material changes outside the ordinary course of business during the three and nine months ended September 30, 2025 to our commitments and contingencies disclosed in “Management’s Discussion and Analysis of Financial Condition and Results of Operations” included in our Annual Report on Form 10-K.</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If we are unable to raise capital when needed or on attractive terms, we would be forced to delay, reduce or eliminate our research and development programs or future commercialization efforts. Our future capital requirements will depend on many factors, including:</w:t>
      </w:r>
    </w:p>
    <w:p>
      <w:pPr>
        <w:spacing w:after="0" w:line="154"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231F20"/>
        </w:rPr>
      </w:pPr>
      <w:r>
        <w:rPr>
          <w:rFonts w:ascii="Arial" w:cs="Arial" w:eastAsia="Arial" w:hAnsi="Arial"/>
          <w:sz w:val="18"/>
          <w:szCs w:val="18"/>
          <w:color w:val="231F20"/>
        </w:rPr>
        <w:t>the scope, progress, results and costs of product discovery, non-clinical studies and clinical trials;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231F20"/>
        </w:rPr>
      </w:pPr>
      <w:r>
        <w:rPr>
          <w:rFonts w:ascii="Arial" w:cs="Arial" w:eastAsia="Arial" w:hAnsi="Arial"/>
          <w:sz w:val="18"/>
          <w:szCs w:val="18"/>
          <w:color w:val="231F20"/>
        </w:rPr>
        <w:t>the scope, prioritization and number of our research and development programs;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timing and outcome of regulatory review of our product candidates;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establish and maintain collaborations on favorable terms, if at all;</w:t>
      </w:r>
    </w:p>
    <w:p>
      <w:pPr>
        <w:spacing w:after="0" w:line="22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20"/>
        </w:numPr>
        <w:rPr>
          <w:rFonts w:ascii="Times New Roman" w:cs="Times New Roman" w:eastAsia="Times New Roman" w:hAnsi="Times New Roman"/>
          <w:sz w:val="18"/>
          <w:szCs w:val="18"/>
          <w:color w:val="231F20"/>
        </w:rPr>
      </w:pPr>
      <w:r>
        <w:rPr>
          <w:rFonts w:ascii="Arial" w:cs="Arial" w:eastAsia="Arial" w:hAnsi="Arial"/>
          <w:sz w:val="18"/>
          <w:szCs w:val="18"/>
          <w:color w:val="231F20"/>
        </w:rPr>
        <w:t>the achievement of milestones or occurrence of other developments that trigger payments under any collaboration agreements we enter into;</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20"/>
        </w:numPr>
        <w:rPr>
          <w:rFonts w:ascii="Times New Roman" w:cs="Times New Roman" w:eastAsia="Times New Roman" w:hAnsi="Times New Roman"/>
          <w:sz w:val="18"/>
          <w:szCs w:val="18"/>
          <w:color w:val="231F20"/>
        </w:rPr>
      </w:pPr>
      <w:r>
        <w:rPr>
          <w:rFonts w:ascii="Arial" w:cs="Arial" w:eastAsia="Arial" w:hAnsi="Arial"/>
          <w:sz w:val="18"/>
          <w:szCs w:val="18"/>
          <w:color w:val="231F20"/>
        </w:rPr>
        <w:t>the extent to which we are obligated to reimburse, or entitled to reimbursement of, clinical trial costs under collaboration agreements, if any;</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20"/>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of preparing, filing and prosecuting patent applications, maintaining and enforcing our intellectual property rights and defending intellectual property-related claims;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231F20"/>
        </w:rPr>
      </w:pPr>
      <w:r>
        <w:rPr>
          <w:rFonts w:ascii="Arial" w:cs="Arial" w:eastAsia="Arial" w:hAnsi="Arial"/>
          <w:sz w:val="18"/>
          <w:szCs w:val="18"/>
          <w:color w:val="231F20"/>
        </w:rPr>
        <w:t>the extent to which we acquire or in-license other product candidates and technologies;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of securing manufacturing arrangements for commercial production; and</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20"/>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of establishing or contracting for sales and marketing capabilities if we obtain regulatory approvals to market our product candidates.</w:t>
      </w:r>
    </w:p>
    <w:p>
      <w:pPr>
        <w:spacing w:after="0" w:line="15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Identifying potential product candidates and conducting non-clinical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one or more product candidates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existing stockholders’ ownership interests will be diluted, and the terms of these securities may include liquidation or other preferences that adversely affect the rights of existing stockholders. Debt financing, if available, may involve agreements that include covenants limiting or restricting our ability to take specific actions, such as incurring additional debt, making capital expenditures or declaring dividends.</w:t>
      </w:r>
    </w:p>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If we raise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each of the periods presented: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6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3280" w:type="dxa"/>
            <w:vAlign w:val="bottom"/>
            <w:tcBorders>
              <w:top w:val="single" w:sz="8" w:color="auto"/>
              <w:bottom w:val="single" w:sz="8" w:color="auto"/>
            </w:tcBorders>
            <w:gridSpan w:val="3"/>
          </w:tcPr>
          <w:p>
            <w:pPr>
              <w:jc w:val="right"/>
              <w:ind w:right="614"/>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4740" w:type="dxa"/>
            <w:vAlign w:val="bottom"/>
            <w:vMerge w:val="continue"/>
          </w:tcPr>
          <w:p>
            <w:pPr>
              <w:spacing w:after="0"/>
              <w:rPr>
                <w:sz w:val="13"/>
                <w:szCs w:val="13"/>
                <w:color w:val="auto"/>
              </w:rPr>
            </w:pPr>
          </w:p>
        </w:tc>
        <w:tc>
          <w:tcPr>
            <w:tcW w:w="28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756"/>
              <w:spacing w:after="0" w:line="155" w:lineRule="exact"/>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74"/>
              <w:spacing w:after="0" w:line="15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4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322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16"/>
              <w:spacing w:after="0" w:line="196" w:lineRule="exact"/>
              <w:rPr>
                <w:sz w:val="20"/>
                <w:szCs w:val="20"/>
                <w:color w:val="auto"/>
              </w:rPr>
            </w:pPr>
            <w:r>
              <w:rPr>
                <w:rFonts w:ascii="Arial" w:cs="Arial" w:eastAsia="Arial" w:hAnsi="Arial"/>
                <w:sz w:val="18"/>
                <w:szCs w:val="18"/>
                <w:color w:val="auto"/>
              </w:rPr>
              <w:t>(108,389)</w:t>
            </w:r>
          </w:p>
        </w:tc>
        <w:tc>
          <w:tcPr>
            <w:tcW w:w="48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(78,067)</w:t>
            </w:r>
          </w:p>
        </w:tc>
        <w:tc>
          <w:tcPr>
            <w:tcW w:w="0" w:type="dxa"/>
            <w:vAlign w:val="bottom"/>
          </w:tcPr>
          <w:p>
            <w:pPr>
              <w:spacing w:after="0"/>
              <w:rPr>
                <w:sz w:val="1"/>
                <w:szCs w:val="1"/>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Net cash provided by investing activities</w:t>
            </w:r>
          </w:p>
        </w:tc>
        <w:tc>
          <w:tcPr>
            <w:tcW w:w="2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jc w:val="right"/>
              <w:ind w:right="96"/>
              <w:spacing w:after="0" w:line="202" w:lineRule="exact"/>
              <w:rPr>
                <w:sz w:val="20"/>
                <w:szCs w:val="20"/>
                <w:color w:val="auto"/>
              </w:rPr>
            </w:pPr>
            <w:r>
              <w:rPr>
                <w:rFonts w:ascii="Arial" w:cs="Arial" w:eastAsia="Arial" w:hAnsi="Arial"/>
                <w:sz w:val="18"/>
                <w:szCs w:val="18"/>
                <w:color w:val="auto"/>
              </w:rPr>
              <w:t>6,424</w:t>
            </w:r>
          </w:p>
        </w:tc>
        <w:tc>
          <w:tcPr>
            <w:tcW w:w="480" w:type="dxa"/>
            <w:vAlign w:val="bottom"/>
          </w:tcPr>
          <w:p>
            <w:pPr>
              <w:spacing w:after="0"/>
              <w:rPr>
                <w:sz w:val="17"/>
                <w:szCs w:val="17"/>
                <w:color w:val="auto"/>
              </w:rPr>
            </w:pPr>
          </w:p>
        </w:tc>
        <w:tc>
          <w:tcPr>
            <w:tcW w:w="13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20,898</w:t>
            </w:r>
          </w:p>
        </w:tc>
        <w:tc>
          <w:tcPr>
            <w:tcW w:w="0" w:type="dxa"/>
            <w:vAlign w:val="bottom"/>
          </w:tcPr>
          <w:p>
            <w:pPr>
              <w:spacing w:after="0"/>
              <w:rPr>
                <w:sz w:val="1"/>
                <w:szCs w:val="1"/>
                <w:color w:val="auto"/>
              </w:rPr>
            </w:pPr>
          </w:p>
        </w:tc>
      </w:tr>
      <w:tr>
        <w:trPr>
          <w:trHeight w:val="203"/>
        </w:trPr>
        <w:tc>
          <w:tcPr>
            <w:tcW w:w="47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Net cash (used in) provided by financing activities</w:t>
            </w:r>
          </w:p>
        </w:tc>
        <w:tc>
          <w:tcPr>
            <w:tcW w:w="28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16"/>
              <w:spacing w:after="0" w:line="202" w:lineRule="exact"/>
              <w:rPr>
                <w:sz w:val="20"/>
                <w:szCs w:val="20"/>
                <w:color w:val="auto"/>
              </w:rPr>
            </w:pPr>
            <w:r>
              <w:rPr>
                <w:rFonts w:ascii="Arial" w:cs="Arial" w:eastAsia="Arial" w:hAnsi="Arial"/>
                <w:sz w:val="18"/>
                <w:szCs w:val="18"/>
                <w:color w:val="auto"/>
              </w:rPr>
              <w:t>(2,255)</w:t>
            </w:r>
          </w:p>
        </w:tc>
        <w:tc>
          <w:tcPr>
            <w:tcW w:w="48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24,518</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decrease in cash and cash equivalents</w:t>
            </w:r>
          </w:p>
        </w:tc>
        <w:tc>
          <w:tcPr>
            <w:tcW w:w="3220" w:type="dxa"/>
            <w:vAlign w:val="bottom"/>
            <w:tcBorders>
              <w:bottom w:val="single" w:sz="8" w:color="auto"/>
            </w:tcBorders>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6"/>
              <w:spacing w:after="0" w:line="196" w:lineRule="exact"/>
              <w:rPr>
                <w:sz w:val="20"/>
                <w:szCs w:val="20"/>
                <w:color w:val="auto"/>
              </w:rPr>
            </w:pPr>
            <w:r>
              <w:rPr>
                <w:rFonts w:ascii="Arial" w:cs="Arial" w:eastAsia="Arial" w:hAnsi="Arial"/>
                <w:sz w:val="18"/>
                <w:szCs w:val="18"/>
                <w:color w:val="auto"/>
              </w:rPr>
              <w:t>(104,220)</w:t>
            </w:r>
          </w:p>
        </w:tc>
        <w:tc>
          <w:tcPr>
            <w:tcW w:w="4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(32,651)</w:t>
            </w:r>
          </w:p>
        </w:tc>
        <w:tc>
          <w:tcPr>
            <w:tcW w:w="0" w:type="dxa"/>
            <w:vAlign w:val="bottom"/>
          </w:tcPr>
          <w:p>
            <w:pPr>
              <w:spacing w:after="0"/>
              <w:rPr>
                <w:sz w:val="1"/>
                <w:szCs w:val="1"/>
                <w:color w:val="auto"/>
              </w:rPr>
            </w:pP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3"/>
        </w:trPr>
        <w:tc>
          <w:tcPr>
            <w:tcW w:w="4740" w:type="dxa"/>
            <w:vAlign w:val="bottom"/>
          </w:tcPr>
          <w:p>
            <w:pPr>
              <w:spacing w:after="0"/>
              <w:rPr>
                <w:sz w:val="24"/>
                <w:szCs w:val="24"/>
                <w:color w:val="auto"/>
              </w:rPr>
            </w:pPr>
          </w:p>
        </w:tc>
        <w:tc>
          <w:tcPr>
            <w:tcW w:w="2860" w:type="dxa"/>
            <w:vAlign w:val="bottom"/>
          </w:tcPr>
          <w:p>
            <w:pPr>
              <w:jc w:val="right"/>
              <w:ind w:right="1790"/>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474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5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Net cash used in operating activities during the nine months ended September 30, 2025 consisted primarily of our net loss of $116.4 million, non-cash interest income on our marketable securities of $5.1 million and net decrease in operating assets and liabilities of $0.4 million, offset by non-cash charges of $13.6 million. The net loss consisted primarily of $114.5 million in research and development expenses and $14.1 million in general and administrative expenses. The non-cash charges consisted primarily of stock-based compensation expense of $13.3 million, depreciation and amortization expenses of $0.3 million, and non-cash lease expense of less than $0.1 million, net of cash payments of $0.9 million. The net decrease in operating assets and liabilities was primarily due to (i) an increase of other assets and long-term deposits of $5.6 million due to project deposits paid to CROs as we advance OP-3136 and conduct initiation activities for OPERA-02, (ii) a decrease of $1.2 million in accounts payable, which is primarily related to timing of invoicing by vendors and related payments, and (iii) an increase in prepaid expenses and other current assets of $1.0 million. These changes were partially offset by an increase of $7.4 million in other current liabilities, which is primarily related to increased spending on clinical development-related activities as we advanced palazestrant through late-stage clinical trials and OP-3136 program, as well as initiation activities for OPERA-02.</w:t>
      </w:r>
    </w:p>
    <w:p>
      <w:pPr>
        <w:spacing w:after="0" w:line="18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Net cash used in operating activities during the nine months ended September 30, 2024 consisted primarily of our net loss of $ 95.5 million and non-cash interest income on our marketable securities of $6.5 million, offset by non-cash charges of $16.5 million and net increase in operating assets and liabilities of $7.8 million. The net loss consisted primarily of $92.2 million in research and development expenses and $13.3 million in general and administrative expenses. The non-cash charges consisted primarily of stock-based compensation expense of $16.3 million, depreciation and amortization expenses of $0.3 million, and non-cash lease expense of less than $ 0.1 million, net of cash payments of $0.9 million. The net increase in operating assets and liabilities was primarily due to (i) an increase of $9.0 million in accrued and other current liabilities and (ii) a decrease of $1.5 million in prepaid expenses and other current assets, which is primarily due to the reimbursable research and development costs received from a collaboration partner. The net increases in operating liabilities were primarily offset by an increase of $2.6 million in other assets and long-term deposits.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cash provided by investing activities during the nine months ended September 30, 2025 was predominantly due to maturities of marketable securities which were partially offset by purchases of marketable securities.</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cash provided by investing activities during the nine months ended September 30, 2024 was predominantly due to maturities of marketable securities which were partially offset by purchases of marketable securities.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cash used in financing activities during the nine months ended September 30, 2025 was predominately due to the $6.5 million payment of issuance costs related to the 2024 Private Placement, partially offset by $3.0 million draw down under our Credit Facility, $0.7 million from the sale of our common stock under the ESPP, and $0.5 million from the exercise of stock options.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cash provided by financing activities during the nine months ended September 30, 2024 consists of $22.8 million in net proceeds from the sale of 2024 ATM Shares, $1.1 million from the exercise of stock options, and $0.7 million from the sale of our common stock under the ESPP.</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management’s discussion and analysis of our financial condition and results of operations are based on our condensed consolidated financial statements, which have been prepared in accordance with U.S. generally accepted accounting principles (U.S. GAAP). The preparation of our condensed consolidated financial statements and related disclosures requires us to make estimates and judgments that affect the reported amounts of assets, liabilities, expenses and the disclosure of our contingent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During the three months ended September 30, 2025, there were no material changes to our critical accounting policies and estimates as reported in our Annual Report on Form 10-K.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During the three months ended September 30, 2025, there were no material changes to our market risk disclosures reported in our Annual Report on Form 10-K.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of September 30, 2025, management, with the participation of our Chief Executive Officer and Chief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Chief Financial Officer, to allow timely decisions regarding required disclosures.</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September 30, 2025, the design and operation of our disclosure controls and procedures were effective at a reasonable assurance level.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Rules 13a-15(d) and 15d-15(d) of the Exchange Act that occurred during the three months ended September 30, 2025 that has materially affected, or is reasonably likely to materially affect, our internal control over financial reporting.</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currently a party to any material legal proceedings. Regardless of outcome, such proceedings or claims can have an adverse impact on us because of defense and settlement costs, diversion of resources and other factors, and there can be no assurances that favorable outcomes will be obtained.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4"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i w:val="1"/>
          <w:iCs w:val="1"/>
          <w:color w:val="auto"/>
        </w:rPr>
        <w:t>Our business involves significant risks, some of which are described below. You should carefully consider the following risks, as well as the other information in this Quarterly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Q, including our condensed consolidated financial statements and the related notes and “Management’s Discussion and Analysis of Financial Condition and Results of Operations.” The occurrence of any of the events or developments described below could have a material adverse effect on our business, results of operations, financial condition, prospects and stock price. In such an event, the market price of our common stock could decline, and you may lose all or part of your investment. Additional risks and uncertainties not presently known to us or that we currently deem immaterial may also impair our business operations and the market price of our common stock.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Investing in our common stock involves numerous risks, including the risks described in “Part II, Item 1A. Risk Factors” of this Quarterly Report on Form 10-Q. Below are some of these risks, any one of which could materially adversely affect our business, financial condition, results of operations, and prospects.</w:t>
      </w:r>
    </w:p>
    <w:p>
      <w:pPr>
        <w:spacing w:after="0" w:line="196" w:lineRule="exact"/>
        <w:rPr>
          <w:sz w:val="20"/>
          <w:szCs w:val="20"/>
          <w:color w:val="auto"/>
        </w:rPr>
      </w:pPr>
    </w:p>
    <w:p>
      <w:pPr>
        <w:ind w:left="760" w:hanging="378"/>
        <w:spacing w:after="0" w:line="270" w:lineRule="auto"/>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We have no products approved for commercial sale, which may make it difficult for you to evaluate our current business and predict our future success and viability.</w:t>
      </w:r>
    </w:p>
    <w:p>
      <w:pPr>
        <w:spacing w:after="0" w:line="154"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We require substantial additional capital to finance our operations. If we are unable to raise such capital when needed, or on acceptable terms, we may be forced to delay, reduce and/or eliminate one or more of our research and drug development programs of our product candidates or future commercialization efforts.</w:t>
      </w:r>
    </w:p>
    <w:p>
      <w:pPr>
        <w:spacing w:after="0" w:line="170" w:lineRule="exact"/>
        <w:rPr>
          <w:rFonts w:ascii="Times New Roman" w:cs="Times New Roman" w:eastAsia="Times New Roman" w:hAnsi="Times New Roman"/>
          <w:sz w:val="18"/>
          <w:szCs w:val="18"/>
          <w:color w:val="auto"/>
        </w:rPr>
      </w:pPr>
    </w:p>
    <w:p>
      <w:pPr>
        <w:ind w:left="760" w:right="20" w:hanging="378"/>
        <w:spacing w:after="0" w:line="270" w:lineRule="auto"/>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We have incurred net losses since inception, and we expect to continue to incur net losses for the foreseeable future. In addition, we may be unable to continue as a going concern over the long term.</w:t>
      </w:r>
    </w:p>
    <w:p>
      <w:pPr>
        <w:spacing w:after="0" w:line="154" w:lineRule="exact"/>
        <w:rPr>
          <w:rFonts w:ascii="Times New Roman" w:cs="Times New Roman" w:eastAsia="Times New Roman" w:hAnsi="Times New Roman"/>
          <w:sz w:val="18"/>
          <w:szCs w:val="18"/>
          <w:color w:val="auto"/>
        </w:rPr>
      </w:pPr>
    </w:p>
    <w:p>
      <w:pPr>
        <w:jc w:val="both"/>
        <w:ind w:left="760" w:hanging="378"/>
        <w:spacing w:after="0" w:line="246" w:lineRule="auto"/>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We are substantially dependent on the success of our lead product candidate, palazestrant, which is currently in clinical development. If we are unable to complete development of, obtain regulatory approval for and commercialize palazestrant in one or more indications and in a timely manner, our business, financial condition, results of operations and prospects will be significantly harmed.</w:t>
      </w:r>
    </w:p>
    <w:p>
      <w:pPr>
        <w:spacing w:after="0" w:line="176" w:lineRule="exact"/>
        <w:rPr>
          <w:rFonts w:ascii="Times New Roman" w:cs="Times New Roman" w:eastAsia="Times New Roman" w:hAnsi="Times New Roman"/>
          <w:sz w:val="18"/>
          <w:szCs w:val="18"/>
          <w:color w:val="auto"/>
        </w:rPr>
      </w:pPr>
    </w:p>
    <w:p>
      <w:pPr>
        <w:jc w:val="both"/>
        <w:ind w:left="760" w:hanging="378"/>
        <w:spacing w:after="0" w:line="242" w:lineRule="auto"/>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Clinical development is a lengthy and expensive process with an uncertain outcome, and results of earlier studies and trials may not be predictive of future trial results. Failure can occur at any stage of clinical development. We have never completed a pivotal clinical trial or submitted a New Drug Application (NDA) to the FDA or similar drug approval filings to comparable foreign authorities. If we are ultimately unable to obtain regulatory approval for palazestrant or OP-3136 or any future product candidate we may develop, we will be unable to generate product revenue and our business, financial condition, results of operations and prospects will be significantly harmed.</w:t>
      </w:r>
    </w:p>
    <w:p>
      <w:pPr>
        <w:spacing w:after="0" w:line="177"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Even if approved, palazestrant or OP-3136 may not achieve adequate market acceptance among physicians, patients, healthcare payors and others in the medical community necessary for commercial success.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760" w:hanging="378"/>
        <w:spacing w:after="0" w:line="252" w:lineRule="auto"/>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face significant competition, and if our competitors develop and market technologies or products more rapidly than we do or that are more effective, safer or less expensive than palazestrant, OP-3136 or product candidates we may develop in the future, our commercial opportunities will be negatively impacted.</w:t>
      </w:r>
    </w:p>
    <w:p>
      <w:pPr>
        <w:spacing w:after="0" w:line="170" w:lineRule="exact"/>
        <w:rPr>
          <w:rFonts w:ascii="Times New Roman" w:cs="Times New Roman" w:eastAsia="Times New Roman" w:hAnsi="Times New Roman"/>
          <w:sz w:val="18"/>
          <w:szCs w:val="18"/>
          <w:color w:val="auto"/>
        </w:rPr>
      </w:pPr>
    </w:p>
    <w:p>
      <w:pPr>
        <w:ind w:left="760" w:right="20" w:hanging="378"/>
        <w:spacing w:after="0" w:line="270" w:lineRule="auto"/>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Unfavorable U.S. and global macroeconomic and geopolitical conditions could adversely affect our business, financial condition and results of operations.</w:t>
      </w:r>
    </w:p>
    <w:p>
      <w:pPr>
        <w:spacing w:after="0" w:line="15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In order to successfully implement our plans and strategies, we will need to grow the size of our organization, and we may experience difficulties in managing this growth.</w:t>
      </w:r>
    </w:p>
    <w:p>
      <w:pPr>
        <w:spacing w:after="0" w:line="154" w:lineRule="exact"/>
        <w:rPr>
          <w:rFonts w:ascii="Times New Roman" w:cs="Times New Roman" w:eastAsia="Times New Roman" w:hAnsi="Times New Roman"/>
          <w:sz w:val="18"/>
          <w:szCs w:val="18"/>
          <w:color w:val="auto"/>
        </w:rPr>
      </w:pPr>
    </w:p>
    <w:p>
      <w:pPr>
        <w:jc w:val="both"/>
        <w:ind w:left="760" w:hanging="378"/>
        <w:spacing w:after="0" w:line="246" w:lineRule="auto"/>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If our information technology systems or those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or other adverse consequences.</w:t>
      </w:r>
    </w:p>
    <w:p>
      <w:pPr>
        <w:spacing w:after="0" w:line="17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Our success depends on our ability to protect our intellectual property and our proprietary technologies.</w:t>
      </w:r>
    </w:p>
    <w:p>
      <w:pPr>
        <w:spacing w:after="0" w:line="224" w:lineRule="exact"/>
        <w:rPr>
          <w:rFonts w:ascii="Times New Roman" w:cs="Times New Roman" w:eastAsia="Times New Roman" w:hAnsi="Times New Roman"/>
          <w:sz w:val="18"/>
          <w:szCs w:val="18"/>
          <w:color w:val="auto"/>
        </w:rPr>
      </w:pPr>
    </w:p>
    <w:p>
      <w:pPr>
        <w:jc w:val="both"/>
        <w:ind w:left="760" w:hanging="378"/>
        <w:spacing w:after="0" w:line="243" w:lineRule="auto"/>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palazestrant, OP-3136 or future product candidates we may develop and our business, financial condition, results of operations and prospects could be significantly harmed.</w:t>
      </w:r>
    </w:p>
    <w:p>
      <w:pPr>
        <w:spacing w:after="0" w:line="179"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qualify as a “smaller reporting company” within the meaning of the Exchange Act and may take advantage of certain exemptions from disclosure requirements available to smaller reporting companies, which could make our securities less attractive to investors and may make it more difficult to compare our performance to the performance of other public companies.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the need for additional capital</w:t>
      </w:r>
    </w:p>
    <w:p>
      <w:pPr>
        <w:spacing w:after="0" w:line="21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have no products approved for commercial sale, which may make it difficult for you to evaluate our current business and predict our future success and viability.</w:t>
      </w:r>
    </w:p>
    <w:p>
      <w:pPr>
        <w:spacing w:after="0" w:line="1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a clinical-stage biopharmaceutical company, and we have no products approved for commercial sale, have not generated any revenue from product sales and have incurred losses since inception. To date, we have devoted substantially all of our resources and efforts to organizing and staffing our company, business planning, executing partnerships, raising capital, discovering, identifying and developing our lead product candidate, palazestrant (OP-1250), securing related intellectual property rights, conducting non-clinical studies, conducting multiple Phase 1/2 studies of palazestrant, initiating and conducting Phase 3 clinical trials of palazestrant, conducting non-clinical studies of OP-3136, and conducting a Phase 1 study of OP-3136. We have not yet demonstrated our ability to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than it could be if we had a longer operating history.</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focus to a company capable of successfully executing drug development activities and supporting commercial operations. If we do not adequately address these risks and difficulties or successfully make such a transition, our business, financial condition, results of operations and prospects will be significantly harmed.</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require substantial additional capital to finance our operations. If we are unable to raise such capital when needed, or on acceptable terms, we may be forced to delay, reduce and/or eliminate one or more of our research and drug development programs of our product candidates or future commercialization efforts.</w:t>
      </w:r>
    </w:p>
    <w:p>
      <w:pPr>
        <w:spacing w:after="0" w:line="15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Developing pharmaceutical products, including conducting non-clinical studies and clinical trials, is a very time-consuming, expensive and uncertain process that takes years to complete. Our operations have consumed substantial amounts of cash since inception, and we expect our expenses will increase in connection with our ongoing activities, particularly as we initiate and conduct clinical trials of, and seek marketing approval for, palazestrant. We anticipate incurring significant costs associated with the development of our lead product candidate, palazestrant, OP-3136 and any future product candidates we may develop. Our expenses could increase beyond expectations if we are required by the FDA, the European Medicines Agency (EMA), or other regulatory authorities to perform clinical trials or non-clinical studies in addition to those that we currently anticipate. Other unanticipated costs may also arise. In addition, if we obtain marketing approval for palazestrant, OP-3136 or other product candidates, we expect to incur significant commercialization expenses related to drug sales, marketing, manufacturing and distribution. Our estimates as to how long until we are able to commercialize one or more of our product candidates are based on assumptions that may prove to be wrong, and we may require more time and resources than we currently anticipate, and may exhaust our available capital resources before we are able to generate any revenue from product sales. In addition, because the design and outcome of our planned and anticipated clinical trials are highly uncertain, we cannot reasonably estimate the actual amounts necessary to successfully complete the development and commercialization of any product candidate we develop. We also incur costs associated with operating as a public company. Accordingly, we will need to obtain substantial additional funding in order to maintain our continuing operations.</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estimate as to how long we expect our existing cash, cash equivalents and marketable securities to be able to continue to fund our operating expenses and capital expenditures requirements is based on assumptions that may prove to be wrong, and we could use our available capital resources sooner than we currently expect. Changing circumstances, some of which may be beyond our control, including a negative return on our cash and cash equivalents, could cause us to consume capital significantly faster than we currently anticipate, and we may need to seek additional funds sooner than planned. Moreover, it is particularly difficult to estimate with certainty our future expenses given the dynamic nature of our business and the geopolitical and macroeconomic environment, generally, including economic uncertainty, market volatility, labor shortages, recent and changing tariff policy announcements, tariffs, trade tensions and retaliatory measures by other countries, supply chain disruptions, the ongoing conflicts between Ukraine and Russia and in the Middle East, as well as any related political or economic responses and counter-responses or otherwise by various global actors, inflationary pressures, monetary supply shifts, increased recession risk, and related financial instability. Advancing the development of palazestrant, OP-3136 and any future product candidates we may develop will require a significant amount of capital, and our existing cash, cash equivalents and marketable securities will not be sufficient to fund all of the activities that are necessary to complete the development of palazestrant and OP-3136.</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will be required to obtain additional funding through public or private equity offerings, debt financings, collaborations and licensing arrangements or other sources, which may dilute our stockholders, or cause our stock price to decline or restrict our operating activities. Adequate additional financing may not be available to us on acceptable terms, or at all. Market volatility, including as a result of geopolitical and macroeconomic events discussed above, could adversely increase our need to access capital and, likewise, adversely impact our ability to access capital as and when needed. For example, inflation rates, particularly in the United States, recently increased to levels not seen in years,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heightening these risks and further increasing economic uncertainty.</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efforts. We also could be required to seek collaborators for palazestrant, OP-3136 or any future product candidate at an earlier stage than otherwise would be desirable or on terms that are less favorable than might otherwise be available or relinquish or license on unfavorable terms our rights to our product candidates in markets where we otherwise would seek to pursue development or commercialization ourselves. Any of the above events could significantly harm our business, prospects, financial condition and results of operations and cause the price of our common stock to decline.</w:t>
      </w:r>
    </w:p>
    <w:p>
      <w:pPr>
        <w:spacing w:after="0" w:line="178"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have incurred net losses since inception, and we expect to continue to incur net losses for the foreseeable future. In addition, we may be unable to continue as a going concern over the long term.</w:t>
      </w:r>
    </w:p>
    <w:p>
      <w:pPr>
        <w:spacing w:after="0" w:line="1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incurred net losses in each reporting period since our inception, have not generated any revenue from product sales to date and have financed our operations principally through sales of our equity securities, including sales of our common stock and pre-funded warrants to purchase our common stock to selected institutional and accredited investors in private placement transactions, at-the-market offerings, our initial public offering and private financings. We have incurred net losses of $42.2 million and $34.6 million for the three months ended September 30, 2025 and 2024, respectively. We had an accumulated deficit of $551.5 million as of September 30, 2025. Our losses have resulted principally from expenses incurred in research and development of palazestrant, OP-3136 and from management and administrative costs and other expenses that we have incurred while building our business infrastructure. Our lead product candidate, palazestrant, and OP-3136 are both in clinical trials. As a result, we expect that it will be several years, if ever, before we have a commercialized product and generate revenue from product sales. Even if we succeed in receiving marketing approval for palazestrant or OP-3136 in one of our lead indications and proceed to commercializing palazestrant or OP-3136, we expect that we will continue to incur substantial research and development and other expenses as we continue the clinical development programs for palazestrant in other indications or for OP-3136.</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While our expenses may fluctuate from period to period, we generally expect to continue to incur increased expenses and operating losses for the foreseeable future as we continue our research and development efforts and seek to obtain regulatory approval for palazestrant or OP-3136.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In any particular period, our operating results could be below the expectations of securities analysts or investors, which could cause our stock price to decline.</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our condensed consolidated financial statements for the three and nine months ended September 30, 2025 and 2024 included elsewhere in this Quarterly Report on Form 10-Q have been prepared assuming we will continue as a going concern. However, we have incurred losses and negative cash flows from operations. As a development stage company, we expect to incur significant and increasing losses until regulatory approval is granted for palazestrant or OP-3136. Regulatory approval is not guaranteed and may never be obtained. As a result, these conditions raise substantial doubt about our ability to continue as a going concern over the long term.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 profitable.</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our collaboration partners, to successfully complete the development of, and obtain the regulatory approvals necessary to commercialize, palazestrant, OP-3136 and any future product candidates we may develop. We do not anticipate generating revenue from product sales for the next several years, if ever. Our ability to generate revenue from product sales depends heavily on our and our current and potential future collaborators’ success in:</w:t>
      </w:r>
    </w:p>
    <w:p>
      <w:pPr>
        <w:spacing w:after="0" w:line="174" w:lineRule="exact"/>
        <w:rPr>
          <w:sz w:val="20"/>
          <w:szCs w:val="20"/>
          <w:color w:val="auto"/>
        </w:rPr>
      </w:pPr>
    </w:p>
    <w:p>
      <w:pPr>
        <w:ind w:left="1540" w:hanging="514"/>
        <w:spacing w:after="0" w:line="270" w:lineRule="auto"/>
        <w:tabs>
          <w:tab w:leader="none" w:pos="154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231F20"/>
        </w:rPr>
        <w:t>completing clinical and non-clinical development of our product candidates and programs and identifying and developing new product candidates;</w:t>
      </w:r>
    </w:p>
    <w:p>
      <w:pPr>
        <w:spacing w:after="0" w:line="46"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231F20"/>
        </w:rPr>
        <w:t>seeking and obtaining marketing approvals for any product candidates that we develop;</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540" w:hanging="514"/>
        <w:spacing w:after="0" w:line="270" w:lineRule="auto"/>
        <w:tabs>
          <w:tab w:leader="none" w:pos="15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launching and commercializing product candidates for which we obtain marketing approval by establishing a sales force, marketing, medical affairs and distribution infrastructure or, alternatively, collaborating with a commercialization partner;</w:t>
      </w:r>
    </w:p>
    <w:p>
      <w:pPr>
        <w:spacing w:after="0" w:line="46" w:lineRule="exact"/>
        <w:rPr>
          <w:rFonts w:ascii="Times New Roman" w:cs="Times New Roman" w:eastAsia="Times New Roman" w:hAnsi="Times New Roman"/>
          <w:sz w:val="18"/>
          <w:szCs w:val="18"/>
          <w:color w:val="auto"/>
        </w:rPr>
      </w:pPr>
    </w:p>
    <w:p>
      <w:pPr>
        <w:ind w:left="1540" w:hanging="514"/>
        <w:spacing w:after="0" w:line="270" w:lineRule="auto"/>
        <w:tabs>
          <w:tab w:leader="none" w:pos="15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achieving adequate access and reimbursement by government and third-party payors for product candidates that we develop;</w:t>
      </w:r>
    </w:p>
    <w:p>
      <w:pPr>
        <w:spacing w:after="0" w:line="46" w:lineRule="exact"/>
        <w:rPr>
          <w:rFonts w:ascii="Times New Roman" w:cs="Times New Roman" w:eastAsia="Times New Roman" w:hAnsi="Times New Roman"/>
          <w:sz w:val="18"/>
          <w:szCs w:val="18"/>
          <w:color w:val="auto"/>
        </w:rPr>
      </w:pPr>
    </w:p>
    <w:p>
      <w:pPr>
        <w:jc w:val="both"/>
        <w:ind w:left="1540" w:hanging="514"/>
        <w:spacing w:after="0" w:line="252" w:lineRule="auto"/>
        <w:tabs>
          <w:tab w:leader="none" w:pos="15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establishing and maintaining supply and manufacturing relationships with third parties that can provide adequate, in both amount and quality, products and services to support clinical development and the market demand for product candidates that we develop, if approved;</w:t>
      </w:r>
    </w:p>
    <w:p>
      <w:pPr>
        <w:spacing w:after="0" w:line="62"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obtaining market acceptance of product candidates that we develop as viable treatment options;</w:t>
      </w:r>
    </w:p>
    <w:p>
      <w:pPr>
        <w:spacing w:after="0" w:line="116"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addressing any competing technological and market developments;</w:t>
      </w:r>
    </w:p>
    <w:p>
      <w:pPr>
        <w:spacing w:after="0" w:line="116" w:lineRule="exact"/>
        <w:rPr>
          <w:rFonts w:ascii="Times New Roman" w:cs="Times New Roman" w:eastAsia="Times New Roman" w:hAnsi="Times New Roman"/>
          <w:sz w:val="18"/>
          <w:szCs w:val="18"/>
          <w:color w:val="auto"/>
        </w:rPr>
      </w:pPr>
    </w:p>
    <w:p>
      <w:pPr>
        <w:ind w:left="1540" w:hanging="514"/>
        <w:spacing w:after="0" w:line="270" w:lineRule="auto"/>
        <w:tabs>
          <w:tab w:leader="none" w:pos="15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negotiating favorable terms in any collaboration, licensing or other arrangements into which we may enter and performing our obligations in such collaborations;</w:t>
      </w:r>
    </w:p>
    <w:p>
      <w:pPr>
        <w:spacing w:after="0" w:line="46" w:lineRule="exact"/>
        <w:rPr>
          <w:rFonts w:ascii="Times New Roman" w:cs="Times New Roman" w:eastAsia="Times New Roman" w:hAnsi="Times New Roman"/>
          <w:sz w:val="18"/>
          <w:szCs w:val="18"/>
          <w:color w:val="auto"/>
        </w:rPr>
      </w:pPr>
    </w:p>
    <w:p>
      <w:pPr>
        <w:ind w:left="1540" w:hanging="514"/>
        <w:spacing w:after="0" w:line="270" w:lineRule="auto"/>
        <w:tabs>
          <w:tab w:leader="none" w:pos="15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maintaining, protecting, enforcing and expanding our portfolio of intellectual property rights, including patents, trade secrets and know-how;</w:t>
      </w:r>
    </w:p>
    <w:p>
      <w:pPr>
        <w:spacing w:after="0" w:line="46"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defending against third-party interference, infringement or other intellectual property-related claims, if any; and</w:t>
      </w:r>
    </w:p>
    <w:p>
      <w:pPr>
        <w:spacing w:after="0" w:line="116"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attracting, hiring and retaining qualified personnel.</w:t>
      </w:r>
    </w:p>
    <w:p>
      <w:pPr>
        <w:spacing w:after="0" w:line="23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Even if palazestrant, OP-3136 or any future product candidate that we may develop is approved for commercial sale, we anticipate incurring significant costs associated with commercializing any approved product candidate. Our expenses could increase beyond expectations if we are required by the FDA, EMA or other comparable regulatory authorities to perform clinical trials or non-clinical studies in addition to those that we currently anticipate. Even if we are able to generate revenue from the sale of any approved products, we may not become profitable and may need to obtain additional funding to continue operations.</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terms of the Loan Agreement place restrictions on our operating and financial flexibility. If we raise additional capital through debt financing, the terms of any new debt could further restrict our ability to operate our business.</w:t>
      </w:r>
    </w:p>
    <w:p>
      <w:pPr>
        <w:spacing w:after="0" w:line="1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September 5, 2023, we entered into a loan and security agreement (the Original Loan Agreement) with Silicon Valley Bank, a division of First Citizens Bank &amp; Trust Company (the Bank), which provided us with an aggregate principal amount of up to $50.0 million (the Original Credit Facility), of which $25.0 million became available in September 2023 (Term Loan A) upon the closing of a private placement and issuance of our common stock to selected institutional and accredited investors pursuant to a securities purchase agreement, and the remaining $25.0 million could have been made available upon approval of the Bank in its discretion. The Original Credit Facility was to mature on August 1, 2027. On June 28, 2024, we entered into the First Amendment to Loan and Security Agreement (the First Amendment) with the Bank, which, among other things, (i) increased the aggregate principal amount of the Original Credit Facility from up to $50.0 million to up to $100.0 million of which the Term Loan A of $25.0 million was immediately available, an additional $25.0 million will become available upon achieving certain milestones related to execution of a first-line pivotal Phase 3 clinical trial of palazestrant in combination with ribociclib, and an additional $50.0 million which may be made available upon approval of the Bank in its discretion, and (ii) extended the maturity date to July 1, 2028 (Maturity Date). On June 27, 2025, we entered into a Second Amendment to Loan and Security Agreement (the Second Amendment, together with the Original Loan Agreement and the First Amendment, the Loan Agreement, and such credit facility, the Credit Facility) with the Bank, which, among other things, (i) decreased the interest rate to a floating rate equal to the greater of 6.0% or the prime rate, and (ii) extended the draw period of Term Loan A to January 15, 2026. As of September 30, 2025, we had drawn down $3.0 million from the Credit Facility.</w:t>
      </w:r>
    </w:p>
    <w:p>
      <w:pPr>
        <w:spacing w:after="0" w:line="18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overall leverage and certain obligations and affirmative and negative covenants contained in the Loan Agreement and related documentation could adversely affect our financial health and business and future operations by limiting our ability to, among other things, satisfy our obligations under the Loan Agreement, refinance our debt on terms acceptable to us or at all, plan for and adjust to changing business, industry and</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market conditions, use our available cash flow to fund future acquisitions and make dividend payments, and obtain additional financing for working capital, to fund growth or for general corporate purposes, even when necessary to maintain adequate liquidity.</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we default under the Loan Agreement, the Bank may accelerate all of our repayment obligations and exercise all of its rights and remedies under the Loan Agreement and applicable law, potentially requiring us to renegotiate our agreement on terms less favorable to us. Further, if we are liquidated, the lenders’ right to repayment would be senior to the rights of the holders of our common stock to receive any proceeds from the liquidation. The Bank could declare a default upon the occurrence of customary events of default, including, but not limited to, nonpayment of principal, interest, fees or other amounts; material inaccuracy of a representation or warranty; failure to perform or observe covenants; cross-defaults with certain other indebtedness; bankruptcy and insolvency events; material monetary judgment defaults; material adverse change occurs; delisting; and a material impairment in the Bank’s security interest. Upon the occurrence of an event of default (subject, in certain cases, to notice and grace periods), obligations under the Loan Agreement may be accelerated, thereby requiring us to repay the loan immediately. Any declaration by the lender of an event of default could significantly harm our business and prospects and could cause the price of our common stock to decline. Additionally, if we raise any additional debt financing, the terms of such additional debt could further restrict our operating and financial flexibility.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We are substantially dependent on the success of our lead product candidate, palazestrant, which is currently in clinical development. If we are unable to complete development of, obtain regulatory approval for and commercialize palazestrant in one or more indications and in a timely manner, our business, financial condition, results of operations and prospects will be significantly harmed.</w:t>
      </w:r>
    </w:p>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future success is heavily dependent on our ability to timely complete clinical trials, obtain marketing approval for and successfully commercialize palazestrant, our lead product candidate. We expect that a substantial portion of our efforts and expenses over the next several years will be devoted to the development of palazestrant in our ongoing clinical trials in multiple indications. We are investing significant efforts and financial resources in the research and development of palazestrant. Palazestrant will require additional clinical development, evaluation of clinical, non-clinical and manufacturing activities, marketing approval from regulatory authorities, and significant marketing efforts before we can generate any revenues from product sales. We are not permitted to market or promote palazestrant before we receive marketing approval from the FDA and comparable foreign regulatory authorities, and we may never receive such marketing approvals. Should our planned clinical development of palazestrant in our lead indications fail to be completed in a timely manner or at all, we will need to rely on our ongoing and planned clinical development of palazestrant in additional indications, which will require more time and resources to obtain regulatory approval and proceed with commercialization and may ultimately be unsuccessful.</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cannot assure you that our planned clinical development programs for palazestrant will be completed in a timely manner, or at all, or that we will be able to obtain approval for palazestrant from the FDA, European Commission (based on the positive opinion of the EMA’s Committee for Medicinal Products for Human Use), or any comparable foreign regulatory authority. If we are unable to complete development of, obtain regulatory approval for and commercialize palazestrant in one or more indications and in a timely manner, our business, financial condition, results of operations and prospects will be significantly harmed.</w:t>
      </w:r>
    </w:p>
    <w:p>
      <w:pPr>
        <w:spacing w:after="0" w:line="17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Clinical development is a lengthy and expensive process with an uncertain outcome, and results of earlier studies and trials may not be predictive of future trial results. Failure can occur at any stage of clinical development. We have never completed a pivotal clinical trial or submitted an NDA to the FDA or similar drug approval filings to comparable foreign authorities. If we are ultimately unable to obtain regulatory approval for palazestrant, OP-3136 or any future product candidates we may develop, we will be unable to generate product revenue and our business, financial condition, results of operations and prospects will be significantly harmed.</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Clinical testing is expensive and can take many years to complete, and its outcome is inherently uncertain. Failure can occur at any time during the clinical trial process. The results of non-clinical studies and clinical trials of palazestrant, OP-3136 and any future product candidates we may develop may not be predictive of the</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results of subsequent clinical trials. We have a limited operating history and to date have not demonstrated our ability to complete large-scale clinical trials.</w:t>
      </w:r>
    </w:p>
    <w:p>
      <w:pPr>
        <w:spacing w:after="0" w:line="1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Product candidates in later stages of clinical trials may fail to show the desired safety and efficacy traits despite having progressed through non-clinical studies and initial clinical trials. In addition to the safety and efficacy traits of any product candidate, clinical trial failures may result from a multitude of factors, including flaws in trial design, dose selection, placebo effect and patient enrollment criteria. A number of companies in the biopharmaceutical industry have suffered significant setbacks in advanced clinical trials due to a lack of efficacy or adverse safety profiles, notwithstanding promising results in earlier trials. Based upon negative or inconclusive results, we or any potential future collaborator may decide, or regulators may require us, to conduct additional clinical trials or non-clinical studies. In addition, data obtained from trials and studies are susceptible to varying interpretations, and regulators may not interpret our data as favorably as we do, which may delay, limit or prevent regulatory approval.</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future clinical trials may not be successful. If any product candidate is found to be unsafe or lacks efficacy, we will not be able to obtain regulatory approval for it and our business, financial condition, results of operations and prospects may be significantly harmed. In some instances, there can be significant variability in safety and/or efficacy results between different trials of the same product candidate due to numerous factors, including changes in trial protocols, differences in composition of the patient populations, adherence to the dosing regimen and other trial protocols and the dropout rate among clinical trial participants. Patients treated with palazestrant, OP-3136 or product candidates we may develop in the future may also be undergoing surgical, radiation and chemotherapy treatments and may be using other approved products or investigational new drugs, which can cause side effects or adverse events that are unrelated to palazestrant, OP-3136 or product candidates we may develop. As a result, assessments of efficacy can vary widely for a particular patient, and from patient to patient and site to site within a clinical trial. This subjectivity can increase the uncertainty of, and adversely impact, our clinical trial outcomes. We do not know whether any clinical trials we may conduct will demonstrate consistent or adequate efficacy and safety sufficient to obtain marketing approval to market palazestrant, OP-3136 or any future product candidates we may develop.</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do not know whether our current clinical trials of palazestrant or OP-3136 or any future clinical trials we may conduct will demonstrate consistent or adequate efficacy and safety to obtain regulatory approval to market palazestrant, OP-3136 or any future product candidates we may develop. Most product candidates that begin clinical trials are never approved by regulatory authorities for commercialization. If we are unable to bring palazestrant, OP-3136 or any future product candidates to market, our ability to create long-term stockholder value will be limited.</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we may rely in part on non-clinical, clinical and quality data generated by CROs and other third parties for regulatory submissions for palazestrant or OP-3136. While we have or will have agreements governing these third parties’ services, we have limited influence over their actual performance. If these third parties do not make data available to us, or, if applicable, make regulatory submissions in a timely manner, our development programs may be significantly delayed, and we may need to conduct additional studies or collect additional data independently. In either case, our development costs would increase.</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Moreover, non-clinical and clinical data are often susceptible to varying interpretations and analyses and many companies that believed their product candidates performed satisfactorily in non-clinical studies and clinical trials nonetheless failed to obtain FDA, European Commission or comparable foreign regulatory authority approval. We cannot guarantee that the FDA or foreign regulatory authorities will interpret trial results as we do, and more trials could be required before we are able to submit an application seeking approval of palazestrant, OP-3136 or any future product candidates we may develop. To the extent that the results of the trials are not satisfactory to the FDA or foreign regulatory authorities for support of a marketing approval, we may be required to expend significant resources, which may not be available to us, to conduct additional trials in support of potential approval of palazestrant, OP-3136 or any future product candidates we may develop. Even if regulatory approval is secured for palazestrant or OP-3136, the terms of such approval may limit the scope and use of palazestrant or OP-3136, which may also limit its commercial potential. Furthermore, the approval policies or regulations of the FDA, European Commission or comparable foreign regulatory authorities may significantly change in a manner rendering our clinical data insufficient for approval, which may lead to the FDA, European Commission or comparable foreign regulatory authorities delaying, limiting or denying approval</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of palazestrant or OP-3136, including and any other indication we are seeking for approval under palazestrant or OP-3136.</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The regulatory approval processes of the FDA, European Commission and comparable foreign authorities are lengthy, time consuming and inherently unpredictable, and if we are ultimately unable to obtain regulatory approval for palazestrant, OP-3136 or any future product candidates we may develop, our business, financial condition, results of operations and prospects will be significantly harmed.</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time required to obtain approval by the FDA, European Commission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Applications for palazestrant or OP-3136 could fail to receive regulatory approval for many reasons, including the following:</w:t>
      </w:r>
    </w:p>
    <w:p>
      <w:pPr>
        <w:spacing w:after="0" w:line="212" w:lineRule="exact"/>
        <w:rPr>
          <w:sz w:val="20"/>
          <w:szCs w:val="20"/>
          <w:color w:val="auto"/>
        </w:rPr>
      </w:pPr>
    </w:p>
    <w:p>
      <w:pPr>
        <w:ind w:left="760" w:hanging="378"/>
        <w:spacing w:after="0" w:line="270" w:lineRule="auto"/>
        <w:tabs>
          <w:tab w:leader="none" w:pos="760" w:val="left"/>
        </w:tabs>
        <w:numPr>
          <w:ilvl w:val="0"/>
          <w:numId w:val="25"/>
        </w:numPr>
        <w:rPr>
          <w:rFonts w:ascii="Times New Roman" w:cs="Times New Roman" w:eastAsia="Times New Roman" w:hAnsi="Times New Roman"/>
          <w:sz w:val="18"/>
          <w:szCs w:val="18"/>
          <w:color w:val="231F20"/>
        </w:rPr>
      </w:pPr>
      <w:r>
        <w:rPr>
          <w:rFonts w:ascii="Arial" w:cs="Arial" w:eastAsia="Arial" w:hAnsi="Arial"/>
          <w:sz w:val="18"/>
          <w:szCs w:val="18"/>
          <w:color w:val="231F20"/>
        </w:rPr>
        <w:t>the FDA, European Commission or other comparable foreign regulatory authorities may disagree with the design, implementation or results of our clinical trials;</w:t>
      </w:r>
    </w:p>
    <w:p>
      <w:pPr>
        <w:spacing w:after="0" w:line="154" w:lineRule="exact"/>
        <w:rPr>
          <w:rFonts w:ascii="Times New Roman" w:cs="Times New Roman" w:eastAsia="Times New Roman" w:hAnsi="Times New Roman"/>
          <w:sz w:val="18"/>
          <w:szCs w:val="18"/>
          <w:color w:val="231F20"/>
        </w:rPr>
      </w:pPr>
    </w:p>
    <w:p>
      <w:pPr>
        <w:jc w:val="both"/>
        <w:ind w:left="760" w:right="20" w:hanging="378"/>
        <w:spacing w:after="0" w:line="252" w:lineRule="auto"/>
        <w:tabs>
          <w:tab w:leader="none" w:pos="760" w:val="left"/>
        </w:tabs>
        <w:numPr>
          <w:ilvl w:val="0"/>
          <w:numId w:val="25"/>
        </w:numPr>
        <w:rPr>
          <w:rFonts w:ascii="Times New Roman" w:cs="Times New Roman" w:eastAsia="Times New Roman" w:hAnsi="Times New Roman"/>
          <w:sz w:val="18"/>
          <w:szCs w:val="18"/>
          <w:color w:val="231F20"/>
        </w:rPr>
      </w:pPr>
      <w:r>
        <w:rPr>
          <w:rFonts w:ascii="Arial" w:cs="Arial" w:eastAsia="Arial" w:hAnsi="Arial"/>
          <w:sz w:val="18"/>
          <w:szCs w:val="18"/>
          <w:color w:val="231F20"/>
        </w:rPr>
        <w:t>the FDA, European Commission or other comparable foreign regulatory authorities may determine that palazestrant or OP-3136 is not safe and effective, only moderately effective or have undesirable or unintended side effects, toxicities or other characteristics that preclude our obtaining marketing approval or prevent or limit commercial use;</w:t>
      </w:r>
    </w:p>
    <w:p>
      <w:pPr>
        <w:spacing w:after="0" w:line="170"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25"/>
        </w:numPr>
        <w:rPr>
          <w:rFonts w:ascii="Times New Roman" w:cs="Times New Roman" w:eastAsia="Times New Roman" w:hAnsi="Times New Roman"/>
          <w:sz w:val="18"/>
          <w:szCs w:val="18"/>
          <w:color w:val="231F20"/>
        </w:rPr>
      </w:pPr>
      <w:r>
        <w:rPr>
          <w:rFonts w:ascii="Arial" w:cs="Arial" w:eastAsia="Arial" w:hAnsi="Arial"/>
          <w:sz w:val="18"/>
          <w:szCs w:val="18"/>
          <w:color w:val="231F20"/>
        </w:rPr>
        <w:t>the population studied in the clinical trial may not be sufficiently broad or representative to assure efficacy and safety in the full population for which we seek approval;</w:t>
      </w:r>
    </w:p>
    <w:p>
      <w:pPr>
        <w:spacing w:after="0" w:line="15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25"/>
        </w:numPr>
        <w:rPr>
          <w:rFonts w:ascii="Times New Roman" w:cs="Times New Roman" w:eastAsia="Times New Roman" w:hAnsi="Times New Roman"/>
          <w:sz w:val="18"/>
          <w:szCs w:val="18"/>
          <w:color w:val="231F20"/>
        </w:rPr>
      </w:pPr>
      <w:r>
        <w:rPr>
          <w:rFonts w:ascii="Arial" w:cs="Arial" w:eastAsia="Arial" w:hAnsi="Arial"/>
          <w:sz w:val="18"/>
          <w:szCs w:val="18"/>
          <w:color w:val="231F20"/>
        </w:rPr>
        <w:t>the FDA, European Commission or other comparable foreign regulatory authorities may disagree with our interpretation of data from non-clinical studies or clinical trials;</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25"/>
        </w:numPr>
        <w:rPr>
          <w:rFonts w:ascii="Times New Roman" w:cs="Times New Roman" w:eastAsia="Times New Roman" w:hAnsi="Times New Roman"/>
          <w:sz w:val="18"/>
          <w:szCs w:val="18"/>
          <w:color w:val="231F20"/>
        </w:rPr>
      </w:pPr>
      <w:r>
        <w:rPr>
          <w:rFonts w:ascii="Arial" w:cs="Arial" w:eastAsia="Arial" w:hAnsi="Arial"/>
          <w:sz w:val="18"/>
          <w:szCs w:val="18"/>
          <w:color w:val="231F20"/>
        </w:rPr>
        <w:t>the data collected from clinical trials of palazestrant or OP-3136 may not be sufficient to support the submission of an NDA, or other submission or to obtain regulatory approval in the United States or elsewhere;</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25"/>
        </w:numPr>
        <w:rPr>
          <w:rFonts w:ascii="Times New Roman" w:cs="Times New Roman" w:eastAsia="Times New Roman" w:hAnsi="Times New Roman"/>
          <w:sz w:val="18"/>
          <w:szCs w:val="18"/>
          <w:color w:val="231F20"/>
        </w:rPr>
      </w:pPr>
      <w:r>
        <w:rPr>
          <w:rFonts w:ascii="Arial" w:cs="Arial" w:eastAsia="Arial" w:hAnsi="Arial"/>
          <w:sz w:val="18"/>
          <w:szCs w:val="18"/>
          <w:color w:val="231F20"/>
        </w:rPr>
        <w:t>we may be unable to demonstrate to the FDA, European Commission or other comparable foreign regulatory authorities that palazestrant's or OP-3136’s risk-benefit ratio for its proposed indication is acceptable;</w:t>
      </w:r>
    </w:p>
    <w:p>
      <w:pPr>
        <w:spacing w:after="0" w:line="154" w:lineRule="exact"/>
        <w:rPr>
          <w:rFonts w:ascii="Times New Roman" w:cs="Times New Roman" w:eastAsia="Times New Roman" w:hAnsi="Times New Roman"/>
          <w:sz w:val="18"/>
          <w:szCs w:val="18"/>
          <w:color w:val="231F20"/>
        </w:rPr>
      </w:pPr>
    </w:p>
    <w:p>
      <w:pPr>
        <w:jc w:val="both"/>
        <w:ind w:left="760" w:hanging="378"/>
        <w:spacing w:after="0" w:line="252" w:lineRule="auto"/>
        <w:tabs>
          <w:tab w:leader="none" w:pos="760" w:val="left"/>
        </w:tabs>
        <w:numPr>
          <w:ilvl w:val="0"/>
          <w:numId w:val="25"/>
        </w:numPr>
        <w:rPr>
          <w:rFonts w:ascii="Times New Roman" w:cs="Times New Roman" w:eastAsia="Times New Roman" w:hAnsi="Times New Roman"/>
          <w:sz w:val="18"/>
          <w:szCs w:val="18"/>
          <w:color w:val="231F20"/>
        </w:rPr>
      </w:pPr>
      <w:r>
        <w:rPr>
          <w:rFonts w:ascii="Arial" w:cs="Arial" w:eastAsia="Arial" w:hAnsi="Arial"/>
          <w:sz w:val="18"/>
          <w:szCs w:val="18"/>
          <w:color w:val="231F20"/>
        </w:rPr>
        <w:t>the FDA, the European Commission, the competent authorities of EU Member States or other comparable foreign regulatory authorities may fail to approve the manufacturing processes, test procedures and specifications or facilities of third-party manufacturers with which we contract for clinical and commercial supplies; and</w:t>
      </w:r>
    </w:p>
    <w:p>
      <w:pPr>
        <w:spacing w:after="0" w:line="170"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25"/>
        </w:numPr>
        <w:rPr>
          <w:rFonts w:ascii="Times New Roman" w:cs="Times New Roman" w:eastAsia="Times New Roman" w:hAnsi="Times New Roman"/>
          <w:sz w:val="18"/>
          <w:szCs w:val="18"/>
          <w:color w:val="231F20"/>
        </w:rPr>
      </w:pPr>
      <w:r>
        <w:rPr>
          <w:rFonts w:ascii="Arial" w:cs="Arial" w:eastAsia="Arial" w:hAnsi="Arial"/>
          <w:sz w:val="18"/>
          <w:szCs w:val="18"/>
          <w:color w:val="231F20"/>
        </w:rPr>
        <w:t>the approval policies or regulations of the FDA, European Commission or other comparable foreign regulatory authorities may significantly change in a manner rendering our clinical data insufficient for approval.</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palazestrant or OP-3136, which would significantly harm our business, financial condition, results of operations and prospects.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even if we obtain approval of palazestrant or OP-3136 for a lead indication, regulatory authorities may not approve palazestrant or OP-3136 for other indications, may impose significant limitations in the form of narrow indications, warnings, or a Risk Evaluation and Mitigation Strategy (REMS), or comparable foreign</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strategy. Certain regulatory authorities may grant approval contingent on the performance of costly post-marketing clinical trials or may approve palazestrant or OP-3136 with a label that does not include the labeling claims necessary or desirable for success. In addition, regulatory authorities in certain countries may not approve the price we intend to charge for the product we develop. If we are unable to obtain regulatory approval of palazestrant or OP-3136, or if regulatory approval is limited, our business, financial condition, results of operation and prospects will be significantly harmed.</w:t>
      </w:r>
    </w:p>
    <w:p>
      <w:pPr>
        <w:spacing w:after="0" w:line="178"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Delays in clinical trials are common and have many causes, and any delay could result in increased costs to us and jeopardize or delay our ability to obtain regulatory approval and commence product sales.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may experience delays in clinical trials of palazestrant, OP-3136 or any future product candidate we may develop. Our planned clinical trials may not begin on time, have an effective design, enroll a sufficient number of patients, or be completed on schedule, if at all. Our clinical trials can be delayed for a variety of reasons, including delays related to:</w:t>
      </w:r>
    </w:p>
    <w:p>
      <w:pPr>
        <w:spacing w:after="0" w:line="169" w:lineRule="exact"/>
        <w:rPr>
          <w:sz w:val="20"/>
          <w:szCs w:val="20"/>
          <w:color w:val="auto"/>
        </w:rPr>
      </w:pPr>
    </w:p>
    <w:p>
      <w:pPr>
        <w:ind w:left="760" w:hanging="378"/>
        <w:spacing w:after="0" w:line="270" w:lineRule="auto"/>
        <w:tabs>
          <w:tab w:leader="none" w:pos="760" w:val="left"/>
        </w:tabs>
        <w:numPr>
          <w:ilvl w:val="0"/>
          <w:numId w:val="26"/>
        </w:numPr>
        <w:rPr>
          <w:rFonts w:ascii="Times New Roman" w:cs="Times New Roman" w:eastAsia="Times New Roman" w:hAnsi="Times New Roman"/>
          <w:sz w:val="18"/>
          <w:szCs w:val="18"/>
          <w:color w:val="231F20"/>
        </w:rPr>
      </w:pPr>
      <w:r>
        <w:rPr>
          <w:rFonts w:ascii="Arial" w:cs="Arial" w:eastAsia="Arial" w:hAnsi="Arial"/>
          <w:sz w:val="18"/>
          <w:szCs w:val="18"/>
          <w:color w:val="231F20"/>
        </w:rPr>
        <w:t>the FDA, EMA, the European Commission or comparable foreign regulatory authorities disagreeing as to the design or implementation of our clinical trials;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231F20"/>
        </w:rPr>
      </w:pPr>
      <w:r>
        <w:rPr>
          <w:rFonts w:ascii="Arial" w:cs="Arial" w:eastAsia="Arial" w:hAnsi="Arial"/>
          <w:sz w:val="18"/>
          <w:szCs w:val="18"/>
          <w:color w:val="231F20"/>
        </w:rPr>
        <w:t>obtaining regulatory authorizations to commence a trial or reaching a consensus with regulatory authorities on trial design;</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26"/>
        </w:numPr>
        <w:rPr>
          <w:rFonts w:ascii="Times New Roman" w:cs="Times New Roman" w:eastAsia="Times New Roman" w:hAnsi="Times New Roman"/>
          <w:sz w:val="18"/>
          <w:szCs w:val="18"/>
          <w:color w:val="231F20"/>
        </w:rPr>
      </w:pPr>
      <w:r>
        <w:rPr>
          <w:rFonts w:ascii="Arial" w:cs="Arial" w:eastAsia="Arial" w:hAnsi="Arial"/>
          <w:sz w:val="18"/>
          <w:szCs w:val="18"/>
          <w:color w:val="231F20"/>
        </w:rPr>
        <w:t>any failure or delay in reaching an agreement with CROs and clinical trial sites, the terms of which can be subject to extensive negotiation and may vary significantly among different CROs and trial sites;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231F20"/>
        </w:rPr>
      </w:pPr>
      <w:r>
        <w:rPr>
          <w:rFonts w:ascii="Arial" w:cs="Arial" w:eastAsia="Arial" w:hAnsi="Arial"/>
          <w:sz w:val="18"/>
          <w:szCs w:val="18"/>
          <w:color w:val="231F20"/>
        </w:rPr>
        <w:t>obtaining approval from one or more institutional review boards (IRBs), or positive Ethics Committee opinions;</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26"/>
        </w:numPr>
        <w:rPr>
          <w:rFonts w:ascii="Times New Roman" w:cs="Times New Roman" w:eastAsia="Times New Roman" w:hAnsi="Times New Roman"/>
          <w:sz w:val="18"/>
          <w:szCs w:val="18"/>
          <w:color w:val="231F20"/>
        </w:rPr>
      </w:pPr>
      <w:r>
        <w:rPr>
          <w:rFonts w:ascii="Arial" w:cs="Arial" w:eastAsia="Arial" w:hAnsi="Arial"/>
          <w:sz w:val="18"/>
          <w:szCs w:val="18"/>
          <w:color w:val="231F20"/>
        </w:rPr>
        <w:t>IRBs refusing to approve or Ethics Committees issuing negative opinions, IRBs or Ethics Committees suspending, varying or terminating the trial at an investigational site, precluding enrollment of additional subjects, or withdrawing their approval of the trial;</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231F20"/>
        </w:rPr>
      </w:pPr>
      <w:r>
        <w:rPr>
          <w:rFonts w:ascii="Arial" w:cs="Arial" w:eastAsia="Arial" w:hAnsi="Arial"/>
          <w:sz w:val="18"/>
          <w:szCs w:val="18"/>
          <w:color w:val="231F20"/>
        </w:rPr>
        <w:t>changes to clinical trial protocol;</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231F20"/>
        </w:rPr>
      </w:pPr>
      <w:r>
        <w:rPr>
          <w:rFonts w:ascii="Arial" w:cs="Arial" w:eastAsia="Arial" w:hAnsi="Arial"/>
          <w:sz w:val="18"/>
          <w:szCs w:val="18"/>
          <w:color w:val="231F20"/>
        </w:rPr>
        <w:t>clinical sites deviating from trial protocol or dropping out of a trial;</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26"/>
        </w:numPr>
        <w:rPr>
          <w:rFonts w:ascii="Times New Roman" w:cs="Times New Roman" w:eastAsia="Times New Roman" w:hAnsi="Times New Roman"/>
          <w:sz w:val="18"/>
          <w:szCs w:val="18"/>
          <w:color w:val="231F20"/>
        </w:rPr>
      </w:pPr>
      <w:r>
        <w:rPr>
          <w:rFonts w:ascii="Arial" w:cs="Arial" w:eastAsia="Arial" w:hAnsi="Arial"/>
          <w:sz w:val="18"/>
          <w:szCs w:val="18"/>
          <w:color w:val="231F20"/>
        </w:rPr>
        <w:t>manufacturing sufficient quantities of product candidates or obtaining sufficient quantities of combination therapies for use in clinical trials;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231F20"/>
        </w:rPr>
      </w:pPr>
      <w:r>
        <w:rPr>
          <w:rFonts w:ascii="Arial" w:cs="Arial" w:eastAsia="Arial" w:hAnsi="Arial"/>
          <w:sz w:val="18"/>
          <w:szCs w:val="18"/>
          <w:color w:val="231F20"/>
        </w:rPr>
        <w:t>subjects failing to enroll or remain in our trial at the rate we expect, or failing to return for post-treatment follow-up;</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26"/>
        </w:numPr>
        <w:rPr>
          <w:rFonts w:ascii="Times New Roman" w:cs="Times New Roman" w:eastAsia="Times New Roman" w:hAnsi="Times New Roman"/>
          <w:sz w:val="18"/>
          <w:szCs w:val="18"/>
          <w:color w:val="231F20"/>
        </w:rPr>
      </w:pPr>
      <w:r>
        <w:rPr>
          <w:rFonts w:ascii="Arial" w:cs="Arial" w:eastAsia="Arial" w:hAnsi="Arial"/>
          <w:sz w:val="18"/>
          <w:szCs w:val="18"/>
          <w:color w:val="231F20"/>
        </w:rPr>
        <w:t>subjects choosing an alternative treatment for the indication for which we are developing palazestrant or OP-3136, or participating in competing clinical trials;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231F20"/>
        </w:rPr>
      </w:pPr>
      <w:r>
        <w:rPr>
          <w:rFonts w:ascii="Arial" w:cs="Arial" w:eastAsia="Arial" w:hAnsi="Arial"/>
          <w:sz w:val="18"/>
          <w:szCs w:val="18"/>
          <w:color w:val="231F20"/>
        </w:rPr>
        <w:t>lack of adequate funding to continue the clinical trial;</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231F20"/>
        </w:rPr>
      </w:pPr>
      <w:r>
        <w:rPr>
          <w:rFonts w:ascii="Arial" w:cs="Arial" w:eastAsia="Arial" w:hAnsi="Arial"/>
          <w:sz w:val="18"/>
          <w:szCs w:val="18"/>
          <w:color w:val="231F20"/>
        </w:rPr>
        <w:t>subjects experiencing severe or unexpected drug-related adverse effects;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231F20"/>
        </w:rPr>
      </w:pPr>
      <w:r>
        <w:rPr>
          <w:rFonts w:ascii="Arial" w:cs="Arial" w:eastAsia="Arial" w:hAnsi="Arial"/>
          <w:sz w:val="18"/>
          <w:szCs w:val="18"/>
          <w:color w:val="231F20"/>
        </w:rPr>
        <w:t>regulatory authorities imposing a clinical hold;</w:t>
      </w:r>
    </w:p>
    <w:p>
      <w:pPr>
        <w:spacing w:after="0" w:line="22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disruptions at the FDA and other agencies or regulatory authorities, including as a result of legislative actions or a government shutdown;</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231F20"/>
        </w:rPr>
      </w:pPr>
      <w:r>
        <w:rPr>
          <w:rFonts w:ascii="Arial" w:cs="Arial" w:eastAsia="Arial" w:hAnsi="Arial"/>
          <w:sz w:val="18"/>
          <w:szCs w:val="18"/>
          <w:color w:val="231F20"/>
        </w:rPr>
        <w:t>occurrence of serious adverse events in trials of the same class of agents conducted by other companies;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231F20"/>
        </w:rPr>
      </w:pPr>
      <w:r>
        <w:rPr>
          <w:rFonts w:ascii="Arial" w:cs="Arial" w:eastAsia="Arial" w:hAnsi="Arial"/>
          <w:sz w:val="18"/>
          <w:szCs w:val="18"/>
          <w:color w:val="231F20"/>
        </w:rPr>
        <w:t>selection of clinical end-points that require prolonged periods of clinical observation or analysis of the resulting data;</w:t>
      </w:r>
    </w:p>
    <w:p>
      <w:pPr>
        <w:spacing w:after="0" w:line="224" w:lineRule="exact"/>
        <w:rPr>
          <w:rFonts w:ascii="Times New Roman" w:cs="Times New Roman" w:eastAsia="Times New Roman" w:hAnsi="Times New Roman"/>
          <w:sz w:val="18"/>
          <w:szCs w:val="18"/>
          <w:color w:val="231F20"/>
        </w:rPr>
      </w:pPr>
    </w:p>
    <w:p>
      <w:pPr>
        <w:jc w:val="both"/>
        <w:ind w:left="760" w:hanging="378"/>
        <w:spacing w:after="0" w:line="243" w:lineRule="auto"/>
        <w:tabs>
          <w:tab w:leader="none" w:pos="760" w:val="left"/>
        </w:tabs>
        <w:numPr>
          <w:ilvl w:val="0"/>
          <w:numId w:val="27"/>
        </w:numPr>
        <w:rPr>
          <w:rFonts w:ascii="Times New Roman" w:cs="Times New Roman" w:eastAsia="Times New Roman" w:hAnsi="Times New Roman"/>
          <w:sz w:val="18"/>
          <w:szCs w:val="18"/>
          <w:color w:val="231F20"/>
        </w:rPr>
      </w:pPr>
      <w:r>
        <w:rPr>
          <w:rFonts w:ascii="Arial" w:cs="Arial" w:eastAsia="Arial" w:hAnsi="Arial"/>
          <w:sz w:val="18"/>
          <w:szCs w:val="18"/>
          <w:color w:val="231F20"/>
        </w:rPr>
        <w:t>shutdowns, either temporarily or permanently, of any facility manufacturing palazestrant</w:t>
      </w:r>
      <w:r>
        <w:rPr>
          <w:rFonts w:ascii="Arial" w:cs="Arial" w:eastAsia="Arial" w:hAnsi="Arial"/>
          <w:sz w:val="18"/>
          <w:szCs w:val="18"/>
          <w:color w:val="000000"/>
        </w:rPr>
        <w:t>, OP-3136</w:t>
      </w:r>
      <w:r>
        <w:rPr>
          <w:rFonts w:ascii="Arial" w:cs="Arial" w:eastAsia="Arial" w:hAnsi="Arial"/>
          <w:sz w:val="18"/>
          <w:szCs w:val="18"/>
          <w:color w:val="231F20"/>
        </w:rPr>
        <w:t xml:space="preserve"> or any future product candidate we may develop or any of their components, including by order from the FDA, competent authorities of EU Member States or comparable foreign regulatory authorities due to violations of current good manufacturing practice (cGMP) regulations or other applicable requirements, or infections or cross-contaminations of palazestrant</w:t>
      </w:r>
      <w:r>
        <w:rPr>
          <w:rFonts w:ascii="Arial" w:cs="Arial" w:eastAsia="Arial" w:hAnsi="Arial"/>
          <w:sz w:val="18"/>
          <w:szCs w:val="18"/>
          <w:color w:val="000000"/>
        </w:rPr>
        <w:t>, OP-3136</w:t>
      </w:r>
      <w:r>
        <w:rPr>
          <w:rFonts w:ascii="Arial" w:cs="Arial" w:eastAsia="Arial" w:hAnsi="Arial"/>
          <w:sz w:val="18"/>
          <w:szCs w:val="18"/>
          <w:color w:val="231F20"/>
        </w:rPr>
        <w:t xml:space="preserve"> or any future product candidate we may develop in the manufacturing process;</w:t>
      </w:r>
    </w:p>
    <w:p>
      <w:pPr>
        <w:spacing w:after="0" w:line="179"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231F20"/>
        </w:rPr>
      </w:pPr>
      <w:r>
        <w:rPr>
          <w:rFonts w:ascii="Arial" w:cs="Arial" w:eastAsia="Arial" w:hAnsi="Arial"/>
          <w:sz w:val="18"/>
          <w:szCs w:val="18"/>
          <w:color w:val="231F20"/>
        </w:rPr>
        <w:t>any changes to our manufacturing process that may be necessary or desired;</w:t>
      </w:r>
    </w:p>
    <w:p>
      <w:pPr>
        <w:spacing w:after="0" w:line="224" w:lineRule="exact"/>
        <w:rPr>
          <w:rFonts w:ascii="Times New Roman" w:cs="Times New Roman" w:eastAsia="Times New Roman" w:hAnsi="Times New Roman"/>
          <w:sz w:val="18"/>
          <w:szCs w:val="18"/>
          <w:color w:val="231F20"/>
        </w:rPr>
      </w:pPr>
    </w:p>
    <w:p>
      <w:pPr>
        <w:jc w:val="both"/>
        <w:ind w:left="760" w:hanging="378"/>
        <w:spacing w:after="0" w:line="252" w:lineRule="auto"/>
        <w:tabs>
          <w:tab w:leader="none" w:pos="760" w:val="left"/>
        </w:tabs>
        <w:numPr>
          <w:ilvl w:val="0"/>
          <w:numId w:val="27"/>
        </w:numPr>
        <w:rPr>
          <w:rFonts w:ascii="Times New Roman" w:cs="Times New Roman" w:eastAsia="Times New Roman" w:hAnsi="Times New Roman"/>
          <w:sz w:val="18"/>
          <w:szCs w:val="18"/>
          <w:color w:val="231F20"/>
        </w:rPr>
      </w:pPr>
      <w:r>
        <w:rPr>
          <w:rFonts w:ascii="Arial" w:cs="Arial" w:eastAsia="Arial" w:hAnsi="Arial"/>
          <w:sz w:val="18"/>
          <w:szCs w:val="18"/>
          <w:color w:val="231F20"/>
        </w:rPr>
        <w:t>third-party clinical investigators losing the licenses or permits necessary to perform our clinical trials, not performing our clinical trials on our anticipated schedule or consistent with the clinical trial protocol, good clinical practices (GCP), or other regulatory requirements;</w:t>
      </w:r>
    </w:p>
    <w:p>
      <w:pPr>
        <w:spacing w:after="0" w:line="170"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231F20"/>
        </w:rPr>
      </w:pPr>
      <w:r>
        <w:rPr>
          <w:rFonts w:ascii="Arial" w:cs="Arial" w:eastAsia="Arial" w:hAnsi="Arial"/>
          <w:sz w:val="18"/>
          <w:szCs w:val="18"/>
          <w:color w:val="231F20"/>
        </w:rPr>
        <w:t>third-party contractors not performing data collection or analysis in a timely or accurate manner; or</w:t>
      </w:r>
    </w:p>
    <w:p>
      <w:pPr>
        <w:spacing w:after="0" w:line="224" w:lineRule="exact"/>
        <w:rPr>
          <w:rFonts w:ascii="Times New Roman" w:cs="Times New Roman" w:eastAsia="Times New Roman" w:hAnsi="Times New Roman"/>
          <w:sz w:val="18"/>
          <w:szCs w:val="18"/>
          <w:color w:val="231F20"/>
        </w:rPr>
      </w:pPr>
    </w:p>
    <w:p>
      <w:pPr>
        <w:jc w:val="both"/>
        <w:ind w:left="760" w:hanging="378"/>
        <w:spacing w:after="0" w:line="252" w:lineRule="auto"/>
        <w:tabs>
          <w:tab w:leader="none" w:pos="760" w:val="left"/>
        </w:tabs>
        <w:numPr>
          <w:ilvl w:val="0"/>
          <w:numId w:val="27"/>
        </w:numPr>
        <w:rPr>
          <w:rFonts w:ascii="Times New Roman" w:cs="Times New Roman" w:eastAsia="Times New Roman" w:hAnsi="Times New Roman"/>
          <w:sz w:val="18"/>
          <w:szCs w:val="18"/>
          <w:color w:val="231F20"/>
        </w:rPr>
      </w:pPr>
      <w:r>
        <w:rPr>
          <w:rFonts w:ascii="Arial" w:cs="Arial" w:eastAsia="Arial" w:hAnsi="Arial"/>
          <w:sz w:val="18"/>
          <w:szCs w:val="18"/>
          <w:color w:val="231F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We could also encounter delays if a clinical trial is suspended, varied or terminated by us, by the IRBs or Ethics Committees of the institutions in which such trials are being conducted, by a Data Safety Monitoring Board for such trial or by the FDA, </w:t>
      </w:r>
      <w:r>
        <w:rPr>
          <w:rFonts w:ascii="Arial" w:cs="Arial" w:eastAsia="Arial" w:hAnsi="Arial"/>
          <w:sz w:val="18"/>
          <w:szCs w:val="18"/>
          <w:color w:val="231F20"/>
        </w:rPr>
        <w:t>competent authorities of</w:t>
      </w:r>
      <w:r>
        <w:rPr>
          <w:rFonts w:ascii="Arial" w:cs="Arial" w:eastAsia="Arial" w:hAnsi="Arial"/>
          <w:sz w:val="18"/>
          <w:szCs w:val="18"/>
          <w:color w:val="auto"/>
        </w:rPr>
        <w:t xml:space="preserve"> </w:t>
      </w:r>
      <w:r>
        <w:rPr>
          <w:rFonts w:ascii="Arial" w:cs="Arial" w:eastAsia="Arial" w:hAnsi="Arial"/>
          <w:sz w:val="18"/>
          <w:szCs w:val="18"/>
          <w:color w:val="231F20"/>
        </w:rPr>
        <w:t xml:space="preserve">EU Member States </w:t>
      </w:r>
      <w:r>
        <w:rPr>
          <w:rFonts w:ascii="Arial" w:cs="Arial" w:eastAsia="Arial" w:hAnsi="Arial"/>
          <w:sz w:val="18"/>
          <w:szCs w:val="18"/>
          <w:color w:val="000000"/>
        </w:rPr>
        <w:t>or comparable foreign regulatory authorities. Such authorities may impose such a suspension, variation or termination</w:t>
      </w:r>
      <w:r>
        <w:rPr>
          <w:rFonts w:ascii="Arial" w:cs="Arial" w:eastAsia="Arial" w:hAnsi="Arial"/>
          <w:sz w:val="18"/>
          <w:szCs w:val="18"/>
          <w:color w:val="231F20"/>
        </w:rPr>
        <w:t xml:space="preserve"> </w:t>
      </w:r>
      <w:r>
        <w:rPr>
          <w:rFonts w:ascii="Arial" w:cs="Arial" w:eastAsia="Arial" w:hAnsi="Arial"/>
          <w:sz w:val="18"/>
          <w:szCs w:val="18"/>
          <w:color w:val="000000"/>
        </w:rPr>
        <w:t xml:space="preserve">due to a number of factors, including failure to conduct the clinical trial in accordance with regulatory requirements or our clinical protocols, inspection of the clinical trial operations or trial site by the FDA, </w:t>
      </w:r>
      <w:r>
        <w:rPr>
          <w:rFonts w:ascii="Arial" w:cs="Arial" w:eastAsia="Arial" w:hAnsi="Arial"/>
          <w:sz w:val="18"/>
          <w:szCs w:val="18"/>
          <w:color w:val="231F20"/>
        </w:rPr>
        <w:t>competent authorities of EU Member States</w:t>
      </w:r>
      <w:r>
        <w:rPr>
          <w:rFonts w:ascii="Arial" w:cs="Arial" w:eastAsia="Arial" w:hAnsi="Arial"/>
          <w:sz w:val="18"/>
          <w:szCs w:val="18"/>
          <w:color w:val="000000"/>
        </w:rPr>
        <w:t xml:space="preserve">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Ethics Committees, competent authorities of EU Member States for reexamination, which may impact the costs, timing or successful completion of a clinical trial.</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Further, conducting clinical trials in foreign countries, as we may do for palazestrant, OP-3136 or product candidates we may develop in the future,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7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If we experience delays in the completion of, or termination of, any clinical trial of palazestrant, OP-3136 or any product candidates we may develop in the future, the commercial prospects of palazestrant, OP-3136 or any product candidates we may develop in the future will be harmed, and our ability to generate product revenues from palazestrant, OP-3136 or any product candidates we may develop in the future will be delayed. Moreover, any delays in completing our clinical trials will increase our costs, slow down palazestrant’s, OP-3136's or any product candidates we may develop in the future’s development and approval process and jeopardize our ability to commence product sales and generate revenues.</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many of the factors that cause, or lead to, termination, variation or suspension of, or a delay in the commencement or completion of, clinical trials may also ultimately lead to the denial of regulatory approval of palazestrant, OP-3136 or any product candidates we may develop in the future. Any delays in our clinical trials that occur as a result could shorten any period during which we may have the exclusive right to commercialize palazestrant, OP-3136 or any product candidates we may develop in the future, our competitors may be able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bring products to market before we do, and the commercial viability of palazestrant, OP-3136 or any product candidates we may develop in the future could be significantly reduced. Any of these occurrences may significantly harm our business, financial condition, results of operations and prospects.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Although we have received Fast Track designation for palazestrant for ER+/HER2- metastatic breast cancer that has progressed following one or more lines of endocrine therapy with at least one line given in combination with a CDK4/6 inhibitor, we may be unable to obtain or maintain the benefits associated with such designation.</w:t>
      </w:r>
    </w:p>
    <w:p>
      <w:pPr>
        <w:spacing w:after="0" w:line="15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July 2022, we were granted FDA Fast Track designation for palazestrant for ER+/HER2- metastatic breast cancer that has progressed following one or more lines of endocrine therapy with at least one line given in combination with a CDK4/6 inhibitor. If a drug is intended for the treatment of a serious or life-threatening condition and demonstrates the potential to address unmet medical needs for this condition, the sponsor may apply for FDA Fast Track designation for a particular indication. NDAs submitted for Fast Track designated drugs may qualify for priority review, accelerated approval and rolling submission under the policies and procedures offered by the FDA, but the Fast Track designation does not assure any such qualification or ultimate marketing approval by the FDA. In addition, we may not experience a faster development process, review or approval compared to conventional FDA procedures, and receiving a Fast Track designation does not provide assurance of ultimate FDA approval.</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Because we are pursuing a variety of target indications for palazestrant, we may expend our limited resources to pursue a particular indication and fail to capitalize on indications or additional product candidates that may be more profitable or for which there is a greater likelihood of success.</w:t>
      </w:r>
    </w:p>
    <w:p>
      <w:pPr>
        <w:spacing w:after="0" w:line="15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are currently focused on pursuing a variety of target indications for palazestrant, and we have expended, and plan to continue to expend, significant resources to pursue these and other indications for palazestrant. We also may in the future spend our resources on other research programs and product candidates for specific indications that ultimately do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Because we have limited financial and managerial resources, we must focus our research and development efforts on those product candidates and specific indications that we believe are the most promising. As a result, we may forego or delay pursuit of opportunities with other product candidates or other indications that later prove to have greater commercial potential. Our resource allocation decisions may cause us to fail to capitalize on viable commercial products or profitable market opportunities, which will significantly harm our business, financial condition, results of operations and prospects.</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Even if approved, palazestrant or OP-3136 may not achieve adequate market acceptance among physicians, patients, healthcare payors and others in the medical community necessary for commercial success.</w:t>
      </w:r>
    </w:p>
    <w:p>
      <w:pPr>
        <w:spacing w:after="0" w:line="1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Even if palazestrant or OP-3136 receives regulatory approval, it may not gain adequate market acceptance among physicians, patients, healthcare payors and others in the medical community. The degree of market acceptance would depend on a number of factors, including:</w:t>
      </w:r>
    </w:p>
    <w:p>
      <w:pPr>
        <w:spacing w:after="0" w:line="154"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231F20"/>
        </w:rPr>
      </w:pPr>
      <w:r>
        <w:rPr>
          <w:rFonts w:ascii="Arial" w:cs="Arial" w:eastAsia="Arial" w:hAnsi="Arial"/>
          <w:sz w:val="18"/>
          <w:szCs w:val="18"/>
          <w:color w:val="231F20"/>
        </w:rPr>
        <w:t>the efficacy and safety profile as demonstrated in clinical trials compared to alternative treatments;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231F20"/>
        </w:rPr>
      </w:pPr>
      <w:r>
        <w:rPr>
          <w:rFonts w:ascii="Arial" w:cs="Arial" w:eastAsia="Arial" w:hAnsi="Arial"/>
          <w:sz w:val="18"/>
          <w:szCs w:val="18"/>
          <w:color w:val="231F20"/>
        </w:rPr>
        <w:t>the timing of market introduction of the product candidate as well as competitive products;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231F20"/>
        </w:rPr>
      </w:pPr>
      <w:r>
        <w:rPr>
          <w:rFonts w:ascii="Arial" w:cs="Arial" w:eastAsia="Arial" w:hAnsi="Arial"/>
          <w:sz w:val="18"/>
          <w:szCs w:val="18"/>
          <w:color w:val="231F20"/>
        </w:rPr>
        <w:t>the clinical indications for which the product candidate is approved;</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28"/>
        </w:numPr>
        <w:rPr>
          <w:rFonts w:ascii="Times New Roman" w:cs="Times New Roman" w:eastAsia="Times New Roman" w:hAnsi="Times New Roman"/>
          <w:sz w:val="18"/>
          <w:szCs w:val="18"/>
          <w:color w:val="231F20"/>
        </w:rPr>
      </w:pPr>
      <w:r>
        <w:rPr>
          <w:rFonts w:ascii="Arial" w:cs="Arial" w:eastAsia="Arial" w:hAnsi="Arial"/>
          <w:sz w:val="18"/>
          <w:szCs w:val="18"/>
          <w:color w:val="231F20"/>
        </w:rPr>
        <w:t>restrictions on the use of palazestrant or OP-3136, such as boxed warnings or contraindications in labeling, or a REMS, or comparable foreign strategy, if any, which may not be required of alternative treatments and competitor products;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231F20"/>
        </w:rPr>
      </w:pPr>
      <w:r>
        <w:rPr>
          <w:rFonts w:ascii="Arial" w:cs="Arial" w:eastAsia="Arial" w:hAnsi="Arial"/>
          <w:sz w:val="18"/>
          <w:szCs w:val="18"/>
          <w:color w:val="231F20"/>
        </w:rPr>
        <w:t>the potential and perceived advantages of product candidates over alternative treatments;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 of treatment in relation to alternative treatments;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231F20"/>
        </w:rPr>
      </w:pPr>
      <w:r>
        <w:rPr>
          <w:rFonts w:ascii="Arial" w:cs="Arial" w:eastAsia="Arial" w:hAnsi="Arial"/>
          <w:sz w:val="18"/>
          <w:szCs w:val="18"/>
          <w:color w:val="231F20"/>
        </w:rPr>
        <w:t>our pricing and the availability of coverage and adequate reimbursement by third-party payors, including government authorities;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231F20"/>
        </w:rPr>
      </w:pPr>
      <w:r>
        <w:rPr>
          <w:rFonts w:ascii="Arial" w:cs="Arial" w:eastAsia="Arial" w:hAnsi="Arial"/>
          <w:sz w:val="18"/>
          <w:szCs w:val="18"/>
          <w:color w:val="231F20"/>
        </w:rPr>
        <w:t xml:space="preserve">the availability of palazestrant or </w:t>
      </w:r>
      <w:r>
        <w:rPr>
          <w:rFonts w:ascii="Arial" w:cs="Arial" w:eastAsia="Arial" w:hAnsi="Arial"/>
          <w:sz w:val="18"/>
          <w:szCs w:val="18"/>
          <w:color w:val="000000"/>
        </w:rPr>
        <w:t>OP-3136</w:t>
      </w:r>
      <w:r>
        <w:rPr>
          <w:rFonts w:ascii="Arial" w:cs="Arial" w:eastAsia="Arial" w:hAnsi="Arial"/>
          <w:sz w:val="18"/>
          <w:szCs w:val="18"/>
          <w:color w:val="231F20"/>
        </w:rPr>
        <w:t xml:space="preserve"> for use as a combination therapy;</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231F20"/>
        </w:rPr>
      </w:pPr>
      <w:r>
        <w:rPr>
          <w:rFonts w:ascii="Arial" w:cs="Arial" w:eastAsia="Arial" w:hAnsi="Arial"/>
          <w:sz w:val="18"/>
          <w:szCs w:val="18"/>
          <w:color w:val="231F20"/>
        </w:rPr>
        <w:t>relative convenience and ease of administration;</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231F20"/>
        </w:rPr>
      </w:pPr>
      <w:r>
        <w:rPr>
          <w:rFonts w:ascii="Arial" w:cs="Arial" w:eastAsia="Arial" w:hAnsi="Arial"/>
          <w:sz w:val="18"/>
          <w:szCs w:val="18"/>
          <w:color w:val="231F20"/>
        </w:rPr>
        <w:t>the willingness of the target patient population to try new therapies and of physicians to prescribe these therapies;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231F20"/>
        </w:rPr>
      </w:pPr>
      <w:r>
        <w:rPr>
          <w:rFonts w:ascii="Arial" w:cs="Arial" w:eastAsia="Arial" w:hAnsi="Arial"/>
          <w:sz w:val="18"/>
          <w:szCs w:val="18"/>
          <w:color w:val="231F20"/>
        </w:rPr>
        <w:t>the effectiveness of sales and marketing efforts;</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29"/>
        </w:numPr>
        <w:rPr>
          <w:rFonts w:ascii="Times New Roman" w:cs="Times New Roman" w:eastAsia="Times New Roman" w:hAnsi="Times New Roman"/>
          <w:sz w:val="18"/>
          <w:szCs w:val="18"/>
          <w:color w:val="231F20"/>
        </w:rPr>
      </w:pPr>
      <w:r>
        <w:rPr>
          <w:rFonts w:ascii="Arial" w:cs="Arial" w:eastAsia="Arial" w:hAnsi="Arial"/>
          <w:sz w:val="18"/>
          <w:szCs w:val="18"/>
          <w:color w:val="231F20"/>
        </w:rPr>
        <w:t>unfavorable publicity relating to palazestrant, OP-3136 or similar approved products or product candidates in development by third parties; and</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231F20"/>
        </w:rPr>
      </w:pPr>
      <w:r>
        <w:rPr>
          <w:rFonts w:ascii="Arial" w:cs="Arial" w:eastAsia="Arial" w:hAnsi="Arial"/>
          <w:sz w:val="18"/>
          <w:szCs w:val="18"/>
          <w:color w:val="231F20"/>
        </w:rPr>
        <w:t>the approval of other new therapies for the same indications.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palazestrant or OP-3136 is approved but does not achieve an adequate level of acceptance by physicians, hospitals, healthcare payors and patients, we may not generate or derive sufficient revenue, which could significantly harm our business, financial condition, results of operations and prospects.</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maintenance of patients in clinical trials, our clinical development activities could be delayed or otherwise adversely affected.</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Patient enrollment is a significant factor in the timing of clinical trials, and the timing of our clinical trials depends, in part, on the speed at which we can recruit patients to participate in our trials, as well as completion of required follow-up periods. We may not be able to initiate or continue clinical trials for palazestrant, OP-3136 or any future product candidate we may develop, if we are unable to locate and enroll a sufficient number of eligible patients to participate in these trials to such trial’s conclusion as required by the FDA, EMA, the European Commission or other comparable foreign regulatory authorities. Additionally, certain clinical trials for future product candidates may be focused on indications with relatively small patient populations, which may further limit enrollment of eligible patients or may result in slower enrollment than we anticipate. The eligibility criteria of our clinical trials, once established, may further limit the pool of available trial participants.</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Patient enrollment may also be affected if our competitors have ongoing clinical trials for product candidates that are under development for the same indications as palazestrant, OP-3136 or any future product candidate we may develop, and patients who would otherwise be eligible for our clinical trials instead enroll in clinical trials of our competitors’ product candidates. Patient enrollment for any of our clinical trials may be affected by other factors, including:</w:t>
      </w:r>
    </w:p>
    <w:p>
      <w:pPr>
        <w:spacing w:after="0" w:line="174"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231F20"/>
        </w:rPr>
      </w:pPr>
      <w:r>
        <w:rPr>
          <w:rFonts w:ascii="Arial" w:cs="Arial" w:eastAsia="Arial" w:hAnsi="Arial"/>
          <w:sz w:val="18"/>
          <w:szCs w:val="18"/>
          <w:color w:val="231F20"/>
        </w:rPr>
        <w:t>size and nature of the patient population;</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231F20"/>
        </w:rPr>
      </w:pPr>
      <w:r>
        <w:rPr>
          <w:rFonts w:ascii="Arial" w:cs="Arial" w:eastAsia="Arial" w:hAnsi="Arial"/>
          <w:sz w:val="18"/>
          <w:szCs w:val="18"/>
          <w:color w:val="231F20"/>
        </w:rPr>
        <w:t>severity of the disease under investigation;</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231F20"/>
        </w:rPr>
      </w:pPr>
      <w:r>
        <w:rPr>
          <w:rFonts w:ascii="Arial" w:cs="Arial" w:eastAsia="Arial" w:hAnsi="Arial"/>
          <w:sz w:val="18"/>
          <w:szCs w:val="18"/>
          <w:color w:val="231F20"/>
        </w:rPr>
        <w:t>availability and efficacy of approved drugs for the disease under investigation;</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231F20"/>
        </w:rPr>
      </w:pPr>
      <w:r>
        <w:rPr>
          <w:rFonts w:ascii="Arial" w:cs="Arial" w:eastAsia="Arial" w:hAnsi="Arial"/>
          <w:sz w:val="18"/>
          <w:szCs w:val="18"/>
          <w:color w:val="231F20"/>
        </w:rPr>
        <w:t>patient eligibility criteria for the trial in question as defined in the protocol;</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231F20"/>
        </w:rPr>
      </w:pPr>
      <w:r>
        <w:rPr>
          <w:rFonts w:ascii="Arial" w:cs="Arial" w:eastAsia="Arial" w:hAnsi="Arial"/>
          <w:sz w:val="18"/>
          <w:szCs w:val="18"/>
          <w:color w:val="231F20"/>
        </w:rPr>
        <w:t>perceived risks and benefits of the product candidate under study;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60" w:hanging="378"/>
        <w:spacing w:after="0" w:line="270" w:lineRule="auto"/>
        <w:tabs>
          <w:tab w:leader="none" w:pos="760" w:val="left"/>
        </w:tabs>
        <w:numPr>
          <w:ilvl w:val="0"/>
          <w:numId w:val="31"/>
        </w:numPr>
        <w:rPr>
          <w:rFonts w:ascii="Times New Roman" w:cs="Times New Roman" w:eastAsia="Times New Roman" w:hAnsi="Times New Roman"/>
          <w:sz w:val="18"/>
          <w:szCs w:val="18"/>
          <w:color w:val="231F20"/>
        </w:rPr>
      </w:pPr>
      <w:r>
        <w:rPr>
          <w:rFonts w:ascii="Arial" w:cs="Arial" w:eastAsia="Arial" w:hAnsi="Arial"/>
          <w:sz w:val="18"/>
          <w:szCs w:val="18"/>
          <w:color w:val="231F20"/>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231F20"/>
        </w:rPr>
      </w:pPr>
      <w:r>
        <w:rPr>
          <w:rFonts w:ascii="Arial" w:cs="Arial" w:eastAsia="Arial" w:hAnsi="Arial"/>
          <w:sz w:val="18"/>
          <w:szCs w:val="18"/>
          <w:color w:val="231F20"/>
        </w:rPr>
        <w:t>efforts to facilitate timely enrollment in clinical trials;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231F20"/>
        </w:rPr>
      </w:pPr>
      <w:r>
        <w:rPr>
          <w:rFonts w:ascii="Arial" w:cs="Arial" w:eastAsia="Arial" w:hAnsi="Arial"/>
          <w:sz w:val="18"/>
          <w:szCs w:val="18"/>
          <w:color w:val="231F20"/>
        </w:rPr>
        <w:t>patient referral practices of physicians;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231F20"/>
        </w:rPr>
      </w:pPr>
      <w:r>
        <w:rPr>
          <w:rFonts w:ascii="Arial" w:cs="Arial" w:eastAsia="Arial" w:hAnsi="Arial"/>
          <w:sz w:val="18"/>
          <w:szCs w:val="18"/>
          <w:color w:val="231F20"/>
        </w:rPr>
        <w:t>the ability to monitor patients adequately during and after treatment;</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231F20"/>
        </w:rPr>
      </w:pPr>
      <w:r>
        <w:rPr>
          <w:rFonts w:ascii="Arial" w:cs="Arial" w:eastAsia="Arial" w:hAnsi="Arial"/>
          <w:sz w:val="18"/>
          <w:szCs w:val="18"/>
          <w:color w:val="231F20"/>
        </w:rPr>
        <w:t>proximity and availability of clinical trial sites for prospective patients;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231F20"/>
        </w:rPr>
      </w:pPr>
      <w:r>
        <w:rPr>
          <w:rFonts w:ascii="Arial" w:cs="Arial" w:eastAsia="Arial" w:hAnsi="Arial"/>
          <w:sz w:val="18"/>
          <w:szCs w:val="18"/>
          <w:color w:val="231F20"/>
        </w:rPr>
        <w:t>continued enrollment of prospective patients by clinical trial sites;</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31"/>
        </w:numPr>
        <w:rPr>
          <w:rFonts w:ascii="Times New Roman" w:cs="Times New Roman" w:eastAsia="Times New Roman" w:hAnsi="Times New Roman"/>
          <w:sz w:val="18"/>
          <w:szCs w:val="18"/>
          <w:color w:val="231F20"/>
        </w:rPr>
      </w:pPr>
      <w:r>
        <w:rPr>
          <w:rFonts w:ascii="Arial" w:cs="Arial" w:eastAsia="Arial" w:hAnsi="Arial"/>
          <w:sz w:val="18"/>
          <w:szCs w:val="18"/>
          <w:color w:val="231F20"/>
        </w:rPr>
        <w:t>the risk that patients enrolled in clinical trials will drop out of the trials before completion or, because they may be late-stage cancer patients, will not survive the full terms of the clinical trials; and</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231F20"/>
        </w:rPr>
      </w:pPr>
      <w:r>
        <w:rPr>
          <w:rFonts w:ascii="Arial" w:cs="Arial" w:eastAsia="Arial" w:hAnsi="Arial"/>
          <w:sz w:val="18"/>
          <w:szCs w:val="18"/>
          <w:color w:val="231F20"/>
        </w:rPr>
        <w:t>the level of resources that clinical sites have to conduct a growing number of clinical studies.</w:t>
      </w:r>
    </w:p>
    <w:p>
      <w:pPr>
        <w:spacing w:after="0" w:line="22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inability to enroll and maintain a sufficient number of patients for our clinical trials would result in significant delays or may require us to abandon one or more clinical trials altogether. Enrollment delays in our clinical trials may result in increased development costs for palazestrant, OP-3136 or any future product candidate we may develop and jeopardize our ability to obtain marketing approval for the sale of palazestrant, OP-3136 or any product candidate we may develop in the future. Furthermore, even if we are able to enroll a sufficient number of patients for our clinical trials, we may have difficulty maintaining enrollment of such patients in our clinical trials.</w:t>
      </w:r>
    </w:p>
    <w:p>
      <w:pPr>
        <w:spacing w:after="0" w:line="178"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intend to develop palazestrant and OP-3136 and may develop future product candidates, in combination with other therapies, which exposes us to additional risks.</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intend to develop palazestrant and OP-3136 and may develop future product candidates, in combination with one or more other approved or unapproved therapies to treat cancer or other diseases. For example, we have a Phase 1/2 study of palazestrant in a combination trial with a CDK4/6 inhibitor, and additional Phase 1/2 studies of palazestrant in combination with another CDK4/6 inhibitor and with a PI3Ka inhibitor. We also initiated OPERA-02, a Phase 3 clinical trial of palazestrant in combination with a CDK4/6 inhibitor, ribociclib and expect to initiate a Phase 1b/2 study of palazestrant in combination with a CDK4 inhibitor in the fourth quarter of 2025.</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Even if palazestrant, OP-3136 or any future product candidate we develop, were to receive marketing approval or be commercialized for use in combination with other existing therapies, we would continue to be subject to the risks that the FDA, the European Commission or comparable foreign regulatory authorities could revoke approval of the therapy used in combination with our product or that safety, efficacy, manufacturing or supply issues could arise with any of those existing therapies. If the therapies we use in combination with palazestrant, OP-3136 or any future product candidate we may develop, are replaced as the standard of care for the indications we choose for palazestrant, OP-3136 or any future product candidate we may develop, the FDA, the European Commission or comparable foreign regulatory authorities may require us to conduct additional clinical trials. The occurrence of any of these risks could result in our own product, if approved, being removed from the market or being less successful commercially.</w:t>
      </w:r>
    </w:p>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also may choose to evaluate palazestrant, OP-3136 or future product candidates in combination with one or more cancer therapies that have not yet been approved for marketing by the FDA, European Commission or comparable foreign regulatory authorities. We will not be able to market and sell palazestrant, OP-3136 or any future product candidate we may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palazestrant or OP-3136 currently in development and clinical trials, including the potential for serious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adverse effects, delay in their clinical trials and lack of FDA, European Commission or comparable foreign regulatory approval.</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the FDA, European Commission or comparable foreign regulatory authorities do not approve these other drugs or revoke their approval of, or if safety, efficacy, quality, manufacturing or supply issues arise with, the drugs we choose to evaluate in combination with palazestrant, OP-3136 or future product candidates we may develop, we may be unable to obtain approval of or market such combination therapy.</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Risks associated with the in-licensing or acquisition of drug candidates could cause substantial delays in the pre-clinical and clinical development of our drug candidates.</w:t>
      </w:r>
    </w:p>
    <w:p>
      <w:pPr>
        <w:spacing w:after="0" w:line="13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previously in-licensed product candidates, and we may acquire or in-license potential product candidates for in the future, as we continue to build our pipeline. Such arrangements with third parties may impose diligence, development and commercialization obligations, milestone payments, royalty payments, indemnification and other obligations on us. Our obligations to pay milestone, royalty and other payments to our licensor may be substantial, and the amount and timing of such payments may impact our ability to progress the development and commercialization of our product candidates. Our rights to use any licensed intellectual property may be subject to the continuation of and our compliance with the terms of any such agreements.</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Disputes over intellectual property and other rights that we have licensed or acquired, or may license or acquire in the future, from third parties could prevent or impair our ability to maintain any such arrangements on acceptable terms, result in delays in the commencement or completion of our pre-clinical studies and clinical trials and impact our ability to successfully develop and commercialize the affected product candidates. If we fail to comply with our obligations under any licensing agreements, these agreements may be terminated or the scope of our rights under them may be reduced and we might be unable to develop, manufacture or market any product that is licensed under these agreements.</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The incidence and prevalence for target patient populations of palazestrant and OP-3136 are based on estimates and third-party sources. If the market opportunities for palazestrant, OP-3136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Periodically, we make estimates regarding the incidence and prevalence of target patient populations for particular diseases based on various third-party sources and internally generated analysis and use such estimates in making decisions regarding our drug development strategy, including acquiring or in-licensing product candidates and determining indications on which to focus in non-clinical or clinical trials.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incidence and prevalence for target patient populations of palazestrant or OP-3136 are based on estimates and third-party sources. These estimates may be inaccurate or based on imprecise data. For example, the total addressable market opportunity will depend on, among other things, acceptance of our drugs by the medical community and patient access, drug pricing and reimbursement. The number of patients in the addressable markets may turn out to be lower than expected, patients may not be otherwise amenable to treatment with our drugs, or new patients may become increasingly difficult to identify or gain access to. If the market opportunities for palazestrant, OP-3136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7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has resulted, and disclosure of interim data by us or by our competitors could in the future result, in volatility in the price of our common stock.</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Further, others, including regulatory authorities, may not accept or agree with our assumptions, estimates, calculations, conclusions or analyses or may interpret or weigh the importance of data differently, which could impact the value of our particular program, the approvability or commercialization of our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the interim, top-line, or preliminary data that we report differ from actual results, or if others, including regulatory authorities, disagree with the conclusions reached, our ability to obtain approval for, and commercialize, palazestrant, OP-3136 or any future product candidates we may develop may be harmed, which could significantly harm our business, financial condition, results of operations and prospects.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technologies or products more rapidly than we do or that are more effective, safer or less expensive than palazestrant, OP-3136 or product candidates we may develop in the future, our commercial opportunities will be negatively impacted.</w:t>
      </w:r>
    </w:p>
    <w:p>
      <w:pPr>
        <w:spacing w:after="0" w:line="15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palazestrant or OP-3136. Any product candidate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are attempting to develop palazestrant and OP-3136. Products we may develop in the future are also likely to face competition from other products and therapies, some of which we may not currently be aware. In addition, palazestrant, OP-3136 and any product candidate that we may develop in the future may need to compete with off-label drugs used by physicians to treat the indications for which we seek approval. This may make it difficult for us to replace existing therapies with palazestrant, OP-3136 and any product candidate that we may develop in the future.</w:t>
      </w:r>
    </w:p>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particular, there is intense competition in the field of women’s cancer which we are pursuing. We have competitors both in the United States and internationally, including major multinational pharmaceutical companies, established biotechnology companies, specialty pharmaceutical companies, emerging and start-up companies, government authorities, universities and other research institutions.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example, if we are successful in developing palazestrant, it may compete against existing products and product candidates in development, to the extent any such product candidates are approved, for the treatment of ER+ breast cancer, including fulvestrant, marketed as Faslodex® by AstraZeneca PLC and or any generic</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equivalents of Faslodex that are marketed or in development; elacestrant, marketed as ORSERDU</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by Stemline Therapeutics Inc.; giredestrant (GDC-9545), being developed by Roche Holding AG/Genentech, Inc.; camizestrant (AZD9833), being developed by AstraZeneca PLC; imlunestrant, marketed as Inluriyo™ by Eli Lilly and Co.; vepdegestrant (ARV-471), being developed by Arvinas, Inc. in partnership with Pfizer, Inc.; and lasofoxifene, being developed by Sermonix Pharmaceuticals. There are also a number of KAT6 inhibitor product candidates in development that may compete with OP-3136 including PF-07248144, which is being developed by Pfizer, and MEN2312, which is being developed by Stemline Therapeutics.</w:t>
      </w:r>
    </w:p>
    <w:p>
      <w:pPr>
        <w:spacing w:after="0" w:line="18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chosen to initially address well-validated biochemical targets, and therefore expect to face competition from existing products and products in development. There are a large number of companies developing or marketing treatments for cancer, including many major pharmaceutical and biotechnology companies. Many of these current and potential competitors may have significantly greater financial, manufacturing, commercial, clinical development, research and technical and human resources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the European Commission or other comparable foreign regulatory authorities or in discovering, developing and commercializing products in our field before we do.</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have a broader label, are marketed more effectively, receive greater levels of reimbursement or are less expensive than products we may develop. Our competitors also may obtain marketing approval from the FDA, the European Commission or other comparable foreign regulatory authorities for their products more rapidly than we may obtain approval for ours, which could result in our competitors establishing a strong market position before we are able to enter the market. Even if palazestrant, OP-3136 or other product candidates we may develop in the future achieve marketing approval, they may be priced at a significant premium over competitive products if any have been approved by then, resulting in reduced competitiveness. Technological advances or products developed by our competitors may render our technologies or palazestrant, OP-3136 or product candidates we may develop in the future obsolete, less competitive or not economical. If we are unable to compete effectively, our opportunity to generate revenue from the sale of our product we may develop, if approved, would be adversely affected.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palazestrant manufacturing or formulation may result in additional costs or delay.</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palazestrant progresses through non-clinical and clinical trials to potential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palazestrant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palazestrant and jeopardize our ability to commercialize palazestrant, if approved, and generate revenue.</w:t>
      </w:r>
    </w:p>
    <w:p>
      <w:pPr>
        <w:spacing w:after="0" w:line="18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Any product candidate we develop may become subject to unfavorable third-party coverage and reimbursement practices, as well as pricing regulations.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If we obtain marketing approval of palazestrant, OP-3136 or any future product candidate we may develop, sales of such product will depend substantially, both in the United States and internationally, on the extent to which the costs of the product will be covered and reimbursed by third-party payors. If reimbursement is not available, or is available only at inadequate levels, we may not be able to successfully commercialize palazestrant, OP-3136 or any future product candidates we may develop.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As a result, the coverage determination process is often time-consuming and costly. This process will require us to provide scientific and clinical support for the use of our product to each third-party payor separately, with no assurance that coverage and adequate reimbursement will be applied consistently or obtained in the first instance.</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products and requiring substitutions of generic products and/or biosimilars. 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 Nonetheless, palazestrant, OP-3136 or any future product candidates we may develop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8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 containment initiatives in European countries, Canada and other countries has and will continue to put pressure on the pricing and usage of therapeutics such as palazestrant, OP-3136 or any future product candidates we may develop. In many countries, including European Union (EU) Member States,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palazestrant, OP-3136 or any future product candidates we may develop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that we are able to charge for palazestrant, OP-3136 or any future product candidates we may develop. Accordingly, in markets outside the United States, the reimbursement for any product that we commercialize may be reduced compared with the United States and may be insufficient to generate commercially reasonable revenue and profits.</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If we are unable to establish or sustain coverage and adequate reimbursement for any product candidates that we commercialize from third-party payors, the adoption of those products and potential sales revenue would be adversely affected, which, in turn, could adversely affect the ability to market or sell those product candidates, if approved. Coverage policies and third-party payor reimbursement rates may change at any time. Even if favorable coverage and reimbursement status is attained for a product for which we receive regulatory approval, less favorable coverage policies and reimbursement rates may be implemented in the future.</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Guidelines and recommendations published by various organizations can reduce the use of palazestrant, OP-3136 or any future product candidates we may develop.</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Government authorities promulgate regulations and guidelines directly applicable to us and to palazestrant, OP-3136 or any future product candidates we may develop. In addition, professional societies, such as practice management groups, private health and science foundations and organizations involved in various diseases from time to time may also publish guidelines or recommendations to the healthcare and patient communities. Recommendations of government authorities or these other groups or organizations may relate to such matters as usage, dosage, route of administration and use of concomitant therapies. Recommendations or guidelines suggesting the reduced use of palazestrant, OP-3136 or any future product candidates we may develop or the use of competitive or alternative products as the standard of care to be followed by patients and healthcare providers could result in decreased use of palazestrant, OP-3136 or any future product candidates we may develop.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214"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may be unable to obtain U.S. or foreign regulatory approvals and, as a result, may be unable to commercialize palazestrant, OP-3136 or any future product candidate we may develop.</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Palazestrant and OP-3136 are, and any product candidate we develop in the future will be, subject to extensive governmental regulations relating to, among other things, research, testing, development, manufacturing, safety, efficacy, approval, recordkeeping, reporting, labeling, storage, packaging, advertising and promotion, pricing, marketing and distribution of drugs. Rigorous non-clinical testing and clinical trials and an extensive regulatory approval process must be successfully completed in the United States and in many foreign jurisdictions before a new drug can be marketed. Satisfaction of these and other regulatory requirements is costly, time-consuming, uncertain and subject to unanticipated delays. We cannot provide any assurance that palazestrant, OP-3136 or any product candidate we may develop will progress through required clinical testing and obtain the regulatory approvals necessary for us to begin selling them.</w:t>
      </w:r>
    </w:p>
    <w:p>
      <w:pPr>
        <w:spacing w:after="0" w:line="18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EMA, the European Commission or other comparable foreign regulatory authorities use when evaluating clinical trial data can, and often do, change during drug development, which makes it difficult to predict with any certainty how they will be applied. We may also encounter unexpected delays or increased costs due to new government regulations, including future legislation or administrative action, or changes in FDA, EMA, the European Commission or other comparable foreign regulatory authorities’ policies during the period of drug development, clinical trials and FDA, EMA, the European Commission or other comparable foreign regulatory authorities’ regulatory review.</w:t>
      </w:r>
    </w:p>
    <w:p>
      <w:pPr>
        <w:spacing w:after="0" w:line="18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Any delay or failure in seeking or obtaining required approvals would have a material and adverse effect on our ability to generate revenue from the particular product candidate for which we are developing and seeking approval. Furthermore, any regulatory approval to market a drug may be subject to significant limitations on the approved uses or indications for which we may market the drug or the labeling or other restrictions. In addition,</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FDA has the authority to require a REMS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may also become subject to numerous foreign regulatory requirements governing, among other things, the conduct of clinical trials and manufacturing of palazestrant or OP-3136.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17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inability could significantly harm our business, financial condition, results of operations and prospects.</w:t>
      </w:r>
    </w:p>
    <w:p>
      <w:pPr>
        <w:spacing w:after="0" w:line="1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EMA, competent authorities of EU Member States, or other regulatory authority investigation of the safety and effectiveness of our product, our manufacturing processes and facilities or our marketing programs. The FDA, EMA, competent authorities of EU Member States or other regulatory authority investigations could potentially lead to a recall of our product or more serious enforcement action, limitations on the approved indications for which it may be used or suspension, variation, or withdrawal of approvals. Regardless of the merits or eventual outcome, liability claims may also result in decreased demand for our product,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palazestrant or OP-3136, if approved. Any insurance we have or may obtain may not provide sufficient coverage against potential liabilities. Furthermore, clinical trial and product liability insurance are becoming increasingly expensive. As a result, we may be unable to obtain sufficient insurance at a reasonable cost to protect us against losses caused by product liability claims that could significantly harm our business, financial condition, results of operations and prospects.</w:t>
      </w:r>
    </w:p>
    <w:p>
      <w:pPr>
        <w:spacing w:after="0" w:line="16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Palazestrant, OP-3136 and any future product candidates we develop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is the case with pharmaceuticals generally, there have been side effects and adverse events associated with the use of palazestrant, and it is likely that there may be additional side effects and adverse events associated with the use of palazestrant, OP-3136 or any future product candidates we may develop. Results of our clinical trials could reveal a high and unacceptable severity and prevalence of side effects or unexpected characteristics. For example, the most common side effects we have seen in patients treated with palazestrant in our clinical trials are nausea, fatigue, vomiting, constipation, headaches, and neutropenia. Undesirable side effects caused by palazestrant, OP-3136 or any future product candidates we may develop could cause us or regulatory authorities to interrupt, delay or halt clinical trials and could result in a more restrictive label or the delay or denial of regulatory approval by the FDA, the European Commission, or other comparable foreign regulatory authorities. Any of these occurrences may significantly harm our business, financial condition, results of operations and prospects.</w:t>
      </w:r>
    </w:p>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palazestrant, OP-3136 or any future product candidates we may develop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undesirable side effects or other characteristics are less prevalent, less severe or more acceptable from a risk-benefit perspective. Treatment-related side effects could also affect patient recruitment or the ability of enrolled subjects to complete a trial or result in potential product liability claims. Any of these occurrences may prevent us from achieving or maintaining market acceptance of the affected product candidate and may significantly harm our business, financial condition, results of operations and prospects.</w:t>
      </w:r>
    </w:p>
    <w:p>
      <w:pPr>
        <w:spacing w:after="0" w:line="16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Patients in our ongoing and planned clinical trials may in the future suffer significant adverse events or other side effects not observed in our non-clinical studies or previous clinical trials. Palazestrant, OP-3136 or any future product candidates we may develop, may be used as chronic therapies or be used in pediatric populations, for which safety concerns may be particularly scrutinized by regulatory authorities. In addition, if palazestrant, OP-3136 or any future product candidates we may develop, are used in combination with other therapies, palazestrant, OP-3136 or any future product candidates we may develop may exacerbate adverse events associated with the therapy and it may not be possible to determine whether it was caused by our product or the one with which it was combined. Patients treated with palazestrant, OP-3136 or any future candidates we may develop, may also be undergoing surgical, radiation and chemotherapy treatments, which can cause side effects or adverse events that are unrelated to palazestrant, OP-3136 or any future product candidates we may develop, but may still impact the success of our clinical trials. The inclusion of critically ill patients in our clinical trials may result in deaths or other adverse medical events due to many factors, including other therapies or medications that such patients may be using or due to the gravity of such patients’ illnesses.</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If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w:t>
      </w:r>
      <w:r>
        <w:rPr>
          <w:rFonts w:ascii="Arial" w:cs="Arial" w:eastAsia="Arial" w:hAnsi="Arial"/>
          <w:sz w:val="18"/>
          <w:szCs w:val="18"/>
          <w:color w:val="231F20"/>
        </w:rPr>
        <w:t>competent authorities of EU Member States</w:t>
      </w:r>
      <w:r>
        <w:rPr>
          <w:rFonts w:ascii="Arial" w:cs="Arial" w:eastAsia="Arial" w:hAnsi="Arial"/>
          <w:sz w:val="18"/>
          <w:szCs w:val="18"/>
          <w:color w:val="auto"/>
        </w:rPr>
        <w:t>, other comparable regulatory authorities or an IRB or Ethics Committee may suspend, vary or terminate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significantly harm our business, financial condition, results of operations and prospects, including our potential collaboration, financing or other business opportunities. Further, if palazestrant or OP-3136 obtains marketing approval, toxicities associated with palazestrant or OP-3136 and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palazestrant or OP-3136 will cause toxicities in humans that would preclude or lead to the revocation of regulatory approval based on non-clinical studies or early-stage clinical trials.</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FDA, EMA, the European Commission and other comparable foreign regulatory authorities may not accept data from trials conducted in locations outside of their jurisdiction.</w:t>
      </w:r>
    </w:p>
    <w:p>
      <w:pPr>
        <w:spacing w:after="0" w:line="1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currently plan to conduct international clinical trials and may choose to conduct additional international clinical trials in the future. The acceptance of study data by the FDA, EMA, the European Commission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United States population and United States medical practice; (2) the trials are performed by clinical investigators of recognized competence and pursuant to current GCP requirements; and (3)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There can be no assurance that the FDA, EMA, the European Commission or any applicable foreign regulatory authority will accept data from trials conducted outside of its applicable jurisdiction. If the FDA, EMA, the European Commission or any applicable foreign regulatory authority does not accept such data, it would result in the need for additional trials, which would be costly and time-consuming and delay aspects of our business plan, and which may result in</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palazestrant, OP-3136 or any future product candidates we may develop not receiving approval for commercialization in the applicable jurisdiction.</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Obtaining and maintaining regulatory approval of palazestrant, OP-3136 or any product candidate we develop in the future, in one jurisdiction does not mean that we will be successful in obtaining regulatory approval of palazestrant, OP-3136 or any product candidate we develop in the future, in other jurisdictions.</w:t>
      </w:r>
    </w:p>
    <w:p>
      <w:pPr>
        <w:spacing w:after="0" w:line="15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Obtaining and maintaining regulatory approval of palazestrant, OP-3136 or any product candidate we develop in the future, in one jurisdiction does not guarantee that we will be able to obtain or maintain regulatory approval in any other jurisdiction. For example, even if the FDA, the European Commission or other foreign regulatory authority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 is also subject to approval.</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Obtaining foreign regulatory approvals and establishing and maintaining compliance with foreign regulatory requirements could result in significant delays, difficulties and costs for us and could delay or prevent the introduction of our product in certain countries. If we or any future collaborator fail to comply with the regulatory requirements in international markets or fail to receive applicable marketing approvals, our target market will be reduced and our ability to realize the full market potential of palazestrant, OP-3136 or any product candidate we develop in the future, will be harmed.</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Even if palazestrant, OP-3136 or any product candidate we develop in the future, receives regulatory approval, it will be subject to significant post-marketing regulatory requirements and oversight.</w:t>
      </w:r>
    </w:p>
    <w:p>
      <w:pPr>
        <w:spacing w:after="0" w:line="1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Any regulatory approvals that we may receive for palazestrant, OP-3136 or any product candidate we develop in the future,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palazestrant, which could entail requirements for a medication guide, physician training and communication plans or additional elements to ensure safe use, such as restricted distribution methods, patient registries and other risk minimization tools. In addition, if the FDA, the European Commission or applicable foreign regulatory authorities approve palazestrant, OP-3136 or any product candidate we develop in the future, the manufacturing processes, labeling, packaging, distribution, adverse event reporting, storage, advertising, promotion, import, export and recordkeeping for palazestrant or OP-3136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authority discover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In addition, failure to comply with FDA, EU and other foreign regulatory requirements may subject our company to administrative or judicially imposed sanctions, including:</w:t>
      </w:r>
    </w:p>
    <w:p>
      <w:pPr>
        <w:spacing w:after="0" w:line="278"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231F20"/>
        </w:rPr>
      </w:pPr>
      <w:r>
        <w:rPr>
          <w:rFonts w:ascii="Arial" w:cs="Arial" w:eastAsia="Arial" w:hAnsi="Arial"/>
          <w:sz w:val="18"/>
          <w:szCs w:val="18"/>
          <w:color w:val="231F20"/>
        </w:rPr>
        <w:t>delays in or the rejection of product approvals;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231F20"/>
        </w:rPr>
      </w:pPr>
      <w:r>
        <w:rPr>
          <w:rFonts w:ascii="Arial" w:cs="Arial" w:eastAsia="Arial" w:hAnsi="Arial"/>
          <w:sz w:val="18"/>
          <w:szCs w:val="18"/>
          <w:color w:val="231F20"/>
        </w:rPr>
        <w:t>restrictions on our ability to conduct clinical trials, including full or partial clinical holds on ongoing or planned trials;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231F20"/>
        </w:rPr>
      </w:pPr>
      <w:r>
        <w:rPr>
          <w:rFonts w:ascii="Arial" w:cs="Arial" w:eastAsia="Arial" w:hAnsi="Arial"/>
          <w:sz w:val="18"/>
          <w:szCs w:val="18"/>
          <w:color w:val="231F20"/>
        </w:rPr>
        <w:t>restrictions on the products, manufacturers or manufacturing process;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231F20"/>
        </w:rPr>
      </w:pPr>
      <w:r>
        <w:rPr>
          <w:rFonts w:ascii="Arial" w:cs="Arial" w:eastAsia="Arial" w:hAnsi="Arial"/>
          <w:sz w:val="18"/>
          <w:szCs w:val="18"/>
          <w:color w:val="231F20"/>
        </w:rPr>
        <w:t>warning letters;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231F20"/>
        </w:rPr>
      </w:pPr>
      <w:r>
        <w:rPr>
          <w:rFonts w:ascii="Arial" w:cs="Arial" w:eastAsia="Arial" w:hAnsi="Arial"/>
          <w:sz w:val="18"/>
          <w:szCs w:val="18"/>
          <w:color w:val="231F20"/>
        </w:rPr>
        <w:t>civil and criminal penalties;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231F20"/>
        </w:rPr>
      </w:pPr>
      <w:r>
        <w:rPr>
          <w:rFonts w:ascii="Arial" w:cs="Arial" w:eastAsia="Arial" w:hAnsi="Arial"/>
          <w:sz w:val="18"/>
          <w:szCs w:val="18"/>
          <w:color w:val="231F20"/>
        </w:rPr>
        <w:t>injunctions;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231F20"/>
        </w:rPr>
      </w:pPr>
      <w:r>
        <w:rPr>
          <w:rFonts w:ascii="Arial" w:cs="Arial" w:eastAsia="Arial" w:hAnsi="Arial"/>
          <w:sz w:val="18"/>
          <w:szCs w:val="18"/>
          <w:color w:val="231F20"/>
        </w:rPr>
        <w:t>suspension, variation or withdrawal of regulatory approvals;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231F20"/>
        </w:rPr>
      </w:pPr>
      <w:r>
        <w:rPr>
          <w:rFonts w:ascii="Arial" w:cs="Arial" w:eastAsia="Arial" w:hAnsi="Arial"/>
          <w:sz w:val="18"/>
          <w:szCs w:val="18"/>
          <w:color w:val="231F20"/>
        </w:rPr>
        <w:t>product seizures, detentions or import bans;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231F20"/>
        </w:rPr>
      </w:pPr>
      <w:r>
        <w:rPr>
          <w:rFonts w:ascii="Arial" w:cs="Arial" w:eastAsia="Arial" w:hAnsi="Arial"/>
          <w:sz w:val="18"/>
          <w:szCs w:val="18"/>
          <w:color w:val="231F20"/>
        </w:rPr>
        <w:t>voluntary or mandatory product recalls and publicity requirements;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231F20"/>
        </w:rPr>
      </w:pPr>
      <w:r>
        <w:rPr>
          <w:rFonts w:ascii="Arial" w:cs="Arial" w:eastAsia="Arial" w:hAnsi="Arial"/>
          <w:sz w:val="18"/>
          <w:szCs w:val="18"/>
          <w:color w:val="231F20"/>
        </w:rPr>
        <w:t>total or partial suspension of production; and</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231F20"/>
        </w:rPr>
      </w:pPr>
      <w:r>
        <w:rPr>
          <w:rFonts w:ascii="Arial" w:cs="Arial" w:eastAsia="Arial" w:hAnsi="Arial"/>
          <w:sz w:val="18"/>
          <w:szCs w:val="18"/>
          <w:color w:val="231F20"/>
        </w:rPr>
        <w:t>imposition of restrictions on operations, including costly new manufacturing requirements.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occurrence of any event or penalty described above may inhibit our ability to commercialize palazestrant, OP-3136 or any product candidate we may develop in the future and generate revenue and could require us to expend significant time and resources in response and could generate negative publicity.</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palazestrant, OP-3136 or any product candidate we may develop in the future.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authorities actively enforce the laws and regulations prohibiting the promotion of off-label uses.</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palazestrant, OP-3136 or any future product candidate we may develop is approved for marketing, and we are found to have improperly promoted off-label uses of those products, we may become subject to significant liability. The FDA and other regulatory authorities strictly regulate the promotional claims that may be made about prescription products, such as palazestrant, OP-3136 or any future product candidates we may develop, if approved. In particular, a product may not be promoted for uses that are not approved by the FDA or such other regulatory authorities as reflected in the product’s approved labeling. If we receive marketing approval for palazestrant, OP-3136 or any future product candidates we may develop, physicians may nevertheless prescribe it to their patients in a manner that is inconsistent with the approved label based on the physician’s independent medical judgment.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palazestrant, OP-3136 or any future product candidates we may develop, if approved, we could become subject to significant liability, which would significantly harm our business, financial condition, results of operations and prospects.</w:t>
      </w:r>
    </w:p>
    <w:p>
      <w:pPr>
        <w:spacing w:after="0" w:line="18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Disruptions at the FDA, EMA, the European Commission applicable foreign regulatory authorities, the SEC, and other government agencies and regulatory authorities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authorities from performing normal business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functions on which the operation of our business may rely, which could significantly harm our business, financial condition, results of operations and prospects.</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ability of the FDA, EMA, the European Commission or any applicable foreign regulatory authority to review and approve new products can be affected by a variety of factors, including, as applicable government budget and funding levels, ability to hire and retain key personnel and accept the payment of user fees, and statutory, regulatory, and policy changes, and other events that may otherwise affect the FDA, EMA, the European Commission, or any applicable foreign regulatory authority’s ability to perform routine functions. Average review times at the authorities have fluctuated in recent years as a result and could be delayed. In addition, government funding of the SEC and other government authorities on which our operations may rely, including those that fund research and development activities, is subject to the political process, which is inherently fluid and unpredictable.</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Disruptions at the FDA and other authorities may also slow the time necessary for new drugs to be reviewed and/or approved by necessary government authorities, which would adversely affect our business. If the government shutdown continues or a future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w:t>
      </w:r>
    </w:p>
    <w:p>
      <w:pPr>
        <w:spacing w:after="0" w:line="16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We may attempt to secure approval from the FDA, the European Commission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approval from the FDA, the European Commission or comparable foreign regulatory authorities through accelerated approval pathways, if our confirmatory trials do not verify clinical benefit, or if we do not comply with rigorous post-marketing requirements, the FDA, the European Commission or comparable foreign regulatory authorities may seek to withdraw their approval.</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may in the future seek approval for palazestrant, OP-3136 or future product candidates we may develop through accelerated approval pathways.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Third-party payors may refuse to provide coverage or reimbursement for the drug until the confirmatory studies are complete. Additionally, if such post-approval studies fail to confirm the drug’s clinical benefit, the FDA may withdraw its approval of the drug.</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Prior to seeking accelerated approval for palazestrant or OP-3136,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palazestrant or OP-3136, there can be no assurance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palazestrant or OP-3136 would result in a longer time period to commercialization of such product candidate, could increase the cost of development of palazestrant or OP-3136 and could harm our competitive position in the marketplace.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Existing regulatory policies may change, and additional regulations may be enacted that could prevent, limit or delay regulatory approval of palazestrant, OP-3136 or any future product candidates we may develop.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example, in March 2010, the Patient Protection and Affordable Care Act of 2010, as amended by the Health Care and Education Reconciliation Act of 2010, or collectively the ACA, was passed, which substantially changed the way healthcare is financed by both the government and private insurers and continues to significantly impact the U.S. pharmaceutical industry. There have been executive, judicial and Congressional challenges and amendments to certain aspects of the ACA. For example, on August 16, 2022, the Inflation Reduction Act of 2022 (IRA) was signed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unclear how any such challenges and the healthcare reform measures of the current administration will impact the ACA and our business.</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For example, the annual reconciliation bill known as the One Big Beautiful Bill Act, or OBBBA, was signed into law on July 4, 2025. OBBBA is expected to reduce Medicaid spending and enrollment by implementing work requirements for some beneficiaries, capping state-directed payments, reducing federal funding, and limiting provider taxes used to fund the program. OBBBA also narrows access to the ACA marketplace exchange enrollment and declines to extend the ACA enhanced advanced premium tax credits set to expire at the end of 2025, which, among other provisions in the law, are anticipated to reduce the number of Americans with health insurance. These changes also included aggregate reductions to Medicare payments to providers of 2% per fiscal year, effective April 1, 2013, which, due to subsequent legislative amendments, will stay in effect until 2032 unless additional Congressional action is taken. Additionally, on March 11, 2021, the American Rescue Plan Act of 2021 was signed into law, which eliminated the statutory Medicaid drug rebate cap, previously set at 100% of a drug’s average manufacturer price, for single source and innovator multiple source drugs, effective January 1, 2024. These laws may result in additional reductions in Medicare and other healthcare funding, which could have a material adverse effect on potential customers for our drugs, if approved, and accordingly, our business.</w:t>
      </w:r>
    </w:p>
    <w:p>
      <w:pPr>
        <w:spacing w:after="0" w:line="18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Moreover, there has been heightened governmental scrutiny recently over the manner in which drug manufacturers set prices for their marketed products, which has resulted in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example, the IRA, among other things, (1) directs the U.S. Department of Health and Human Services (HHS) to negotiate the price of certain high-expenditure single-source drugs that have been on the market for seven years covered under Medicare (the Medicare Drug Negotiation Program) and (2) imposes rebates under</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Medicare Part B and Medicare Part D to penalize price increases that outpace inflation. These provisions began to take effect progressively in fiscal year 2023. On August 15, 2024, HHS announced the agreed-upon reimbursement price of the first ten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 Further, on December 7, 2023, an initiative to control the price of prescription drugs through the use of march-in rights under the Bayh-Dole Act was announced. On December 8, 2023, the National Institute of Standards and Technology published for comment a Draft Interagency Guidance Framework for Considering the Exercise of March -In Rights, which for the first time, includes the price of a product as one factor an agency can use when deciding to exercise march-in rights. While march-in rights have not previously been exercised, it is uncertain if that will continue under the new framework. It is currently unclear how the IRA will be implemented, but it is likely to have a significant impact on the pharmaceutical industry.</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current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For example, on September 30, 2025, the current administration announced the first agreement with a major pharmaceutical company that requires the drug manufacturer to offer, through a direct to consumer platform, U.S. patients and Medicaid programs prescription drug Most-Favored Nation pricing equal to or lower than those paid in other developed nations, with additional mandates for direct-to-patient discounts and repatriation of foreign revenues. Other recent actions include, for example, directives to reduce agency workforce, program cuts, rescinding a Biden administration executive order tasking the Center for Medicare and Medicaid Innovation to consider new payment and healthcare models to limit drug spending and eliminating the Biden administration’s executive order that directed HHS to establishing an artificial intelligence (AI) task force and developing a strategic plan, directing HHS to use the IRA to lower prescription drug costs for Medicare through a variety of initiatives, including by improving upon the IRA, directing certain federal agencies to enforce existing law regarding hospital and price plan transparency and by standardizing prices across hospitals and health plans, and as part of the Make America Healthy Again, or MAHA, Commission’s recent Strategy Report, working across government agencies to increase enforcement on direct-to-consumer pharmaceutical advertising. These actions and policies may significantly reduce U.S. drug prices, potentially impacting manufacturers’ global pricing strategies and profitability, while increasing their operational costs and compliance risks. Additionally, in its June 2024 decision in Loper Bright Enterprises v. Raimondo,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Congress may introduce and ultimately pass health care related legislation that could impact the drug approval process and make changes to the Medicare Drug Price Negotiation Program created under the IRA.</w:t>
      </w:r>
    </w:p>
    <w:p>
      <w:pPr>
        <w:spacing w:after="0" w:line="18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w:t>
      </w:r>
    </w:p>
    <w:p>
      <w:pPr>
        <w:spacing w:after="0" w:line="18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As an example, the regulatory landscape related to clinical trials in the EU has evolved. The EU Clinical Trials Regulation (CTR), which was adopted in April 2014 and repeals the EU Clinical Trials Directive (CTD), became applicable on January 31, 2022. The CTR allows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by all EU Member</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States concerned, and a separate assessment by each EU Member State with respect to specific requirements related to its own territory, including ethics rules. Each EU Member State’s decision is communicated to the sponsor via the centralized EU portal. Once the clinical trial is approved, clinical study development may proceed. The CTR foresaw a three-year transition period that ended on January 31, 2025. Since this date, all new or ongoing trials are subject to the provisions of the CTR. Compliance with the CTR requirements by us and our third-party service providers, such as CROs, may impact our development plans.</w:t>
      </w:r>
    </w:p>
    <w:p>
      <w:pPr>
        <w:spacing w:after="0" w:line="16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Moreover, in order to obtain reimbursement for our products in some European countries, including some EU Member States, we may be required to compile additional data comparing the cost-effectiveness of our products to other available therapies. This Health Technology Assessment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In December 2021, Regulation No 2021/2282 on HTA was adopted in the EU. This Regulation, which entered into application on January 12, 2025 and has a phased implementation, is intended to boost cooperation among EU Member States in assessing health technologies, including new medicinal products, and providing the basis for cooperation at EU level for joint clinical assessments in these areas. The Regulation permits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continue to be responsible for assessing non-clinical (e.g., economic, social, ethical) aspects of health technologies, and making decisions on pricing and reimbursement.</w:t>
      </w:r>
    </w:p>
    <w:p>
      <w:pPr>
        <w:spacing w:after="0" w:line="17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light of the fact that the United Kingdom has left the EU, Regulation No 2021/2282 on HTA will not apply in the United Kingdom. However, the UK Medicines and Healthcare products Regulation Agency (MHRA) is working with UK HTA bodies and other national organizations, such as the Scottish Medicines Consortium (SMC), the National Institute for Health and Care Excellence (NICE), and the All-Wales Medicines Strategy Group, to introduce new pathways supporting innovative approaches to the safe, timely and efficient development of medicinal products.</w:t>
      </w:r>
    </w:p>
    <w:p>
      <w:pPr>
        <w:spacing w:after="0" w:line="1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Legislators, policymakers and healthcare insurance funds in the EU and the United Kingdom may continue to propose and implement cost-containing measures to keep healthcare costs down, particularly due to the financial strain that the COVID-19 pandemic placed on national healthcare systems of European countries. These measures could include limitations on the prices we would be able to charge for product candidates that we may successfully develop and for which we may obtain regulatory approval or the level of reimbursement available for these products from governmental authorities or third-party payors. Further, an increasing number of EU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on April 26, 2023, the European Commission adopted a proposal for a new Directive and Regulation to revise the existing pharmaceutical legislation and, on April 10, 2024, the Parliament adopted its related position. The proposed revisions remain to be agreed and adopted by the European Council. Moreover, on December 1, 2024, a new European Commission took office. The proposal could, therefore, still be subject to revisions. If adopted in the form proposed, the recent European Commission proposals to revise the existing EU laws governing authorization of medicinal products may result in a number of changes to the regulatory framework governing medicinal products, including a decrease in data and market exclusivity opportunities for our product candidates in the EU and make them open to generic or biosimilar competition earlier than is currently the case with a related reduction in reimbursement status.</w:t>
      </w:r>
    </w:p>
    <w:p>
      <w:pPr>
        <w:spacing w:after="0" w:line="17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If we are slow or unable to adapt to changes in existing requirements or the adoption of new requirements or policies, our development plans may be impacted.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expect that the recent reform activity, as well as other healthcare reform measures that may be adopted in the future, particularly in light of the recent U.S. Presidential and Congressional elections,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palazestrant, OP-3136 or any future product candidates we may develop.</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if any, may be on the marketing approvals of palazestrant, OP-3136 or any future product candidates we may develop.</w:t>
      </w:r>
    </w:p>
    <w:p>
      <w:pPr>
        <w:spacing w:after="0" w:line="17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 party payors in connection with our current and future business activities may be subject to federal, state and foreign healthcare fraud and abuse laws, false claims laws, transparency laws, government price reporting, and privacy and security laws (including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17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our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market, sell and distribute our product for which we obtain marketing approval. Restrictions under applicable federal and state healthcare laws and regulations include the following:</w:t>
      </w:r>
    </w:p>
    <w:p>
      <w:pPr>
        <w:spacing w:after="0" w:line="176" w:lineRule="exact"/>
        <w:rPr>
          <w:sz w:val="20"/>
          <w:szCs w:val="20"/>
          <w:color w:val="auto"/>
        </w:rPr>
      </w:pPr>
    </w:p>
    <w:p>
      <w:pPr>
        <w:jc w:val="both"/>
        <w:ind w:left="760" w:hanging="378"/>
        <w:spacing w:after="0"/>
        <w:tabs>
          <w:tab w:leader="none" w:pos="760" w:val="left"/>
        </w:tabs>
        <w:numPr>
          <w:ilvl w:val="0"/>
          <w:numId w:val="34"/>
        </w:numPr>
        <w:rPr>
          <w:rFonts w:ascii="Times New Roman" w:cs="Times New Roman" w:eastAsia="Times New Roman" w:hAnsi="Times New Roman"/>
          <w:sz w:val="18"/>
          <w:szCs w:val="18"/>
          <w:color w:val="231F20"/>
        </w:rPr>
      </w:pPr>
      <w:r>
        <w:rPr>
          <w:rFonts w:ascii="Arial" w:cs="Arial" w:eastAsia="Arial" w:hAnsi="Arial"/>
          <w:sz w:val="18"/>
          <w:szCs w:val="18"/>
          <w:color w:val="231F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Anti-Kickback Statute or specific intent to violate it in order to have committed a violation. In addition, the government may assert that a claim including items or services resulting from a violation of the U.S. federal Anti-Kickback Statute constitutes a false or fraudulent claim for purposes of the civil False Claims Act;</w:t>
      </w:r>
    </w:p>
    <w:p>
      <w:pPr>
        <w:spacing w:after="0" w:line="183" w:lineRule="exact"/>
        <w:rPr>
          <w:rFonts w:ascii="Times New Roman" w:cs="Times New Roman" w:eastAsia="Times New Roman" w:hAnsi="Times New Roman"/>
          <w:sz w:val="18"/>
          <w:szCs w:val="18"/>
          <w:color w:val="231F20"/>
        </w:rPr>
      </w:pPr>
    </w:p>
    <w:p>
      <w:pPr>
        <w:jc w:val="both"/>
        <w:ind w:left="760" w:hanging="378"/>
        <w:spacing w:after="0" w:line="246" w:lineRule="auto"/>
        <w:tabs>
          <w:tab w:leader="none" w:pos="760" w:val="left"/>
        </w:tabs>
        <w:numPr>
          <w:ilvl w:val="0"/>
          <w:numId w:val="34"/>
        </w:numPr>
        <w:rPr>
          <w:rFonts w:ascii="Times New Roman" w:cs="Times New Roman" w:eastAsia="Times New Roman" w:hAnsi="Times New Roman"/>
          <w:sz w:val="18"/>
          <w:szCs w:val="18"/>
          <w:color w:val="231F20"/>
        </w:rPr>
      </w:pPr>
      <w:r>
        <w:rPr>
          <w:rFonts w:ascii="Arial" w:cs="Arial" w:eastAsia="Arial" w:hAnsi="Arial"/>
          <w:sz w:val="18"/>
          <w:szCs w:val="18"/>
          <w:color w:val="231F20"/>
        </w:rPr>
        <w:t>the federal false claims and civil monetary penalties laws, including the civil False Claims Act, which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176" w:lineRule="exact"/>
        <w:rPr>
          <w:rFonts w:ascii="Times New Roman" w:cs="Times New Roman" w:eastAsia="Times New Roman" w:hAnsi="Times New Roman"/>
          <w:sz w:val="18"/>
          <w:szCs w:val="18"/>
          <w:color w:val="231F20"/>
        </w:rPr>
      </w:pPr>
    </w:p>
    <w:p>
      <w:pPr>
        <w:jc w:val="both"/>
        <w:ind w:left="760" w:hanging="378"/>
        <w:spacing w:after="0" w:line="246" w:lineRule="auto"/>
        <w:tabs>
          <w:tab w:leader="none" w:pos="760" w:val="left"/>
        </w:tabs>
        <w:numPr>
          <w:ilvl w:val="0"/>
          <w:numId w:val="34"/>
        </w:numPr>
        <w:rPr>
          <w:rFonts w:ascii="Times New Roman" w:cs="Times New Roman" w:eastAsia="Times New Roman" w:hAnsi="Times New Roman"/>
          <w:sz w:val="18"/>
          <w:szCs w:val="18"/>
          <w:color w:val="231F20"/>
        </w:rPr>
      </w:pPr>
      <w:r>
        <w:rPr>
          <w:rFonts w:ascii="Arial" w:cs="Arial" w:eastAsia="Arial" w:hAnsi="Arial"/>
          <w:sz w:val="18"/>
          <w:szCs w:val="18"/>
          <w:color w:val="231F20"/>
        </w:rPr>
        <w:t>the federal Health Insurance Portability and Accountability Act of 1996 (HIPAA) prohibits,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176" w:lineRule="exact"/>
        <w:rPr>
          <w:rFonts w:ascii="Times New Roman" w:cs="Times New Roman" w:eastAsia="Times New Roman" w:hAnsi="Times New Roman"/>
          <w:sz w:val="18"/>
          <w:szCs w:val="18"/>
          <w:color w:val="231F20"/>
        </w:rPr>
      </w:pPr>
    </w:p>
    <w:p>
      <w:pPr>
        <w:jc w:val="both"/>
        <w:ind w:left="760" w:hanging="378"/>
        <w:spacing w:after="0" w:line="246" w:lineRule="auto"/>
        <w:tabs>
          <w:tab w:leader="none" w:pos="760" w:val="left"/>
        </w:tabs>
        <w:numPr>
          <w:ilvl w:val="0"/>
          <w:numId w:val="34"/>
        </w:numPr>
        <w:rPr>
          <w:rFonts w:ascii="Times New Roman" w:cs="Times New Roman" w:eastAsia="Times New Roman" w:hAnsi="Times New Roman"/>
          <w:sz w:val="18"/>
          <w:szCs w:val="18"/>
          <w:color w:val="231F20"/>
        </w:rPr>
      </w:pPr>
      <w:r>
        <w:rPr>
          <w:rFonts w:ascii="Arial" w:cs="Arial" w:eastAsia="Arial" w:hAnsi="Arial"/>
          <w:sz w:val="18"/>
          <w:szCs w:val="18"/>
          <w:color w:val="231F20"/>
        </w:rPr>
        <w:t>HIPAA, as amended by the Health Information Technology for Economic and Clinical Health Act (HITECH), and their implementing regulations, also imposes obligations, including mandatory contractual terms, on covered entities including certain covered healthcare providers, health plans, and healthcare clearinghouses and their respective business associates and covered subcontractors that perform services for them that involve the use, or disclosure of, individually identifiable health</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60"/>
        <w:spacing w:after="0"/>
        <w:rPr>
          <w:sz w:val="20"/>
          <w:szCs w:val="20"/>
          <w:color w:val="auto"/>
        </w:rPr>
      </w:pPr>
      <w:r>
        <w:rPr>
          <w:rFonts w:ascii="Arial" w:cs="Arial" w:eastAsia="Arial" w:hAnsi="Arial"/>
          <w:sz w:val="18"/>
          <w:szCs w:val="18"/>
          <w:color w:val="231F20"/>
        </w:rPr>
        <w:t>information with respect to safeguarding the privacy, security and transmission of individually identifiable health information;</w:t>
      </w:r>
    </w:p>
    <w:p>
      <w:pPr>
        <w:spacing w:after="0" w:line="212" w:lineRule="exact"/>
        <w:rPr>
          <w:sz w:val="20"/>
          <w:szCs w:val="20"/>
          <w:color w:val="auto"/>
        </w:rPr>
      </w:pPr>
    </w:p>
    <w:p>
      <w:pPr>
        <w:jc w:val="both"/>
        <w:ind w:left="760" w:hanging="378"/>
        <w:spacing w:after="0"/>
        <w:tabs>
          <w:tab w:leader="none" w:pos="760" w:val="left"/>
        </w:tabs>
        <w:numPr>
          <w:ilvl w:val="0"/>
          <w:numId w:val="35"/>
        </w:numPr>
        <w:rPr>
          <w:rFonts w:ascii="Times New Roman" w:cs="Times New Roman" w:eastAsia="Times New Roman" w:hAnsi="Times New Roman"/>
          <w:sz w:val="18"/>
          <w:szCs w:val="18"/>
          <w:color w:val="231F20"/>
        </w:rPr>
      </w:pPr>
      <w:r>
        <w:rPr>
          <w:rFonts w:ascii="Arial" w:cs="Arial" w:eastAsia="Arial" w:hAnsi="Arial"/>
          <w:sz w:val="18"/>
          <w:szCs w:val="18"/>
          <w:color w:val="231F20"/>
        </w:rPr>
        <w:t xml:space="preserve">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w:t>
      </w:r>
      <w:r>
        <w:rPr>
          <w:rFonts w:ascii="Arial" w:cs="Arial" w:eastAsia="Arial" w:hAnsi="Arial"/>
          <w:sz w:val="18"/>
          <w:szCs w:val="18"/>
          <w:color w:val="000000"/>
        </w:rPr>
        <w:t xml:space="preserve">doctors, dentists, optometrists, podiatrists and chiropractors), other healthcare professionals (such as physician assistants and nurse practitioners), </w:t>
      </w:r>
      <w:r>
        <w:rPr>
          <w:rFonts w:ascii="Arial" w:cs="Arial" w:eastAsia="Arial" w:hAnsi="Arial"/>
          <w:sz w:val="18"/>
          <w:szCs w:val="18"/>
          <w:color w:val="231F20"/>
        </w:rPr>
        <w:t>and teaching hospitals, as well as information regarding ownership and investment interests held by such</w:t>
      </w:r>
      <w:r>
        <w:rPr>
          <w:rFonts w:ascii="Arial" w:cs="Arial" w:eastAsia="Arial" w:hAnsi="Arial"/>
          <w:sz w:val="18"/>
          <w:szCs w:val="18"/>
          <w:color w:val="000000"/>
        </w:rPr>
        <w:t xml:space="preserve"> </w:t>
      </w:r>
      <w:r>
        <w:rPr>
          <w:rFonts w:ascii="Arial" w:cs="Arial" w:eastAsia="Arial" w:hAnsi="Arial"/>
          <w:sz w:val="18"/>
          <w:szCs w:val="18"/>
          <w:color w:val="231F20"/>
        </w:rPr>
        <w:t>physicians and their immediate family members. The information reported is publicly available on a searchable website, with disclosure required annually; and</w:t>
      </w:r>
    </w:p>
    <w:p>
      <w:pPr>
        <w:spacing w:after="0" w:line="183" w:lineRule="exact"/>
        <w:rPr>
          <w:rFonts w:ascii="Times New Roman" w:cs="Times New Roman" w:eastAsia="Times New Roman" w:hAnsi="Times New Roman"/>
          <w:sz w:val="18"/>
          <w:szCs w:val="18"/>
          <w:color w:val="231F20"/>
        </w:rPr>
      </w:pPr>
    </w:p>
    <w:p>
      <w:pPr>
        <w:jc w:val="both"/>
        <w:ind w:left="760" w:hanging="378"/>
        <w:spacing w:after="0" w:line="252" w:lineRule="auto"/>
        <w:tabs>
          <w:tab w:leader="none" w:pos="760" w:val="left"/>
        </w:tabs>
        <w:numPr>
          <w:ilvl w:val="0"/>
          <w:numId w:val="35"/>
        </w:numPr>
        <w:rPr>
          <w:rFonts w:ascii="Times New Roman" w:cs="Times New Roman" w:eastAsia="Times New Roman" w:hAnsi="Times New Roman"/>
          <w:sz w:val="18"/>
          <w:szCs w:val="18"/>
          <w:color w:val="231F20"/>
        </w:rPr>
      </w:pPr>
      <w:r>
        <w:rPr>
          <w:rFonts w:ascii="Arial" w:cs="Arial" w:eastAsia="Arial" w:hAnsi="Arial"/>
          <w:sz w:val="18"/>
          <w:szCs w:val="18"/>
          <w:color w:val="231F20"/>
        </w:rPr>
        <w:t>analogous state and foreign laws and regulations, such as state and foreign anti-kickback and false claims laws, may apply to sales or marketing arrangements and claims involving healthcare items or services reimbursed by non-governmental third-party payors, including private insurers.</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Outside the United States, interactions between pharmaceutical companies and health care professionals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 For example, much like the federal Anti-Kickback Statute prohibition in the United States, the provision of benefits or advantages to physicians to induce or encourage the prescription, recommendation, endorsement, purchase, supply, order or use of medicinal products is also prohibited in EU Member States. In addition, payments made to physicians in certain EU Member States must be publicly disclosed. Moreover, in some EU Member States agreements with healthcare professionals may be the subject of prior notification and approval by the healthcare professional’s public employer, his or her competent professional organization and/or the national competent regulatory authorities.</w:t>
      </w:r>
    </w:p>
    <w:p>
      <w:pPr>
        <w:spacing w:after="0" w:line="17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Some state and foreign laws require biotechnology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and foreign laws may require biotechnology companies to report information on the pricing of certain drug products. Some state and local laws may require the registration of pharmaceutical sales representatives.</w:t>
      </w:r>
    </w:p>
    <w:p>
      <w:pPr>
        <w:spacing w:after="0" w:line="16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or comparable foreign programs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government-funded healthcare programs.</w:t>
      </w:r>
    </w:p>
    <w:p>
      <w:pPr>
        <w:spacing w:after="0" w:line="17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We and the third parties with whom we work are subject to stringent and evolving U.S. and foreign laws, regulations, rules, contractual obligations, policies and other obligations related to data privacy and security. Our (or third parties with whom we work)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ordinary course of business,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data we collect about trial participants in connection with clinical trials and sensitive third-party data.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many of which differ from each other in significant ways and often are not preempted by HIPAA, thus complicating compliance efforts.</w:t>
      </w:r>
    </w:p>
    <w:p>
      <w:pPr>
        <w:spacing w:after="0" w:line="1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Outside the United States, an increasing number of laws, regulations, and industry standards govern data privacy and security. For example, the GDPR imposes strict requirements for processing personal data including the collection and use of health data. For example, under the GDPR, companies may face temporary or definitive bans on data processing and other corrective actions; fines of up to 20 million Euros under the EU GDPR, 17.5 million British Pounds under the UK GDPR or, in each case, 4% of annual global revenue, whichever is higher; or private litigation related to processing of personal data brought by classes of data subjects or consumer protection organizations authorized at law to represent their interests.</w:t>
      </w:r>
    </w:p>
    <w:p>
      <w:pPr>
        <w:spacing w:after="0" w:line="16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are considered ‘inadequate’. Other jurisdictions may adopt or have already adopted similarly stringent data localization and cross-border data transfer laws. Although there are currently various mechanisms that may be used to effect such cross-border transfers of personal data in compliance with the EU GDPR and UK GDPR, such as the European Commission’s ‘Standard Contractual Clauses’, the United Kingdom’s ‘International Data Transfer Agreement / Addendum’, and the EU-U.S. Data Privacy Framework and the UK Extension thereto (which allows for transfers for relevant U.S.-based organizations who self-certify compliance and participate in the Framework), all such mechanisms are subject to legal challenges, and there is no assurance that we can always satisfy or rely on these mechanisms to lawfully effect cross-border transfers of personal data where required. If there is no lawful manner for us to effect or be the recipient of cross-border transfers of personal data in compliance with the GDPR, and/or other applicable data privacy and security obligations, or if the requirements for a 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ordered certain companies to suspend or permanently cease certain transfers of personal data to recipients outside the EEA for allegedly violating the EU GDPR’s cross-border data transfer limitations. Additionally, companies that transfer personal data to recipients outside of the EEA and/or UK to other jurisdictions, particularly to the United States, are subject to increased scrutiny from regulators individual litigants and activist groups.</w:t>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 The CCPA and other comprehensive U.S. state privacy laws exempt some data processed in the context of clinical trials, but these developments may further complicate compliance efforts, and increase legal risk and compliance costs for us, the third parties with whom we work.</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Additionally, the California Privacy Rights Act (CPRA) significantly modified the CCPA, including by expanding consumers’ rights with respect to certain sensitive personal information. The CPRA also created a new state agency that will be vested with authority to implement and enforce the CCPA and the CPRA. In addition, numerous states have passed comprehensive privacy laws that have gone or will go into effect. While some of these state laws, like the CCPA, exempt some data processed in the context of clinical trials, these laws demonstrate our vulnerability to the evolving regulatory environment related to personal information and make it difficult to predict the impact of such laws on our business or operations. Aspects of these state privacy statutes remain unclear, resulting in further legal uncertainty and potentially requiring us to modify our data practices and policies and to incur substantial additional costs and expenses in an effort to comply.</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are also bound, and may in the future become bound, by contractual obligations related to data privacy and security, and our efforts to comply with such obligations may not be successful. Moreover, we publish privacy policies and other statements, such as compliance with certain certifications or self-regulatory principles, regarding data privacy and security. If these policies or statements are found to be deficient, lacking in transparency, deceptive, unfair, or misrepresentative of our practices, we may be subject to investigation, enforcement actions by regulators or other adverse consequences.</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financial condition, results of operations and prospects.</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Any actual or perceived failure by us or the third parties with whom we work to comply with these laws, regulations, or other obligations would lead to significant consequences, including but not limited to fines, penalties, regulatory investigations, lawsuits, significant costs for remediation, damage to our reputation, bans on processing personal data, orders to destroy or not use personal data, or other liabilities. In particular, plaintiffs have become increasingly more active in bringing privacy-related claims against companies, including class claims and mass arbitration demands. Some of these claims allow for the recovery of statutory damages on a per-violation basis, and, if viable, carry the potential for monumental statutory damages, depending on the volume of data and the number of violations.</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employees and personnel may use generative AI technologies to perform their work, and the disclosure and use of personal information in generative AI technologies is subject to various privacy laws and other privacy obligations. Governments have passed and are likely to pass additional laws regulating generative AI, such as the EU AI Act. Our use of this technology could result in additional compliance costs, regulatory investigations and actions, and consumer lawsuits. If we are unable to use generative AI, it could make our business less efficient and result in competitive disadvantages.</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Complying with these various laws will cause us to incur substantial costs or require us to change our business practices and compliance procedures in a manner adverse to our business.</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Any inability to adequately address data privacy or security-related concerns, even if unfounded, or to comply with applicable laws, regulations, standards and other obligations relating to data privacy and security, could have a material adverse effect on our reputation, business, or financial condition, including but not limited to: interruptions or stoppages in our business operations (including, as relevant, clinical trials); inability to process personal data or to operate in certain jurisdictions; limited ability to develop or commercialize our products;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expenditure of time and resources to defend any claim or inquiry; adverse publicity; or substantial changes to our business model or operations. We attempt to mitigate the associated risks, but there is no assurance that privacy and security-related safeguards will protect us from all risks associated with the third-party processing, storage and transmission of such information.</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15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or other comparable foreign regulations, provide accurate information to the FDA or other comparable regulatory authorities, comply with federal and state health care fraud and abuse laws and regulations and comparable foreign requirements,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or comparable foreign programs, integrity oversight and reporting obligations, contractual damages, reputational harm, diminished profits and future earnings and the curtailment or restructuring of our operations.</w:t>
      </w:r>
    </w:p>
    <w:p>
      <w:pPr>
        <w:spacing w:after="0" w:line="18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significantly harm our business, financial condition, results of operations or prospects.</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Our business activities may be subject to the U.S. Foreign Corrupt Practices Act (FCPA)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16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we expand our operations outside of the United States, we must dedicate additional resources to comply with numerous laws and regulations in each jurisdiction in which we plan to operate. Our business activities may be subject to the FCPA and similar anti-bribery or anti-corruption laws, regulations or rules of other countries in which we operate. The FCPA generally prohibits companies and their employees and third-party intermediaries from offering, promising, giving or authorizing the provision of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owned and operated by the government, and doctors and other hospital employees would be considered foreign officials under the FCPA. Recently, the SEC and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 in one or more countries and could materially damage our reputation, our brand, our international activities, our ability to attract and retain employees and our business.</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our product and activities may be subject to U.S. and foreign export controls, trade sanctions and import laws and regulations. Governmental regulation of the import or export of our product, or our failure to obtain any required import or export authorization for our product, when applicable, could harm our international sales and adversely affect our revenue. Compliance with applicable regulatory requirements regarding the export of our product may create delays in the introduction of our product in international markets or, in some cases, prevent the export of our product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 targeted by such regulations, could result in decreased use of our product by, or in our decreased ability to export our product to existing or potential customers with international operations. Any decreased use of our product or limitation on our ability to export or sell access to our product would likely significantly harm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21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Unfavorable U.S. and global macroeconomic and geopolitical conditions could adversely affect our business, financial condition and results of operations.</w:t>
      </w:r>
    </w:p>
    <w:p>
      <w:pPr>
        <w:spacing w:after="0" w:line="139"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Our results of operations could be adversely affected by general conditions in the U.S. and global economies, the U.S. and global financial markets and adverse geopolitical and macroeconomic developments, including economic uncertainty, market volatility, labor shortages, recent and changing tariff policy announcements, tariffs, trade tensions and retaliatory measures by other countries, supply chain disruptions, the ongoing</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conflicts between Ukraine and Russia and in the Middle East, as well as any related political or economic responses and counter-responses or otherwise by various global actors, inflationary pressures, monetary supply shifts, increased recession risk, and related financial instability. U.S. and global market and economic conditions have been, and continue to be, disrupted and volatile due to many factors, including component shortages and related supply chain challenges, geopolitical developments, including the events noted above. General business and economic conditions that could affect our business, financial condition or results of operations include fluctuations in economic growth, debt and equity capital markets, liquidity of the global financial markets, the availability and cost of credit, investor and consumer confidence, and the strength of the economies in which we, our manufacturers and our suppliers operate.</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severe or prolonged global economic downturn could result in a variety of risks to our business. For example, inflation rates, particularly in the United States, recently increased to levels not seen in years,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further increasing economic uncertainty and heightening these risks. A weak or declining economy could also strain our manufacturers and other service providers in our supply chain, possibly resulting in supply disruption. Any of the foregoing could harm our business and we cannot anticipate all of the ways in which the current economic climate and financial market conditions could adversely impact our business.</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International trade policies, including tariffs, sanctions and trade barriers may adversely affect our business, financial condition, results of operations and prospects.</w:t>
      </w:r>
    </w:p>
    <w:p>
      <w:pPr>
        <w:spacing w:after="0" w:line="1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operate in a global economy, which includes utilizing third-party suppliers in countries outside of the United States. The current international trade and regulatory environment is subject to significant ongoing uncertainty.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U.S. government has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 The Bureau of Industry and Security, U.S. Department of Commerce, has initiated an investigation to determine whether pharmaceutical ingredients, including finished drug product, manufactured outside the United States pose a national security risk and should be subject to additional tariffs.</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do not own or operate, and currently have no plans to establish, any manufacturing facilities. We currently rely, and expect to continue to rely, on third parties for the manufacture of our product candidates for clinical testing, as well as for manufacture of any products that we may commercialize, if approved. We also rely on specialized laboratory equipment, supplies, materials, and precursor compounds, all or part of which we believe may be ultimately sourced from multiple countries outside the United States, to advance our research and development efforts.</w:t>
      </w:r>
    </w:p>
    <w:p>
      <w:pPr>
        <w:spacing w:after="0" w:line="17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Current or future tariffs will result in increased research and development expenses, including with respect to increased costs associated with APIs, raw materials, laboratory equipment and research materials and components. In addition, such tariffs will increase our supply chain complexity and could also potentially disrupt our existing supply chain. Unlike consumer goods, pharmaceuticals face unique regulatory constraints that make rapid supply chain adjustments particularly difficult and costly.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which among other factors, could negatively impact our ability to secure additional financing on favorable terms or at all. In addition, as we advance toward commercialization in the future, tariffs and trade restrictions could hinder our ability to establish cost-effective production capabilities and negative impact our growth prospects.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complexity of announced or future tariffs may also increase the risk that we or our collaborators, partners, vendors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on or increase the complexity to our business.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Quarterly Report on Form 10-Q and in our Annual Report on Form 10-K for the fiscal year ended December 31, 2024.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is highly dependent on our ability to attract and retain highly skilled executive officers and employees.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We are highly dependent on the management, research and development, clinical, financial and business development expertise of our executive officers, as well as the other members of our scientific and clinical teams.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Furthermore, although we have employment offer letters with each of our executive officers, each of them may terminate their employment with us at any time. We do not maintain “key person” insurance for any of our executives or employees.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palazestrant, OP-3136 or any other product candidate will be limited and the potential for successfully growing our business will be harmed.</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we are unable to establish sales or marketing capabilities or enter into agreements with third parties to sell or market palazestrant, OP-3136 or any product candidate we may develop in the future, we may not be able to successfully sell or market palazestrant, OP-3136 or any future product candidate we may develop that obtain regulatory approval.</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territories in which we may have approval to sell or market palazestrant, OP-3136 or any future product candidate we may develop. We may not be successful in accomplishing these required tasks.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Establishing an internal sales or marketing team with technical expertise and supporting distribution capabilities to commercialize palazestrant, OP-3136 or any product candidate we may develop in the future will be expensive and time-consuming, and will require significant attention of our executive officers to manage. Any failure or delay in the development of our internal sales, marketing and distribution capabilities could adversely impact the commercialization of palazestrant, OP-3136 or any product candidate we may develop in the future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palazestrant, OP-3136 or any product candidate we may develop in the future which may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1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never commercialized a product candidate, and we currently have no sales force, marketing or distribution capabilities. To achieve commercial success for a product candidate, which we may license to others, we will rely on the assistance and guidance of those collaborators. For any product candidates for which we retain commercialization rights, we will have to develop our own sales, marketing and supply organization or outsource these activities to a third party.</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Factors that may affect our ability to commercialize palazestrant, OP-3136 or any future product candidate we may develop, on our own include recruiting and retaining adequate numbers of effective sales and marketing personnel, obtaining access to or our failure to educate physicians on the benefits of prescribing or ordering palazestrant, OP-3136 or any future product candidates we may develop and other unforeseen costs associated with creating an independent sales and marketing organization. Developing a sales and marketing organization will be expensive and time-consuming and could delay the launch of palazestrant, OP-3136 or any future product candidate we may develop. We may not be able to build an effective sales and marketing organization. If we are unable to build our own distribution and marketing capabilities or to find suitable partners for the commercialization of palazestrant, OP-3136 or any future product candidate we may develop, we may not generate revenues from such product candidate or be able to reach or sustain profitability.</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1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September 30, 2025, we had 122 full-time employees, consisting of clinical, research, operations, regulatory, and administrative personnel. Thirty-eight of our employees hold Ph.D. or M.D. degrees. In order to successfully implement our development and commercialization plans and strategies, we expect to need additional managerial, operational, sales, marketing, financial and other personnel. Future growth would impose significant added responsibilities on members of management, including:</w:t>
      </w:r>
    </w:p>
    <w:p>
      <w:pPr>
        <w:spacing w:after="0" w:line="174"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231F20"/>
        </w:rPr>
      </w:pPr>
      <w:r>
        <w:rPr>
          <w:rFonts w:ascii="Arial" w:cs="Arial" w:eastAsia="Arial" w:hAnsi="Arial"/>
          <w:sz w:val="18"/>
          <w:szCs w:val="18"/>
          <w:color w:val="231F20"/>
        </w:rPr>
        <w:t>identifying, recruiting, integrating, maintaining and motivating additional employees;</w:t>
      </w:r>
    </w:p>
    <w:p>
      <w:pPr>
        <w:spacing w:after="0" w:line="224" w:lineRule="exact"/>
        <w:rPr>
          <w:rFonts w:ascii="Times New Roman" w:cs="Times New Roman" w:eastAsia="Times New Roman" w:hAnsi="Times New Roman"/>
          <w:sz w:val="18"/>
          <w:szCs w:val="18"/>
          <w:color w:val="231F20"/>
        </w:rPr>
      </w:pPr>
    </w:p>
    <w:p>
      <w:pPr>
        <w:jc w:val="both"/>
        <w:ind w:left="760" w:hanging="378"/>
        <w:spacing w:after="0" w:line="252" w:lineRule="auto"/>
        <w:tabs>
          <w:tab w:leader="none" w:pos="760" w:val="left"/>
        </w:tabs>
        <w:numPr>
          <w:ilvl w:val="0"/>
          <w:numId w:val="36"/>
        </w:numPr>
        <w:rPr>
          <w:rFonts w:ascii="Times New Roman" w:cs="Times New Roman" w:eastAsia="Times New Roman" w:hAnsi="Times New Roman"/>
          <w:sz w:val="18"/>
          <w:szCs w:val="18"/>
          <w:color w:val="231F20"/>
        </w:rPr>
      </w:pPr>
      <w:r>
        <w:rPr>
          <w:rFonts w:ascii="Arial" w:cs="Arial" w:eastAsia="Arial" w:hAnsi="Arial"/>
          <w:sz w:val="18"/>
          <w:szCs w:val="18"/>
          <w:color w:val="231F20"/>
        </w:rPr>
        <w:t>managing our internal development efforts effectively, including the clinical, FDA, EMA and other comparable foreign regulatory authorities’ review process for palazestrant, OP-3136 and any other future product candidates we may develop, while complying with any contractual obligations to contractors and other third parties we may have; and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231F20"/>
        </w:rPr>
      </w:pPr>
      <w:r>
        <w:rPr>
          <w:rFonts w:ascii="Arial" w:cs="Arial" w:eastAsia="Arial" w:hAnsi="Arial"/>
          <w:sz w:val="18"/>
          <w:szCs w:val="18"/>
          <w:color w:val="231F20"/>
        </w:rPr>
        <w:t>improving our operational, financial and management controls, reporting systems and procedures.</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we expect to be conducting multiple clinical trials of palazestrant for several different indications as well as clinical trials for OP-3136 concurrently. Given the small size of our organization, we may encounter difficulties managing multiple clinical trials at the same time, which could negatively affect our ability to manage growth of our organization, particularly as we take on additional responsibility associated with being a public company. Our future financial performance and our ability to successfully develop and, if approved, commercialize, palazestrant, OP-3136 and any other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palazestrant, OP-3136 and any other future product candidates we may develop or otherwise advance our business. We cannot assure you that we will be able to manage our existing third-party service providers or find other competent outside contractors and consultants on economically reasonable terms, or at all.</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palazestrant, OP-3136 and any other future product candidates we may develop and, accordingly, may not achieve our research, development and commercialization goals.</w:t>
      </w:r>
    </w:p>
    <w:p>
      <w:pPr>
        <w:spacing w:after="0" w:line="1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If our information technology systems or those of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or other adverse consequences.</w:t>
      </w:r>
    </w:p>
    <w:p>
      <w:pPr>
        <w:spacing w:after="0" w:line="15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the ordinary course of our business, we and the third parties with whom we work, collect, receive, store, process, generate, use, transfer, disclose, make accessible, protect, secure, dispose of, transmit, and share (collectively, process) proprietary, confidential, and sensitive data, including personal data (such as health-related data), intellectual property, trade secrets (collectively, sensitive information). Cyber-attacks, malicious internet-based activity, online and offline fraud, outages,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with whom we work, would be vulnerable to a heightened risk of these attacks, including retaliatory cyber-attacks, that could materially disrupt our systems and operations.</w:t>
      </w:r>
    </w:p>
    <w:p>
      <w:pPr>
        <w:spacing w:after="0" w:line="17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and the third parties with whom we work are subject to a variety of evolving threats, including but not limited to social-engineering attacks (including through deep fakes, which are increasingly more difficult to identify as fake, and phishing attacks), malicious code (such as viruses and worms), malware (including as a result of advanced persistent threat intrusions), denial-of-service attacks, credential stuffing attacks, credential harvesting, intentional misconduct or unconventional error by those with authorized access, ransomware attacks, supply-chain attacks, software bugs, server malfunctions, software or hardware failures, loss of data or other information technology assets, adware, telecommunications failures, attacks enhanced or facilitated by AI, and other similar threats. In particular, severe ransomware attacks are becoming increasingly prevalent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rely on third-party service providers and technologies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spacing w:after="0" w:line="13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unavailability of, or access to our sensitive information or our information technology systems, or those of the third parties upon whom we rely. Despite the implementation of preventative and detective security measures, our internal computer systems and those of our current and any future CROs and other contractors, consultants, collaborators and third-party service providers that process our sensitive information, there can be no assurance that these measures will be effective.</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not able to anticipate all types of security incidents, and we cannot implement preventive measures effective against all such security incidents. A security incident or other interruption could disrupt our ability (and that of third parties upon whom we rely) to run our business. We could expend significant resources or modify our business activities (including our clinical trial activities) to try to protect against security incidents. Certain data privacy and security obligations may require us to implement and maintain specific security measures or industry-standard or reasonable security measures to protect our information technology systems and sensitive information. We have in the past and may in the future be subject to security incidents. For instance, we have had company laptops containing corporate information stolen from company offices, though none of such instances have been material or caused material harm due to encryption and device security practices.</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Additionally, the loss or compromise of clinical trial data from completed or future clinical trials could result in delays or revocation of our regulatory approval efforts and significantly increase our costs to recover or reproduce the lost data. We also rely on third parties to manufacture palazestrant, and similar events relating to their computer systems could also have a material adverse effect on our business. We may have insufficient recourse against such third parties, and we may have to expend significant resources to mitigate the impact of such an event, to develop and implement protections to prevent future events of this nature from occurring, and to address other related concerns or issues. To the extent that any disruption or security breach were to result in a loss of, or damage to, our data, or inappropriate disclosure of confidential or proprietary information, we could be exposed to litigation and governmental investigations, the further development and commercialization of palazestrant or OP-3136 could be delayed, and we could be subject to significant fines or penalties for any noncompliance with certain state, federal and/or international privacy and security laws.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Applicable data privacy and security obligations require us to notify relevant stakeholders, including affected individuals, customers, regulators, and investors, of security incidents.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81"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EU drug marketing and reimbursement regulations may materially affect our ability to market and receive coverage for our product in the EU Member States.</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intend to seek approval to market palazestrant or OP-3136 in both the United States and in selected foreign jurisdictions. If we obtain approval in one or more foreign jurisdictions for palazestrant or OP-3136, we will be subject to rules and regulations in those jurisdictions. In some foreign countries, particularly those in the EU, the pricing of drugs is subject to governmental control and other market regulations, which could put pressure on the pricing and usage of palazestrant or OP-3136. In these countries, pricing negotiations with governmental authorities can take considerable time after obtaining marketing approval of a product candidate. In addition, market acceptance and sales of palazestrant or OP-3136 will depend significantly on the availability of adequate coverage and reimbursement from third-party payors for palazestrant or OP-3136 and may be affected by existing and future healthcare reform measures.</w:t>
      </w:r>
    </w:p>
    <w:p>
      <w:pPr>
        <w:spacing w:after="0" w:line="18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Moreover, in most foreign countries, including a number of EU Member States, the proposed pricing for a drug must be approved before it may be lawfully marketed. The requirements governing drug pricing and reimbursement vary widely from country to country. For example, the EU provides options for EU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An EU Member State may approve a specific price for the medicinal product, or it may instead adopt a system of direct or indirect controls on the profitability of the company placing the medicinal product on the market. Many EU Member States also periodically review their reimbursement procedures for medicinal products, which could have an adverse impact on reimbursement status. Moreover, in order to obtain reimbursement for our products in some European countries, including some EU Member States, we may be required to compile additional data comparing the cost-effectiveness of our products to other available therapies. This Health Technology Assessment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Legislators, policymakers and healthcare insurance funds in the EU may continue to propose and implement cost-containing measures to keep healthcare costs down, particularly due to the financial strain that the COVID-19 pandemic placed on national healthcare systems of EU countries. These measures could include limitations on the prices we would be able to charge for product candidates that we may successfully develop and for which we may obtain regulatory approval or the level of reimbursement available for these products from governmental authorities or third-party payors. Further, an increasing number of EU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operations, and those of our suppliers, CMOs, CROs and other contractors and consultants, could be subject to earthquakes, power shortages, telecommunications failures, water shortages, floods, hurricanes,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typhoons, fires, extreme weather conditions, public health pandemics or epidemics, and other natural or man-made disasters or business interruptions, for which we are predominantly self-insured. The occurrence of any of these business disruptions could seriously harm our operations, increase our costs and expenses and significantly harm our business, financial condition, results of operations and prospects.</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ability to develop palazestrant, OP-3136 or any future product candidates we may develop could be disrupted if our operations or those of our suppliers are affected by man-made or natural disasters or other business interruptions. Our corporate headquarters are located in California near major earthquake faults and fire zones. The ultimate impact on us, our significant suppliers and our general infrastructure of being located near major earthquake faults and fire zones and being consolidated in certain geographical areas is unknown, but our operations and business could suffer in the event of a major earthquake, fire or other natural disaster.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net operating loss (NOL) carryforwards could expire unused and be unavailable to offset future income tax liabilities because of their limited duration or other restrictions. Under current U.S. federal tax law, federal NOL carryforwards generated in tax years ending on or prior to December 31, 2017, are only permitted to be carried forward for 20 taxable years and federal NOL carryforwards generated in tax years ending after December 31, 2017, may be carried forward indefinitely, but the deductibility of such federal NOL carryforwards is limited to 80% of current year taxable income. It is uncertain if and to what extent various states will conform to current U.S. federal tax law. For example, California recently enacted legislation that, with certain exceptions, suspends the ability to use California net operating losses to offset California income and limits the ability to use California business tax credits to offset California taxes, for taxable years beginning on or after January 1, 2024, and before January 1, 2027.</w:t>
      </w:r>
    </w:p>
    <w:p>
      <w:pPr>
        <w:spacing w:after="0" w:line="16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under Sections 382 and 383 of the Internal Revenue Code of 1986, as amended, if a corporation undergoes an “ownership change” (generally defined as a cumulative change in our ownership by “5 percent shareholders” that exceeds 50 percentage points over a rolling three-year period), the corporation’s ability to use its pre-change NOL carryforwards and certain other pre-change tax attributes to offset its post-change income and taxes may be limited. Similar rules may apply under state tax laws. We may have experienced such ownership changes in the past, and we may experience ownership changes in the future as a result of subsequent shifts in our stock ownership, some of which are outside our control. We have not conducted any studies to determine annual limitations, if any, that could result from such changes in the ownership. Our ability to utilize those NOL carryforwards could be limited by an “ownership change” as described above and, consequently, we may not be able to utilize a material portion of our NOL carryforwards and certain other tax attributes, which could have a material adverse effect on our cash flows and results of operations.</w:t>
      </w:r>
    </w:p>
    <w:p>
      <w:pPr>
        <w:spacing w:after="0" w:line="185"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A variety of risks associated with marketing palazestrant, OP-3136 or any future product candidate we may develop internationally could significantly harm our business, financial condition, results of operations and prospects.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plan to seek regulatory approval of palazestrant, OP-3136 or any future product candidates we may develop outside of the United States and, accordingly, we expect that we will be subject to additional risks related to operating in foreign countries if we obtain the necessary approvals, including:</w:t>
      </w:r>
    </w:p>
    <w:p>
      <w:pPr>
        <w:spacing w:after="0" w:line="169"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231F20"/>
        </w:rPr>
      </w:pPr>
      <w:r>
        <w:rPr>
          <w:rFonts w:ascii="Arial" w:cs="Arial" w:eastAsia="Arial" w:hAnsi="Arial"/>
          <w:sz w:val="18"/>
          <w:szCs w:val="18"/>
          <w:color w:val="231F20"/>
        </w:rPr>
        <w:t>differing regulatory requirements and reimbursement regimes in foreign countries;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231F20"/>
        </w:rPr>
      </w:pPr>
      <w:r>
        <w:rPr>
          <w:rFonts w:ascii="Arial" w:cs="Arial" w:eastAsia="Arial" w:hAnsi="Arial"/>
          <w:sz w:val="18"/>
          <w:szCs w:val="18"/>
          <w:color w:val="231F20"/>
        </w:rPr>
        <w:t>unexpected changes in tariffs, trade barriers, price and exchange controls and other regulatory requirements;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231F20"/>
        </w:rPr>
      </w:pPr>
      <w:r>
        <w:rPr>
          <w:rFonts w:ascii="Arial" w:cs="Arial" w:eastAsia="Arial" w:hAnsi="Arial"/>
          <w:sz w:val="18"/>
          <w:szCs w:val="18"/>
          <w:color w:val="231F20"/>
        </w:rPr>
        <w:t>economic weakness, including inflation, or political instability in particular foreign economies and markets;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231F20"/>
        </w:rPr>
      </w:pPr>
      <w:r>
        <w:rPr>
          <w:rFonts w:ascii="Arial" w:cs="Arial" w:eastAsia="Arial" w:hAnsi="Arial"/>
          <w:sz w:val="18"/>
          <w:szCs w:val="18"/>
          <w:color w:val="231F20"/>
        </w:rPr>
        <w:t>compliance with tax, employment, immigration and labor laws for employees living or traveling abroad;</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231F20"/>
        </w:rPr>
      </w:pPr>
      <w:r>
        <w:rPr>
          <w:rFonts w:ascii="Arial" w:cs="Arial" w:eastAsia="Arial" w:hAnsi="Arial"/>
          <w:sz w:val="18"/>
          <w:szCs w:val="18"/>
          <w:color w:val="231F20"/>
        </w:rPr>
        <w:t>foreign taxes, including withholding of payroll taxes;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60" w:hanging="378"/>
        <w:spacing w:after="0" w:line="270" w:lineRule="auto"/>
        <w:tabs>
          <w:tab w:leader="none" w:pos="760" w:val="left"/>
        </w:tabs>
        <w:numPr>
          <w:ilvl w:val="0"/>
          <w:numId w:val="39"/>
        </w:numPr>
        <w:rPr>
          <w:rFonts w:ascii="Times New Roman" w:cs="Times New Roman" w:eastAsia="Times New Roman" w:hAnsi="Times New Roman"/>
          <w:sz w:val="18"/>
          <w:szCs w:val="18"/>
          <w:color w:val="231F20"/>
        </w:rPr>
      </w:pPr>
      <w:r>
        <w:rPr>
          <w:rFonts w:ascii="Arial" w:cs="Arial" w:eastAsia="Arial" w:hAnsi="Arial"/>
          <w:sz w:val="18"/>
          <w:szCs w:val="18"/>
          <w:color w:val="231F20"/>
        </w:rPr>
        <w:t>foreign currency fluctuations, which could result in increased operating expenses and reduced revenue, and other obligations incident to doing business in another country;</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231F20"/>
        </w:rPr>
      </w:pPr>
      <w:r>
        <w:rPr>
          <w:rFonts w:ascii="Arial" w:cs="Arial" w:eastAsia="Arial" w:hAnsi="Arial"/>
          <w:sz w:val="18"/>
          <w:szCs w:val="18"/>
          <w:color w:val="231F20"/>
        </w:rPr>
        <w:t>difficulties staffing and managing foreign operations;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231F20"/>
        </w:rPr>
      </w:pPr>
      <w:r>
        <w:rPr>
          <w:rFonts w:ascii="Arial" w:cs="Arial" w:eastAsia="Arial" w:hAnsi="Arial"/>
          <w:sz w:val="18"/>
          <w:szCs w:val="18"/>
          <w:color w:val="231F20"/>
        </w:rPr>
        <w:t>workforce uncertainty in countries where labor unrest is more common than in the United States;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231F20"/>
        </w:rPr>
      </w:pPr>
      <w:r>
        <w:rPr>
          <w:rFonts w:ascii="Arial" w:cs="Arial" w:eastAsia="Arial" w:hAnsi="Arial"/>
          <w:sz w:val="18"/>
          <w:szCs w:val="18"/>
          <w:color w:val="231F20"/>
        </w:rPr>
        <w:t>potential liability under the FCPA or comparable foreign regulations;</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39"/>
        </w:numPr>
        <w:rPr>
          <w:rFonts w:ascii="Times New Roman" w:cs="Times New Roman" w:eastAsia="Times New Roman" w:hAnsi="Times New Roman"/>
          <w:sz w:val="18"/>
          <w:szCs w:val="18"/>
          <w:color w:val="231F20"/>
        </w:rPr>
      </w:pPr>
      <w:r>
        <w:rPr>
          <w:rFonts w:ascii="Arial" w:cs="Arial" w:eastAsia="Arial" w:hAnsi="Arial"/>
          <w:sz w:val="18"/>
          <w:szCs w:val="18"/>
          <w:color w:val="231F20"/>
        </w:rPr>
        <w:t>challenges enforcing our contractual and intellectual property rights, especially in those foreign countries that do not respect and protect intellectual property rights to the same extent as the United States;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231F20"/>
        </w:rPr>
      </w:pPr>
      <w:r>
        <w:rPr>
          <w:rFonts w:ascii="Arial" w:cs="Arial" w:eastAsia="Arial" w:hAnsi="Arial"/>
          <w:sz w:val="18"/>
          <w:szCs w:val="18"/>
          <w:color w:val="231F20"/>
        </w:rPr>
        <w:t>production shortages resulting from any events affecting raw material supply or manufacturing capabilities abroad; and</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231F20"/>
        </w:rPr>
      </w:pPr>
      <w:r>
        <w:rPr>
          <w:rFonts w:ascii="Arial" w:cs="Arial" w:eastAsia="Arial" w:hAnsi="Arial"/>
          <w:sz w:val="18"/>
          <w:szCs w:val="18"/>
          <w:color w:val="231F20"/>
        </w:rPr>
        <w:t>business interruptions resulting from geo-political actions, including war and terrorism.</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These and other risks associated with our international operations may significantly harm our business, financial condition, results of operations and prospects.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commercial success depends in part on our ability to obtain and maintain proprietary or intellectual property protection in the United States and other countries for palazestrant, OP-3136 and any future product candidates that we may develop and technologies related to their various uses. We generally seek to protect our proprietary position by, among other things, filing patent applications in the United States and abroad related to palazestrant, OP-3136, our proprietary technologies, and their manufacture and uses that are important to our business, as well as inventions and improvements that are important to the development and implementation of our business. We also rely on trade secrets, know-how and continuing technological innovation to develop and maintain our proprietary and intellectual property position. We may also seek to protect our proprietary position by acquiring or in-licensing relevant issued patents or pending applications from third parties. If we or our potential licensors are unable to obtain or maintain patent protection with respect to palazestrant, OP-3136, proprietary technologies and their uses, our business, financial condition, results of operations and prospects could be significantly harmed.</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Moreover, in the future, some of our owned patents and patent applications, or any future licensed patents or patent applications, may be co-owned with third parties. If we are unable to obtain exclusive licenses to any such co-owners’ interest in such patents or patent applications, then such co-owners may be able to license their rights to other third parties, including our competitors, and our competitors could market competing products and technology. In addition, we may need the cooperation of any such co-owners to enforce such patents against third parties, and such cooperation may not be provided to us.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before various patent offices or in courts. Thus, the degree of future protection for our proprietary rights is uncertain. Only limited protection may be available and may not adequately protect our</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rights or permit us to gain or keep any competitive advantage. These uncertainties and/or limitations in our ability to properly protect the intellectual property rights relating to palazestrant, OP-3136 or any future product candidates we may develop could significantly harm our business, financial condition, results of operations and prospects.</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cannot be certain that the claims in our U.S. pending patent applications, and corresponding international patent applications, will be considered patentable by the United States Patent and Trademark Office (USPTO) courts in the United States or by the patent offices and courts in foreign countries, nor can we be certain that the claims in our issued patent(s) will not be found invalid or unenforceable if challenged.</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palazestrant, OP-3136 or any future product candidates we may develop by obtaining and defending patents. These risks and uncertainties include the following:</w:t>
      </w:r>
    </w:p>
    <w:p>
      <w:pPr>
        <w:spacing w:after="0" w:line="169" w:lineRule="exact"/>
        <w:rPr>
          <w:sz w:val="20"/>
          <w:szCs w:val="20"/>
          <w:color w:val="auto"/>
        </w:rPr>
      </w:pPr>
    </w:p>
    <w:p>
      <w:pPr>
        <w:jc w:val="both"/>
        <w:ind w:left="760" w:hanging="378"/>
        <w:spacing w:after="0" w:line="252" w:lineRule="auto"/>
        <w:tabs>
          <w:tab w:leader="none" w:pos="760" w:val="left"/>
        </w:tabs>
        <w:numPr>
          <w:ilvl w:val="0"/>
          <w:numId w:val="40"/>
        </w:numPr>
        <w:rPr>
          <w:rFonts w:ascii="Times New Roman" w:cs="Times New Roman" w:eastAsia="Times New Roman" w:hAnsi="Times New Roman"/>
          <w:sz w:val="18"/>
          <w:szCs w:val="18"/>
          <w:color w:val="231F20"/>
        </w:rPr>
      </w:pPr>
      <w:r>
        <w:rPr>
          <w:rFonts w:ascii="Arial" w:cs="Arial" w:eastAsia="Arial" w:hAnsi="Arial"/>
          <w:sz w:val="18"/>
          <w:szCs w:val="18"/>
          <w:color w:val="231F20"/>
        </w:rPr>
        <w:t>patent applications must be filed in advance of certain events (</w:t>
      </w:r>
      <w:r>
        <w:rPr>
          <w:rFonts w:ascii="Arial" w:cs="Arial" w:eastAsia="Arial" w:hAnsi="Arial"/>
          <w:sz w:val="18"/>
          <w:szCs w:val="18"/>
          <w:i w:val="1"/>
          <w:iCs w:val="1"/>
          <w:color w:val="231F20"/>
        </w:rPr>
        <w:t>e.g.,</w:t>
      </w:r>
      <w:r>
        <w:rPr>
          <w:rFonts w:ascii="Arial" w:cs="Arial" w:eastAsia="Arial" w:hAnsi="Arial"/>
          <w:sz w:val="18"/>
          <w:szCs w:val="18"/>
          <w:color w:val="231F20"/>
        </w:rPr>
        <w:t xml:space="preserve"> third party filings, certain sales or offers for sale, or other activities that might be legally deemed to be public disclosures) and we might not be aware of such events or otherwise might not succeed in filing applications before they occur;</w:t>
      </w:r>
    </w:p>
    <w:p>
      <w:pPr>
        <w:spacing w:after="0" w:line="170" w:lineRule="exact"/>
        <w:rPr>
          <w:rFonts w:ascii="Times New Roman" w:cs="Times New Roman" w:eastAsia="Times New Roman" w:hAnsi="Times New Roman"/>
          <w:sz w:val="18"/>
          <w:szCs w:val="18"/>
          <w:color w:val="231F20"/>
        </w:rPr>
      </w:pPr>
    </w:p>
    <w:p>
      <w:pPr>
        <w:jc w:val="both"/>
        <w:ind w:left="760" w:hanging="378"/>
        <w:spacing w:after="0" w:line="252" w:lineRule="auto"/>
        <w:tabs>
          <w:tab w:leader="none" w:pos="760" w:val="left"/>
        </w:tabs>
        <w:numPr>
          <w:ilvl w:val="0"/>
          <w:numId w:val="40"/>
        </w:numPr>
        <w:rPr>
          <w:rFonts w:ascii="Times New Roman" w:cs="Times New Roman" w:eastAsia="Times New Roman" w:hAnsi="Times New Roman"/>
          <w:sz w:val="18"/>
          <w:szCs w:val="18"/>
          <w:color w:val="231F20"/>
        </w:rPr>
      </w:pPr>
      <w:r>
        <w:rPr>
          <w:rFonts w:ascii="Arial" w:cs="Arial" w:eastAsia="Arial" w:hAnsi="Arial"/>
          <w:sz w:val="18"/>
          <w:szCs w:val="18"/>
          <w:color w:val="231F20"/>
        </w:rPr>
        <w:t>the USPTO and various foreign governmental patent authorities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70"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231F20"/>
        </w:rPr>
      </w:pPr>
      <w:r>
        <w:rPr>
          <w:rFonts w:ascii="Arial" w:cs="Arial" w:eastAsia="Arial" w:hAnsi="Arial"/>
          <w:sz w:val="18"/>
          <w:szCs w:val="18"/>
          <w:color w:val="231F20"/>
        </w:rPr>
        <w:t>patent applications may not result in any patents being issued;</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0"/>
        </w:numPr>
        <w:rPr>
          <w:rFonts w:ascii="Times New Roman" w:cs="Times New Roman" w:eastAsia="Times New Roman" w:hAnsi="Times New Roman"/>
          <w:sz w:val="18"/>
          <w:szCs w:val="18"/>
          <w:color w:val="231F20"/>
        </w:rPr>
      </w:pPr>
      <w:r>
        <w:rPr>
          <w:rFonts w:ascii="Arial" w:cs="Arial" w:eastAsia="Arial" w:hAnsi="Arial"/>
          <w:sz w:val="18"/>
          <w:szCs w:val="18"/>
          <w:color w:val="231F20"/>
        </w:rPr>
        <w:t>patents may be challenged, invalidated, modified, revoked, circumvented, found to be unenforceable or otherwise may not provide any competitive advantage;</w:t>
      </w:r>
    </w:p>
    <w:p>
      <w:pPr>
        <w:spacing w:after="0" w:line="15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40"/>
        </w:numPr>
        <w:rPr>
          <w:rFonts w:ascii="Times New Roman" w:cs="Times New Roman" w:eastAsia="Times New Roman" w:hAnsi="Times New Roman"/>
          <w:sz w:val="18"/>
          <w:szCs w:val="18"/>
          <w:color w:val="231F20"/>
        </w:rPr>
      </w:pPr>
      <w:r>
        <w:rPr>
          <w:rFonts w:ascii="Arial" w:cs="Arial" w:eastAsia="Arial" w:hAnsi="Arial"/>
          <w:sz w:val="18"/>
          <w:szCs w:val="18"/>
          <w:color w:val="231F20"/>
        </w:rPr>
        <w:t>there may be significant pressure on the U.S. government and international governmental bodies to limit the scope of patent protection both inside and outside the United States; and</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0"/>
        </w:numPr>
        <w:rPr>
          <w:rFonts w:ascii="Times New Roman" w:cs="Times New Roman" w:eastAsia="Times New Roman" w:hAnsi="Times New Roman"/>
          <w:sz w:val="18"/>
          <w:szCs w:val="18"/>
          <w:color w:val="231F20"/>
        </w:rPr>
      </w:pPr>
      <w:r>
        <w:rPr>
          <w:rFonts w:ascii="Arial" w:cs="Arial" w:eastAsia="Arial" w:hAnsi="Arial"/>
          <w:sz w:val="18"/>
          <w:szCs w:val="18"/>
          <w:color w:val="231F20"/>
        </w:rPr>
        <w:t>countries other than the United States may have patent laws less favorable to patentees than those upheld by U.S. courts, allowing foreign competitors a better opportunity to create, develop and market competing product candidates.</w:t>
      </w:r>
    </w:p>
    <w:p>
      <w:pPr>
        <w:spacing w:after="0" w:line="15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patent prosecution process is also expensive, time-consuming and complex, and we may not be able to file, prosecute, maintain, enforce or license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for example, if patentable aspects are publicly disclosed, by us or a third party, such as by public use, sale or offer for sale, or publication.</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 Further, although we require our employees, commercial contractors, and certain consultants and investigators to enter into invention assignment agreements that grant us ownership of any discoveries or inventions made by them while in our employ, we cannot guarantee that we have entered into such agreements with each party, we cannot provide any assurances that all such agreements have been duly executed, and any of these parties may breach such agreements and claim ownership in intellectual property that we believe is owned by us.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any licensed patents or pending patent applications, or that we were the first to file for patent protection of such inventions.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Should any of the above events occur, it could significantly harm our business, financial condition, results of operations and prospects.</w:t>
      </w:r>
    </w:p>
    <w:p>
      <w:pPr>
        <w:spacing w:after="0" w:line="176"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patent positions of biopharmaceutical companies generally are highly uncertain, involve complex legal and factual questions for which important legal principles remain unsolved and have been the subject of much litigation in recent years. As a result, the issuance, scope, validity, enforceability and commercial value of our patent rights are highly uncertain. Our pending and future patent applications may not result in patents being issued which protect palazestrant or OP-3136 or which effectively prevent others from commercializing competitive technologies and product candidates.</w:t>
      </w:r>
    </w:p>
    <w:p>
      <w:pPr>
        <w:spacing w:after="0" w:line="17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Moreover, the coverage claimed in a patent application can be significantly reduced before a patent is issued, and its scope can be reinterpreted after issuance. Legal standards relating to valid and enforceable claim scope are unsettled in the United States and elsewhere and disputes challenging or re-defining scope are common in the biopharmaceutical industry.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palazestrant, OP-3136 or any future product candidates we may develop will be protectable or remain protected by valid and enforceable patents. Our competitors or other third parties may be able to circumvent our patents by developing similar or alternative technologies or products in a non-infringing manner which could significantly harm our business, financial condition, results of operations and prospects.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patents may be challenged in the courts or patent offices in the United States and abroad.</w:t>
      </w:r>
    </w:p>
    <w:p>
      <w:pPr>
        <w:spacing w:after="0" w:line="1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process by which patent applications are examined and considered for issuance as patents involves consideration by the relevant patent office of “prior art” relative to the invented technology. Different countries have different rules about what information or events can be considered “prior art,” and different requirements regarding when a patent application must be filed relative to any particular piece of potential prior art. Moreover, legal decisions can re-interpret or change whether particular information or events are considered to be “prior art.” Still further, in the United States, patent applicants are required to notify the USPTO of any material “prior art” of which they are aware for the patent examiner to consider in addition to independent searches that the patent examiner is required to do. Also, in the United States and certain other jurisdictions, third parties are entitled to submit prior art to patent offices for consideration during examination.</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may not be aware of certain relevant prior art, may fail to identify or timely cite certain prior art, or may not be able to convince a patent examiner that our patent(s) should issue in light of the art. Also, we cannot be certain that all relevant art will be identified during examination of a patent application so that, even if a patent issues, it may be susceptible to challenge that it is not valid over art that was not considered during its examination.</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may be subject to a third-party pre-issuance submission of prior art to the USPTO or other jurisdictions, or become involved in post-grant challenges such as opposition, derivation, revocation, reexamination, post-grant review (PGR) and inter partes review (IPR), or other similar proceedings, or in litigation, challenging our patent rights, including by challenging the validity or the claim of priority of our patents. An adverse determination in any such submission, proceeding or litigation could reduce the scope of, or invalidate or render unenforceable, our patent rights, allow third parties to commercialize palazestrant, OP-3136 or any future product candidates we may develop and compete directly with us, without payment to us. Such challenges may result in loss of patent rights, loss of exclusivity or in patent claims being narrowed, invalidated or held unenforceable, which</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could limit our ability to stop others from using or commercializing similar or identical technology and products, or limit the duration of the patent protection of palazestrant, OP-3136 or any future product candidates we may develop. The outcome following legal assertions of invalidity and unenforceability is unpredictable. With respect to the validity question, for example, we cannot be certain that there is no invalidating prior art, including art of which we were unaware, and art which was not raised during prosecution of any of our patent applications. If a third party were to prevail on a legal assertion of invalidity or unenforceability, we would lose at least part, and perhaps all, of the patent protection on our technology or platform, or any product candidates that we may develop. Such a loss of patent protection would significantly impact our business, financial condition, results of operations and prospects.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 or could embolden competitors to launch products or take other steps that could disadvantage us in the marketplace or draw us into additional expensive and time-consuming disputes. Should any of these events occur, it could significantly harm our business, financial condition, results of operations and prospects.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54"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231F20"/>
        </w:rPr>
      </w:pPr>
      <w:r>
        <w:rPr>
          <w:rFonts w:ascii="Arial" w:cs="Arial" w:eastAsia="Arial" w:hAnsi="Arial"/>
          <w:sz w:val="18"/>
          <w:szCs w:val="18"/>
          <w:color w:val="231F20"/>
        </w:rPr>
        <w:t>we may not be able to detect infringement of our issued patents;</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1"/>
        </w:numPr>
        <w:rPr>
          <w:rFonts w:ascii="Times New Roman" w:cs="Times New Roman" w:eastAsia="Times New Roman" w:hAnsi="Times New Roman"/>
          <w:sz w:val="18"/>
          <w:szCs w:val="18"/>
          <w:color w:val="231F20"/>
        </w:rPr>
      </w:pPr>
      <w:r>
        <w:rPr>
          <w:rFonts w:ascii="Arial" w:cs="Arial" w:eastAsia="Arial" w:hAnsi="Arial"/>
          <w:sz w:val="18"/>
          <w:szCs w:val="18"/>
          <w:color w:val="231F20"/>
        </w:rPr>
        <w:t>others may be able to develop products that are similar to palazestrant, or any future product candidates we may develop, but that are not covered by the claims of the patents that we may in-license in the future or own;</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1"/>
        </w:numPr>
        <w:rPr>
          <w:rFonts w:ascii="Times New Roman" w:cs="Times New Roman" w:eastAsia="Times New Roman" w:hAnsi="Times New Roman"/>
          <w:sz w:val="18"/>
          <w:szCs w:val="18"/>
          <w:color w:val="231F20"/>
        </w:rPr>
      </w:pPr>
      <w:r>
        <w:rPr>
          <w:rFonts w:ascii="Arial" w:cs="Arial" w:eastAsia="Arial" w:hAnsi="Arial"/>
          <w:sz w:val="18"/>
          <w:szCs w:val="18"/>
          <w:color w:val="231F20"/>
        </w:rPr>
        <w:t>our competitors may seek or may have already obtained patents that will limit, interfere with or eliminate our ability to make, use and sell palazestrant or any future product candidates we may develop;</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1"/>
        </w:numPr>
        <w:rPr>
          <w:rFonts w:ascii="Times New Roman" w:cs="Times New Roman" w:eastAsia="Times New Roman" w:hAnsi="Times New Roman"/>
          <w:sz w:val="18"/>
          <w:szCs w:val="18"/>
          <w:color w:val="231F20"/>
        </w:rPr>
      </w:pPr>
      <w:r>
        <w:rPr>
          <w:rFonts w:ascii="Arial" w:cs="Arial" w:eastAsia="Arial" w:hAnsi="Arial"/>
          <w:sz w:val="18"/>
          <w:szCs w:val="18"/>
          <w:color w:val="231F20"/>
        </w:rPr>
        <w:t>we, or our current or future collaborators or license partners, might not have been the first to make the inventions covered by the issued patents or patent application that we may in-license in the future or own;</w:t>
      </w:r>
    </w:p>
    <w:p>
      <w:pPr>
        <w:spacing w:after="0" w:line="15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41"/>
        </w:numPr>
        <w:rPr>
          <w:rFonts w:ascii="Times New Roman" w:cs="Times New Roman" w:eastAsia="Times New Roman" w:hAnsi="Times New Roman"/>
          <w:sz w:val="18"/>
          <w:szCs w:val="18"/>
          <w:color w:val="231F20"/>
        </w:rPr>
      </w:pPr>
      <w:r>
        <w:rPr>
          <w:rFonts w:ascii="Arial" w:cs="Arial" w:eastAsia="Arial" w:hAnsi="Arial"/>
          <w:sz w:val="18"/>
          <w:szCs w:val="18"/>
          <w:color w:val="231F20"/>
        </w:rPr>
        <w:t>we, or our current or future collaborators or license partners, might be found not have been the first to file patent applications covering certain of our or their inventions;</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1"/>
        </w:numPr>
        <w:rPr>
          <w:rFonts w:ascii="Times New Roman" w:cs="Times New Roman" w:eastAsia="Times New Roman" w:hAnsi="Times New Roman"/>
          <w:sz w:val="18"/>
          <w:szCs w:val="18"/>
          <w:color w:val="231F20"/>
        </w:rPr>
      </w:pPr>
      <w:r>
        <w:rPr>
          <w:rFonts w:ascii="Arial" w:cs="Arial" w:eastAsia="Arial" w:hAnsi="Arial"/>
          <w:sz w:val="18"/>
          <w:szCs w:val="18"/>
          <w:color w:val="231F20"/>
        </w:rPr>
        <w:t>others may independently develop similar or alternative technologies or duplicate any of our technologies without infringing our intellectual property rights;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231F20"/>
        </w:rPr>
      </w:pPr>
      <w:r>
        <w:rPr>
          <w:rFonts w:ascii="Arial" w:cs="Arial" w:eastAsia="Arial" w:hAnsi="Arial"/>
          <w:sz w:val="18"/>
          <w:szCs w:val="18"/>
          <w:color w:val="231F20"/>
        </w:rPr>
        <w:t>it is possible that the pending patent applications we may in-license in the future or own will not lead to issued patents;</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1"/>
        </w:numPr>
        <w:rPr>
          <w:rFonts w:ascii="Times New Roman" w:cs="Times New Roman" w:eastAsia="Times New Roman" w:hAnsi="Times New Roman"/>
          <w:sz w:val="18"/>
          <w:szCs w:val="18"/>
          <w:color w:val="231F20"/>
        </w:rPr>
      </w:pPr>
      <w:r>
        <w:rPr>
          <w:rFonts w:ascii="Arial" w:cs="Arial" w:eastAsia="Arial" w:hAnsi="Arial"/>
          <w:sz w:val="18"/>
          <w:szCs w:val="18"/>
          <w:color w:val="231F20"/>
        </w:rPr>
        <w:t>it is possible that there are prior public disclosures that could invalidate our patents, or parts of our patents, for which we are not aware;</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231F20"/>
        </w:rPr>
      </w:pPr>
      <w:r>
        <w:rPr>
          <w:rFonts w:ascii="Arial" w:cs="Arial" w:eastAsia="Arial" w:hAnsi="Arial"/>
          <w:sz w:val="18"/>
          <w:szCs w:val="18"/>
          <w:color w:val="231F20"/>
        </w:rPr>
        <w:t>issued patents that we hold rights to may be held invalid or unenforceable, as a result of legal challenges by our competitors;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231F20"/>
        </w:rPr>
      </w:pPr>
      <w:r>
        <w:rPr>
          <w:rFonts w:ascii="Arial" w:cs="Arial" w:eastAsia="Arial" w:hAnsi="Arial"/>
          <w:sz w:val="18"/>
          <w:szCs w:val="18"/>
          <w:color w:val="231F20"/>
        </w:rPr>
        <w:t>issued patents may not have sufficient term or geographic scope to provide meaningful protection;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60" w:right="20" w:hanging="378"/>
        <w:spacing w:after="0" w:line="270" w:lineRule="auto"/>
        <w:tabs>
          <w:tab w:leader="none" w:pos="760" w:val="left"/>
        </w:tabs>
        <w:numPr>
          <w:ilvl w:val="0"/>
          <w:numId w:val="42"/>
        </w:numPr>
        <w:rPr>
          <w:rFonts w:ascii="Times New Roman" w:cs="Times New Roman" w:eastAsia="Times New Roman" w:hAnsi="Times New Roman"/>
          <w:sz w:val="18"/>
          <w:szCs w:val="18"/>
          <w:color w:val="231F20"/>
        </w:rPr>
      </w:pPr>
      <w:r>
        <w:rPr>
          <w:rFonts w:ascii="Arial" w:cs="Arial" w:eastAsia="Arial" w:hAnsi="Arial"/>
          <w:sz w:val="18"/>
          <w:szCs w:val="18"/>
          <w:color w:val="231F20"/>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231F20"/>
        </w:rPr>
      </w:pPr>
      <w:r>
        <w:rPr>
          <w:rFonts w:ascii="Arial" w:cs="Arial" w:eastAsia="Arial" w:hAnsi="Arial"/>
          <w:sz w:val="18"/>
          <w:szCs w:val="18"/>
          <w:color w:val="231F20"/>
        </w:rPr>
        <w:t>we may not develop additional proprietary technologies that are patentable;</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231F20"/>
        </w:rPr>
      </w:pPr>
      <w:r>
        <w:rPr>
          <w:rFonts w:ascii="Arial" w:cs="Arial" w:eastAsia="Arial" w:hAnsi="Arial"/>
          <w:sz w:val="18"/>
          <w:szCs w:val="18"/>
          <w:color w:val="231F20"/>
        </w:rPr>
        <w:t>the patents of others may have an adverse effect on our business; and</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2"/>
        </w:numPr>
        <w:rPr>
          <w:rFonts w:ascii="Times New Roman" w:cs="Times New Roman" w:eastAsia="Times New Roman" w:hAnsi="Times New Roman"/>
          <w:sz w:val="18"/>
          <w:szCs w:val="18"/>
          <w:color w:val="231F20"/>
        </w:rPr>
      </w:pPr>
      <w:r>
        <w:rPr>
          <w:rFonts w:ascii="Arial" w:cs="Arial" w:eastAsia="Arial" w:hAnsi="Arial"/>
          <w:sz w:val="18"/>
          <w:szCs w:val="18"/>
          <w:color w:val="231F20"/>
        </w:rPr>
        <w:t>we may choose not to file a patent in order to maintain certain trade secrets, and a third party may subsequently file a patent covering such intellectual property.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it could significantly harm our business, financial condition, results of operations and prospects.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misappropriating or otherwise violating the patents and other proprietary rights of third parties. Claims by third parties that we infringe, misappropriate or otherwise violate their proprietary rights may result in liability for damages or prevent or delay our developmental and commercialization efforts.</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commercial success depends in part on avoiding infringement, misappropriation or other violations of the patents and proprietary rights of third parties. However, our research, development and commercialization activities may be subject to claims that we infringe, misappropriate or otherwise violate patents or other intellectual property rights owned or controlled by third parties. A finding by a court or administrative body that we infringe the claims of issued patents owned by third parties could preclude us from commercializing palazestrant or any future product candidates we may develop.</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entities may have or obtain patents or proprietary rights that could limit our ability to make, use, sell, offer for sale or import palazestrant, OP-3136 or any future product candidates we may develop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and proceedings, such as oppositions, reexaminations, IPR proceedings and PGR proceedings, before the USPTO and/or corresponding foreign patent offices. In addition, many companies in intellectual property-dependent industries, including the biopharmaceutical industry, have employed intellectual property litigation as a means to gain an advantage over their competitors. Numerous third-party U.S. and foreign issued patents and pending patent applications may exist in the fields in which we are developing palazestrant, OP-3136 or any future product candidates we may develop. There may be third-party patents or patent applications with claims to compositions, formulations, methods of manufacture or methods for treatment related to the use or manufacture of palazestrant, OP-3136 or any future product candidates we may develop. For example, we are aware of certain third-party patent applications and patents in the United States and abroad that include disclosure of chemical structures sharing certain similarities with palazestrant. It is possible that one or more of such third parties could pursue patent claims or assert patent claims that allegedly encompass palazestrant.</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It is possible that one or more organizations will hold patent rights to which we will need a license. If those organizations refuse to grant us a license to such patent rights on reasonable terms, we may be unable to develop, manufacture, market, sell and commercialize products or services or perform research and development or other activities covered by these patents. In the event that any of these patents were to issue and be asserted against us, we believe that we would have defenses against any such assertion, including that such patents are not valid. However, if such defenses to such assertion were unsuccessful, we could be liable for damages, which could be significant and include treble damages and attorneys’ fees if we are found to willfully infringe such patents. We could also be required to obtain a license to such patents, which may not be available on commercially reasonable terms or at all. If we are unable to obtain such a license, we could be precluded from commercializing any product candidates that were ultimately held to infringe such patents.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the biopharmaceutical industry expands and more patents are issued, the risk increases that palazestrant, OP-3136 or any future product candidates we may develop, may be subject to claims of infringement of the patent rights of third parties. Because patent applications are maintained as confidential for a certain period of</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time, until the relevant application is published, we may be unaware of third-party patents that may be infringed by commercialization of palazestrant, OP-3136 or any future product candidates we may develop,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palazestrant, OP-3136 or any future product candidates we may develop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Still further, we cannot rely on our experience that third parties have not so far alleged that we infringe their patent rights, as provisions of U.S. patent laws provide a safe harbor from patent infringement for therapeutic products under clinical development. If and when we submit an NDA, that safe harbor will expire.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Any claims of patent infringement, misappropriation or other violations asserted by third parties would be time consuming and could:</w:t>
      </w:r>
    </w:p>
    <w:p>
      <w:pPr>
        <w:spacing w:after="0" w:line="212" w:lineRule="exact"/>
        <w:rPr>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231F20"/>
        </w:rPr>
      </w:pPr>
      <w:r>
        <w:rPr>
          <w:rFonts w:ascii="Arial" w:cs="Arial" w:eastAsia="Arial" w:hAnsi="Arial"/>
          <w:sz w:val="18"/>
          <w:szCs w:val="18"/>
          <w:color w:val="231F20"/>
        </w:rPr>
        <w:t>result in costly litigation that may cause negative publicity;</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231F20"/>
        </w:rPr>
      </w:pPr>
      <w:r>
        <w:rPr>
          <w:rFonts w:ascii="Arial" w:cs="Arial" w:eastAsia="Arial" w:hAnsi="Arial"/>
          <w:sz w:val="18"/>
          <w:szCs w:val="18"/>
          <w:color w:val="231F20"/>
        </w:rPr>
        <w:t>cause development delays;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231F20"/>
        </w:rPr>
      </w:pPr>
      <w:r>
        <w:rPr>
          <w:rFonts w:ascii="Arial" w:cs="Arial" w:eastAsia="Arial" w:hAnsi="Arial"/>
          <w:sz w:val="18"/>
          <w:szCs w:val="18"/>
          <w:color w:val="231F20"/>
        </w:rPr>
        <w:t>prevent us from commercializing palazestrant</w:t>
      </w:r>
      <w:r>
        <w:rPr>
          <w:rFonts w:ascii="Arial" w:cs="Arial" w:eastAsia="Arial" w:hAnsi="Arial"/>
          <w:sz w:val="18"/>
          <w:szCs w:val="18"/>
          <w:color w:val="000000"/>
        </w:rPr>
        <w:t>, OP-3136</w:t>
      </w:r>
      <w:r>
        <w:rPr>
          <w:rFonts w:ascii="Arial" w:cs="Arial" w:eastAsia="Arial" w:hAnsi="Arial"/>
          <w:sz w:val="18"/>
          <w:szCs w:val="18"/>
          <w:color w:val="231F20"/>
        </w:rPr>
        <w:t xml:space="preserve"> or any future product candidates we may develop;</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231F20"/>
        </w:rPr>
      </w:pPr>
      <w:r>
        <w:rPr>
          <w:rFonts w:ascii="Arial" w:cs="Arial" w:eastAsia="Arial" w:hAnsi="Arial"/>
          <w:sz w:val="18"/>
          <w:szCs w:val="18"/>
          <w:color w:val="231F20"/>
        </w:rPr>
        <w:t>require us to develop non-infringing technology, which may not be possible on a cost-effective basis;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231F20"/>
        </w:rPr>
      </w:pPr>
      <w:r>
        <w:rPr>
          <w:rFonts w:ascii="Arial" w:cs="Arial" w:eastAsia="Arial" w:hAnsi="Arial"/>
          <w:sz w:val="18"/>
          <w:szCs w:val="18"/>
          <w:color w:val="231F20"/>
        </w:rPr>
        <w:t>subject us to significant liability to third parties; or</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3"/>
        </w:numPr>
        <w:rPr>
          <w:rFonts w:ascii="Times New Roman" w:cs="Times New Roman" w:eastAsia="Times New Roman" w:hAnsi="Times New Roman"/>
          <w:sz w:val="18"/>
          <w:szCs w:val="18"/>
          <w:color w:val="231F20"/>
        </w:rPr>
      </w:pPr>
      <w:r>
        <w:rPr>
          <w:rFonts w:ascii="Arial" w:cs="Arial" w:eastAsia="Arial" w:hAnsi="Arial"/>
          <w:sz w:val="18"/>
          <w:szCs w:val="18"/>
          <w:color w:val="231F20"/>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Any patent-related legal action against us claiming damages or seeking to enjoin commercial activities relating to our products, or processes could subject us to significant liability for damages, including treble damages if we were determined to willfully infringe, and require us to obtain a license to manufacture or market palazestrant, OP-3136 or any future product candidates we may develop.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palazestrant, OP-3136 or any future product candidates we may develop processes to avoid infringement, if necessary.</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An adverse determination in a judicial or administrative proceeding, or the failure to obtain necessary licenses, could prevent us from developing and commercializing palazestrant, OP-3136 or any future product candidates we may develop, which could significantly harm our business, financial condition and operating results. In addition, intellectual property litigation, regardless of its outcome, may cause negative publicity and could prohibit us from marketing or otherwise commercializing palazestrant, OP-3136 and future product candidates and technologies.</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Parties making claims against us may be able to sustain the costs of complex patent litigation more effectively than we can.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continuation of any litigation could have material adverse effect on our ability to raise additional funds or otherwise significantly harm our business, financial condition, results of operations and prospects.</w:t>
      </w:r>
    </w:p>
    <w:p>
      <w:pPr>
        <w:spacing w:after="0" w:line="156"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from third parties for what we identify as necessary for palazestrant or OP-3136 through acquisitions and in-licenses.</w:t>
      </w:r>
    </w:p>
    <w:p>
      <w:pPr>
        <w:spacing w:after="0" w:line="1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Because our development programs may in the future require the use of proprietary rights held by third parties, the growth of our business may depend in part on our ability to acquire, in-license, or use these third-party proprietary rights.</w:t>
      </w:r>
    </w:p>
    <w:p>
      <w:pPr>
        <w:spacing w:after="0" w:line="15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While we may have issued patents that cover palazestrant or OP-3136, it is possible that third parties may have blocking patents that prevent us from marketing, manufacturing or commercializing our own patented products and practicing our own patented technology.</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may be unsuccessful in acquiring or in-licensing compositions, methods of use, processes, or other intellectual property rights from third parties that we identify as necessary for practicing inventions claimed by our patents, including the manufacture, sale and use of palazestrant, OP-3136 and any future product candidates we may develop.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significantly harm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involved in lawsuits to protect or enforce our patents, which could be expensive, time consuming and unsuccessful.</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Further, our issued patents could be found invalid or unenforceable if challenged in court.</w:t>
      </w:r>
    </w:p>
    <w:p>
      <w:pPr>
        <w:spacing w:after="0" w:line="19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Competitors or other third parties may infringe, misappropriate or otherwise violate our intellectual property rights. To prevent infringement or unauthorized use, we may be required to file infringement or other intellectual property claims, which can be expensive and time-consuming. In addition, in a patent infringement proceeding, a court may decide that a patent we may in-license in the future or own is not valid, is unenforceable, and/or is not infringed, or may refuse to stop the other party from using the technology at issue on the grounds that our owned patents or future in-licensed patents do not cover the technology in question. If we or any of our potential future collaborators were to initiate legal proceedings against a third party to enforce a patent directed at palazestrant, OP-3136 or any future product candidates we may develop,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outcome following legal assertions of invalidity and/or unenforceability is unpredictable, and prior art could render our patent invalid. There is no assurance that all potentially relevant prior art relating to our patent and patent applications has been found. There is also no assurance that there is not prior art of which we are aware, but which we do not believe affects the validity or enforceability of a claim in our patent and patent applications, which may, nonetheless, ultimately be found to affect the validity or enforceability of a claim.</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a defendant were to prevail on a legal assertion of invalidity and/or unenforceability, we may lose at least part, and perhaps all, of the patent protection on such product candidate. In addition, if the breadth or strength of protection provided by our patents and patent applications is threatened, it could dissuade companies from</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collaborating with us to license, develop or commercialize current or future product candidates. Such a loss of patent protection would significantly harm our business, financial condition, results of operations and prospects.</w:t>
      </w:r>
    </w:p>
    <w:p>
      <w:pPr>
        <w:spacing w:after="0" w:line="1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it could significantly harm our business, financial condition, results of operations and prospects.</w:t>
      </w:r>
    </w:p>
    <w:p>
      <w:pPr>
        <w:spacing w:after="0" w:line="21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significantly harm our business, financial condition, results of operations and prospects.</w:t>
      </w:r>
    </w:p>
    <w:p>
      <w:pPr>
        <w:spacing w:after="0" w:line="178"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w:t>
      </w:r>
    </w:p>
    <w:p>
      <w:pPr>
        <w:spacing w:after="0" w:line="16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palazestrant, OP-3136 or any future product candidates to market. Should any of these events occur, it could significantly harm our business, financial condition, results of operations and prospects.</w:t>
      </w:r>
    </w:p>
    <w:p>
      <w:pPr>
        <w:spacing w:after="0" w:line="18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or those of our licensors and the enforcement or defense of our issued patents or those of our licensors.</w:t>
      </w:r>
    </w:p>
    <w:p>
      <w:pPr>
        <w:spacing w:after="0" w:line="13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On September 16, 2011, the Leahy-Smith America Invents Act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palazestrant, OP-3136 or any future product candidate we may develop or (2) invent any of the inventions claimed in the patents or patent applications.</w:t>
      </w:r>
    </w:p>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significantly harm our business, financial condition, results of operations and prospects.</w:t>
      </w:r>
    </w:p>
    <w:p>
      <w:pPr>
        <w:spacing w:after="0" w:line="18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palazestrant, OP-3136 or any future product candidates we may develop.</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our ability to protect our inventions, obtain, maintain and enforce our intellectual property rights and, more generally, could affect the value of our intellectual property. Such changes may also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Any of the foregoing could significantly harm our business, financial condition, results of operations, and prospects.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It is possible that we do not perfect ownership of all patents, patent applications or other intellectual property. This possibility includes the risk that we do not identify all inventors, or identify incorrect inventors, which may</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lead to claims disputing inventorship or ownership of our patents, patent applications or other intellectual property by former employees or other third parties. There is also a risk that we do not establish an unbroken chain of title from inventors to us. Errors in inventorship or ownership can sometimes also impact priority claims. If we were to lose the ability to claim priority for certain patent filings, intervening art or other events may preclude us from issuing patents.</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an outcome could significantly harm our business, financial condition, results of operations and prospects. Even if we are successful in defending against such claims, litigation could result in substantial costs and distraction to management and other employees.</w:t>
      </w:r>
    </w:p>
    <w:p>
      <w:pPr>
        <w:spacing w:after="0" w:line="17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palazestrant, OP-3136 or any future product candidates we may develop for an adequate amount of time.</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there can be no assurance that any such extensions will be obtained, and the life of a patent, and the protection it affords, is limited. Even if patents covering palazestrant, OP-3136 or any future product candidates we may develop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8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the United States, patent term can be adjusted due to delays that occur during examination of patent applications, which may extend the term of a patent beyond 20 years. There is a risk that we may take action that detracts from any accrued patent term adjustment.</w:t>
      </w:r>
    </w:p>
    <w:p>
      <w:pPr>
        <w:spacing w:after="0" w:line="1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It is necessary to pay certain maintenance fees, also referred to as annuities or renewal fees in some countries, throughout the lifetime of a patent at regular intervals. Failure to pay these fees can cause a granted patent to prematurely expire, without an opportunity for revival. There is a risk that we may be unable to maintain patent protection for certain patents in all markets due to finite availability of resources. Any of the foregoing could significantly harm our business, financial condition, results of operations and prospects.</w:t>
      </w:r>
    </w:p>
    <w:p>
      <w:pPr>
        <w:spacing w:after="0" w:line="176"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If we do not obtain patent term extension for palazestrant, OP-3136 or any future product candidates we may develop, our business, financial condition, results of operations and prospects may be significantly harmed.</w:t>
      </w:r>
    </w:p>
    <w:p>
      <w:pPr>
        <w:spacing w:after="0" w:line="1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Depending upon the timing, duration and specifics of FDA marketing approval of palazestrant, OP-3136 or any future product candidates we may develop, one or more of our U.S. patents or those of our licensors may be eligible for limited patent term restoration under the Drug Price Competition and Patent Term Restoration Act of 1984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palazestrant, OP-3136 or any future product candidates we may develop.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business, financial condition, results of operations and prospects could be significantly harmed. Further, if this occurs, our competitors may take advantage of our</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investment in development and trials by referencing our clinical and non-clinical data and launch their product earlier than might otherwise be the case.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not be able to protect our intellectual property rights throughout the world.</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infringing products may compete with palazestrant, OP-3136 or any future product candidates we may develop, without any available recourse.</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laws of some other countries do not protect intellectual property rights to the same extent as the laws of the United States.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As a result, many companies have encountered significant problems in protecting and defending intellectual property rights in foreign jurisdictions. Because the legal systems of many foreign countries do not favor the enforcement of patents and other intellectual property protection, particularly those relating to biopharmaceutical products, it could be difficult for us to stop the infringement, misappropriation or violation of our patents or our licensors’ patents or marketing of competing products in violation of our proprietary rights. Proceedings to enforce our intellectual property and other proprietary rights in foreign jurisdictions could result in substantial costs and divert our efforts and attention from other aspects of our business, could put our patents or the patents of our licensors at risk of being invalidated or interpreted narrowly, could put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authorities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significantly harmed.</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authorities, and our patent protection could be reduced or eliminated for non-compliance with these requirements.</w:t>
      </w:r>
    </w:p>
    <w:p>
      <w:pPr>
        <w:spacing w:after="0" w:line="159" w:lineRule="exact"/>
        <w:rPr>
          <w:sz w:val="20"/>
          <w:szCs w:val="20"/>
          <w:color w:val="auto"/>
        </w:rPr>
      </w:pPr>
    </w:p>
    <w:p>
      <w:pPr>
        <w:jc w:val="both"/>
        <w:spacing w:after="0"/>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the USPTO and various foreign patent offices at various points over the lifetime of our patents and/or patent applications.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complete loss of patent rights in the relevant jurisdiction. If such an event were to occur, potential competitors might be able to enter the market with similar or identical products or technology, which could significantly harm our business, financial condition, results of operations and prospects.</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financial condition, results of operations and prospects could be significantly harmed.</w:t>
      </w:r>
    </w:p>
    <w:p>
      <w:pPr>
        <w:spacing w:after="0" w:line="1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financial condition, results of operations and prospects may be significantly harmed. Our efforts to enforce or protect our proprietary rights related to trademarks, trade secrets, domain names, copyrights or other intellectual property may be ineffective and could result in substantial costs and diversion of resources and could significantly harm our business, financial condition, results of operations and prospects.</w:t>
      </w:r>
    </w:p>
    <w:p>
      <w:pPr>
        <w:spacing w:after="0" w:line="188" w:lineRule="exact"/>
        <w:rPr>
          <w:sz w:val="20"/>
          <w:szCs w:val="20"/>
          <w:color w:val="auto"/>
        </w:rPr>
      </w:pPr>
    </w:p>
    <w:p>
      <w:pPr>
        <w:ind w:right="840"/>
        <w:spacing w:after="0" w:line="278"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financial condition, results of operations, prospects and competitive position would be significantly harmed.</w:t>
      </w:r>
    </w:p>
    <w:p>
      <w:pPr>
        <w:spacing w:after="0" w:line="1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guarantee that we have entered into such agreements with each party that may have or have had access to our trade secrets or proprietary technology or processes. Further, we cannot provide any assurances that all such agreements have been duly executed, and any of these parties may breach the agreements and disclose our proprietary information, including our trade secrets, or claim ownership in intellectual property that we believe is owned by us. Monitoring unauthorized uses and disclosures of our intellectual property is difficult, and we do not know whether the steps we have taken to protect our intellectual property will be effective. In addition,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8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Moreover, if any of our trade secrets were to be lawfully obtained or independently developed by a competitor or other third party,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Any of the foregoing could significantly harm our business, financial condition, results of operations and prospects.</w:t>
      </w:r>
    </w:p>
    <w:p>
      <w:pPr>
        <w:spacing w:after="0" w:line="18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be subject to claims that we or our employees have wrongfully used or disclosed alleged confidential information or trade secrets.</w:t>
      </w:r>
    </w:p>
    <w:p>
      <w:pPr>
        <w:spacing w:after="0" w:line="1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Many of our employees and consultants were previously employed at, or may have previously</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provided or may be currently providing consulting services to, other biopharmaceutical companies, including our competitors or potential competitors. Although we try to ensure that our employees, consultants, and advisors do not use the proprietary information or know-how of others in their work for us, we may become subject to litigation where a third party asserts that we or our employees or consultants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palazestrant, OP-3136 or any future product candidates or technologies we may develop. Failure to defend against any such claim could subject us to significant liability for monetary damages or prevent or delay our developmental and commercialization efforts, and cause us to lose valuable intellectual property rights or personnel, which could significantly harm our business, financial condition, results of operations and prospects. Even if we are successful in defending against these claims, litigation could result in substantial costs and be a distraction to our management team and other employees.</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significantly harm our business, financial condition, results of operations and prospects.</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candidates may be subject, in part, to the terms and conditions of licenses granted to us by others.</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may enter into license agreements in the future with others to advance our research or allow commercialization of palazestrant, OP-3136 or any future product candidates we may develop.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our licenses.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we fail to comply with our obligations under any such license agreements, including obligations to make various milestone payments and royalty payments and other obligations, the licensor may have the right to terminate the license. If these agreements are terminated, we could lose intellectual property rights that are important to our business, be liable for any damages to such licensors or be prevented from developing and commercializing our product candidates, and competitors could have the freedom to seek regulatory approval of, and to market, products identical to ours. Termination of these agreements or reduction or elimination of our rights under these agreements may also result in our being required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 It is possible that we may be unable to obtain any additional licenses at a reasonable cost or on reasonable terms, if at all. In that event, we may be required to expend significant time and resources to redesign our product candidates or the methods for manufacturing them or to develop or license replacement technology, all of which may not be feasible on a technical or commercial basis.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including the payment of all applicable fees for patents covering our product candidates.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 Further, we may not be able to prevent competitors from making, using and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competing products. In addition, even where we have the right to control the prosecution of patents and patent applications we have licensed to and from third parties, we may still be adversely affected or prejudiced by the actions or inactions of our licensees, our licensors and their counsel that took place prior to the date upon which we assumed control over patent prosecution.</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licensors may have relied on third 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 results of operations and prospects.</w:t>
      </w:r>
    </w:p>
    <w:p>
      <w:pPr>
        <w:spacing w:after="0" w:line="1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may need to obtain additional licenses from existing licensors and others to advance our research or allow commercialization of product candidates we develop. 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significantly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 Should any of these events occur, it could significantly harm our business, financial condition, results of operations and prospects.</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Disputes may arise between us and our past, current or future licensors regarding intellectual property subject to a license agreement, including:</w:t>
      </w:r>
    </w:p>
    <w:p>
      <w:pPr>
        <w:spacing w:after="0" w:line="154" w:lineRule="exact"/>
        <w:rPr>
          <w:sz w:val="20"/>
          <w:szCs w:val="20"/>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231F20"/>
        </w:rPr>
      </w:pPr>
      <w:r>
        <w:rPr>
          <w:rFonts w:ascii="Arial" w:cs="Arial" w:eastAsia="Arial" w:hAnsi="Arial"/>
          <w:sz w:val="18"/>
          <w:szCs w:val="18"/>
          <w:color w:val="231F20"/>
        </w:rPr>
        <w:t>the scope of rights granted under the license agreement and other interpretation-related issues;</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4"/>
        </w:numPr>
        <w:rPr>
          <w:rFonts w:ascii="Times New Roman" w:cs="Times New Roman" w:eastAsia="Times New Roman" w:hAnsi="Times New Roman"/>
          <w:sz w:val="18"/>
          <w:szCs w:val="18"/>
          <w:color w:val="231F20"/>
        </w:rPr>
      </w:pPr>
      <w:r>
        <w:rPr>
          <w:rFonts w:ascii="Arial" w:cs="Arial" w:eastAsia="Arial" w:hAnsi="Arial"/>
          <w:sz w:val="18"/>
          <w:szCs w:val="18"/>
          <w:color w:val="231F20"/>
        </w:rPr>
        <w:t>whether and the extent to which our technology and processes infringe on intellectual property of the licensor that is not subject to the licensing agreement;</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231F20"/>
        </w:rPr>
      </w:pPr>
      <w:r>
        <w:rPr>
          <w:rFonts w:ascii="Arial" w:cs="Arial" w:eastAsia="Arial" w:hAnsi="Arial"/>
          <w:sz w:val="18"/>
          <w:szCs w:val="18"/>
          <w:color w:val="231F20"/>
        </w:rPr>
        <w:t>our right to sublicense patents and other rights to third parties;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231F20"/>
        </w:rPr>
      </w:pPr>
      <w:r>
        <w:rPr>
          <w:rFonts w:ascii="Arial" w:cs="Arial" w:eastAsia="Arial" w:hAnsi="Arial"/>
          <w:sz w:val="18"/>
          <w:szCs w:val="18"/>
          <w:color w:val="231F20"/>
        </w:rPr>
        <w:t>our diligence obligations under the license agreement and what activities satisfy those diligence obligations;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231F20"/>
        </w:rPr>
      </w:pPr>
      <w:r>
        <w:rPr>
          <w:rFonts w:ascii="Arial" w:cs="Arial" w:eastAsia="Arial" w:hAnsi="Arial"/>
          <w:sz w:val="18"/>
          <w:szCs w:val="18"/>
          <w:color w:val="231F20"/>
        </w:rPr>
        <w:t>our right to transfer or assign the license;</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4"/>
        </w:numPr>
        <w:rPr>
          <w:rFonts w:ascii="Times New Roman" w:cs="Times New Roman" w:eastAsia="Times New Roman" w:hAnsi="Times New Roman"/>
          <w:sz w:val="18"/>
          <w:szCs w:val="18"/>
          <w:color w:val="231F20"/>
        </w:rPr>
      </w:pPr>
      <w:r>
        <w:rPr>
          <w:rFonts w:ascii="Arial" w:cs="Arial" w:eastAsia="Arial" w:hAnsi="Arial"/>
          <w:sz w:val="18"/>
          <w:szCs w:val="18"/>
          <w:color w:val="231F20"/>
        </w:rPr>
        <w:t>the inventorship and ownership of inventions and know-how resulting from the joint creation or use of intellectual property by our licensors and us and our partners; and</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231F20"/>
        </w:rPr>
      </w:pPr>
      <w:r>
        <w:rPr>
          <w:rFonts w:ascii="Arial" w:cs="Arial" w:eastAsia="Arial" w:hAnsi="Arial"/>
          <w:sz w:val="18"/>
          <w:szCs w:val="18"/>
          <w:color w:val="231F20"/>
        </w:rPr>
        <w:t>the priority of invention of patented technology.</w:t>
      </w:r>
    </w:p>
    <w:p>
      <w:pPr>
        <w:spacing w:after="0" w:line="22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significantly harm our business, financial condition, results of operations and prospects. Moreover, if disputes over intellectual</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property that we have licensed prevent or impair our ability to maintain our current licensing arrangements on commercially acceptable terms, we may be unable to successfully develop and commercialize the affected product candidates, which could significantly harm our business, financial condition and prospects.</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significantly harm our competitive position, business, financial condition and prospects.</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5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Any exercise by the government of any of the foregoing rights could harm our competitive position, business, financial condition, results of operations and prospects.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1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palazestrant, OP-3136 or future product candidates we may develop and our business, financial condition, results of operations and prospects could be significantly harmed.</w:t>
      </w:r>
    </w:p>
    <w:p>
      <w:pPr>
        <w:spacing w:after="0" w:line="17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have relied upon and plan to continue to rely upon third parties, including independent clinical investigators and third-party CROs, to conduct certain aspects of our non-clinical studies and clinical trials and to monitor and manage data for our ongoing non-clinical and clinical programs. We rely on these parties for execution of our non-clinical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of our regulatory responsibilities. We and our third-party contractors and CROs are required to comply with GCP requirements, which are regulations and guidelines enforced by the FDA and comparable foreign regulatory authorities for palazestrant or OP-3136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Moreover, our business may be adversely affected if any of these third parties violates federal, state or foreign fraud and abuse or false claims laws and regulations or healthcare privacy and security laws.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Further, these investigators and CROs are not our employees and we will not be able to control, other than by contract, the amount of resources, including time, which they devote to palazestrant and clinical trials.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palazestrant or OP-3136,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palazestrant or OP-3136. As a result, our results of operations and the commercial prospects for palazestrant or OP-3136 would be harmed, our costs could increase and our ability to generate revenues could be delayed or precluded entirely, and our business, financial condition, results of operations and prospects could be significantly harmed.</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17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If any of our relationships with these third-party CROs terminate, we may not be able to enter into arrangements with alternative CROs or do so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There can be no assurance that we will not encounter challenges or delays with CROs in the future or that these delays or challenges will not significantly harm our business, financial condition, results of operations and prospects.</w:t>
      </w:r>
    </w:p>
    <w:p>
      <w:pPr>
        <w:spacing w:after="0" w:line="18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We contract with third parties for the manufacture of palazestrant for non-clinical studies and our ongoing clinical trials, and expect to continue to do so for additional clinical trials and ultimately for commercialization. This reliance on third parties increases the risk that we will not have sufficient quantities of palazestrant or other drugs necessary for the development or commercialization of palazestrant or such quantities at an acceptable cost, which could delay, prevent or impair our development or commercialization efforts.</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do not currently have the infrastructure or internal capability to manufacture supplies of palazestrant for use in development and commercialization. We rely, and expect to continue to rely, on third-party manufacturers for the production of palazestrant for non-clinical studies and clinical trials under the guidance of members of our organization. We do not have long-term supply agreements for palazestrant. Furthermore, the raw materials for palazestrant are sourced, in some cases, from a single-source supplier. If we were to experience an unexpected loss of supply of palazestrant for any reason, whether as a result of manufacturing, supply or storage issues or otherwise, we could experience delays, disruptions, suspensions or terminations of, or be required to restart or repeat, any pending or ongoing clinical trials.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expect to continue to rely on third-party manufacturers for the commercial supply of palazestrant, if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169" w:lineRule="exact"/>
        <w:rPr>
          <w:sz w:val="20"/>
          <w:szCs w:val="20"/>
          <w:color w:val="auto"/>
        </w:rPr>
      </w:pPr>
    </w:p>
    <w:p>
      <w:pPr>
        <w:jc w:val="both"/>
        <w:ind w:left="760" w:hanging="378"/>
        <w:spacing w:after="0" w:line="252" w:lineRule="auto"/>
        <w:tabs>
          <w:tab w:leader="none" w:pos="760" w:val="left"/>
        </w:tabs>
        <w:numPr>
          <w:ilvl w:val="0"/>
          <w:numId w:val="45"/>
        </w:numPr>
        <w:rPr>
          <w:rFonts w:ascii="Times New Roman" w:cs="Times New Roman" w:eastAsia="Times New Roman" w:hAnsi="Times New Roman"/>
          <w:sz w:val="18"/>
          <w:szCs w:val="18"/>
          <w:color w:val="231F20"/>
        </w:rPr>
      </w:pPr>
      <w:r>
        <w:rPr>
          <w:rFonts w:ascii="Arial" w:cs="Arial" w:eastAsia="Arial" w:hAnsi="Arial"/>
          <w:sz w:val="18"/>
          <w:szCs w:val="18"/>
          <w:color w:val="231F20"/>
        </w:rPr>
        <w:t>the failure of the third party to manufacture palazestrant according to our schedule, or at all, including if our third-party contractors give greater priority to the supply of other products over palazestrant or otherwise do not satisfactorily perform according to the terms of the agreements between us and them;</w:t>
      </w:r>
    </w:p>
    <w:p>
      <w:pPr>
        <w:spacing w:after="0" w:line="170"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231F20"/>
        </w:rPr>
      </w:pPr>
      <w:r>
        <w:rPr>
          <w:rFonts w:ascii="Arial" w:cs="Arial" w:eastAsia="Arial" w:hAnsi="Arial"/>
          <w:sz w:val="18"/>
          <w:szCs w:val="18"/>
          <w:color w:val="231F20"/>
        </w:rPr>
        <w:t>disruptions resulting from the impact of public health pandemics or epidemics;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231F20"/>
        </w:rPr>
      </w:pPr>
      <w:r>
        <w:rPr>
          <w:rFonts w:ascii="Arial" w:cs="Arial" w:eastAsia="Arial" w:hAnsi="Arial"/>
          <w:sz w:val="18"/>
          <w:szCs w:val="18"/>
          <w:color w:val="231F20"/>
        </w:rPr>
        <w:t>the reduction or termination of production or deliveries by suppliers, or the raising of prices or renegotiation of terms;</w:t>
      </w:r>
    </w:p>
    <w:p>
      <w:pPr>
        <w:spacing w:after="0" w:line="22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45"/>
        </w:numPr>
        <w:rPr>
          <w:rFonts w:ascii="Times New Roman" w:cs="Times New Roman" w:eastAsia="Times New Roman" w:hAnsi="Times New Roman"/>
          <w:sz w:val="18"/>
          <w:szCs w:val="18"/>
          <w:color w:val="231F20"/>
        </w:rPr>
      </w:pPr>
      <w:r>
        <w:rPr>
          <w:rFonts w:ascii="Arial" w:cs="Arial" w:eastAsia="Arial" w:hAnsi="Arial"/>
          <w:sz w:val="18"/>
          <w:szCs w:val="18"/>
          <w:color w:val="231F20"/>
        </w:rPr>
        <w:t>the termination or nonrenewal of arrangements or agreements by our third-party contractors at a time that is costly or inconvenient for us;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231F20"/>
        </w:rPr>
      </w:pPr>
      <w:r>
        <w:rPr>
          <w:rFonts w:ascii="Arial" w:cs="Arial" w:eastAsia="Arial" w:hAnsi="Arial"/>
          <w:sz w:val="18"/>
          <w:szCs w:val="18"/>
          <w:color w:val="231F20"/>
        </w:rPr>
        <w:t>the breach by the third-party contractors of our agreements with them;</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231F20"/>
        </w:rPr>
      </w:pPr>
      <w:r>
        <w:rPr>
          <w:rFonts w:ascii="Arial" w:cs="Arial" w:eastAsia="Arial" w:hAnsi="Arial"/>
          <w:sz w:val="18"/>
          <w:szCs w:val="18"/>
          <w:color w:val="231F20"/>
        </w:rPr>
        <w:t>the failure of third-party contractors to comply with applicable regulatory requirements;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231F20"/>
        </w:rPr>
      </w:pPr>
      <w:r>
        <w:rPr>
          <w:rFonts w:ascii="Arial" w:cs="Arial" w:eastAsia="Arial" w:hAnsi="Arial"/>
          <w:sz w:val="18"/>
          <w:szCs w:val="18"/>
          <w:color w:val="231F20"/>
        </w:rPr>
        <w:t>the failure of the third party to manufacture palazestrant according to our specifications;</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5"/>
        </w:numPr>
        <w:rPr>
          <w:rFonts w:ascii="Times New Roman" w:cs="Times New Roman" w:eastAsia="Times New Roman" w:hAnsi="Times New Roman"/>
          <w:sz w:val="18"/>
          <w:szCs w:val="18"/>
          <w:color w:val="231F20"/>
        </w:rPr>
      </w:pPr>
      <w:r>
        <w:rPr>
          <w:rFonts w:ascii="Arial" w:cs="Arial" w:eastAsia="Arial" w:hAnsi="Arial"/>
          <w:sz w:val="18"/>
          <w:szCs w:val="18"/>
          <w:color w:val="231F20"/>
        </w:rPr>
        <w:t>the mislabeling of clinical supplies, potentially resulting in the wrong dose amounts being supplied or active drug or placebo not being properly identified;</w:t>
      </w:r>
    </w:p>
    <w:p>
      <w:pPr>
        <w:spacing w:after="0" w:line="15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45"/>
        </w:numPr>
        <w:rPr>
          <w:rFonts w:ascii="Times New Roman" w:cs="Times New Roman" w:eastAsia="Times New Roman" w:hAnsi="Times New Roman"/>
          <w:sz w:val="18"/>
          <w:szCs w:val="18"/>
          <w:color w:val="231F20"/>
        </w:rPr>
      </w:pPr>
      <w:r>
        <w:rPr>
          <w:rFonts w:ascii="Arial" w:cs="Arial" w:eastAsia="Arial" w:hAnsi="Arial"/>
          <w:sz w:val="18"/>
          <w:szCs w:val="18"/>
          <w:color w:val="231F20"/>
        </w:rPr>
        <w:t>clinical supplies not being delivered to clinical sites on time, leading to clinical trial interruptions, or of drug supplies not being distributed to commercial vendors in a timely manner, resulting in lost sales; and</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231F20"/>
        </w:rPr>
      </w:pPr>
      <w:r>
        <w:rPr>
          <w:rFonts w:ascii="Arial" w:cs="Arial" w:eastAsia="Arial" w:hAnsi="Arial"/>
          <w:sz w:val="18"/>
          <w:szCs w:val="18"/>
          <w:color w:val="231F20"/>
        </w:rPr>
        <w:t>the misappropriation of our proprietary information, including our trade secrets and know-how.</w:t>
      </w:r>
    </w:p>
    <w:p>
      <w:pPr>
        <w:spacing w:after="0" w:line="22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limited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EU or other foreign regulatory requirements, they will not be able to secure and/or maintain marketing approval for their manufacturing facilities. In addition, we have limited control over the ability of our contract manufacturers to maintain adequate quality control, quality assurance and qualified personnel. If the FDA, competent authorities of EU Member States or a comparable foreign regulatory authority does not approve these facilities for the manufacture of palazestrant, or if it withdraws any such approval in the future, we may need to find alternative manufacturing facilities, which would significantly impact our ability to develop, obtain marketing approval for or market palazestrant, if approved. We, or our contract manufacturers, any future collaborators and their contract manufacturers could be subject to periodic unannounced inspections by the FDA, competent authorities of EU Member States, or other comparable foreign regulatory authorities, to monitor and ensure compliance with cGMP. Despite our efforts to audit and verify regulatory compliance, one or more of our third-party manufacturing vendors may be found on regulatory inspection by the FDA, competent authorities of EU Member States or other comparable foreign regulatory authorities to be noncompliant with cGMP regulations. Our failure, or the failure of our third-party manufacturers, to comply with applicable regulations could result in sanctions being imposed on us, including shutdown of the third-party vendor or invalidation of drug product lots or processes, fines, injunctions, civil penalties, delays, suspension, variation or withdrawal of approvals, license revocation, seizures or recalls of product candidates or drugs, operating restrictions and criminal prosecutions, any of which could significantly and adversely affect supplies of palazestrant or other drugs necessary for the development or commercialization of palazestrant and significantly harm our business, financial condition, results of operations and prospects.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Furthermore, if the third-party providers of therapies or therapies in development used in combination with palazestrant are unable to produce sufficient quantities for clinical trials or for commercialization of palazestrant, or if the cost of combination therapies are prohibitive, our development and commercialization efforts would be impaired, which would significantly harm our business, financial condition, results of operations and prospects. For example, for our Phase 1b/2 study of palazestrant in combination with KISQALI® (ribociclib) or PIQRAY® (alpelisib), or the Novartis Study Drugs, in patients with metastatic ER+ breast cancer, we entered into an Amended and Restated Clinical Collaboration and Supply Agreement with Novartis Institutes for BioMedical Research, Inc., as amended by Amendment No. 1 to Amended and Restated Clinical Collaboration and Supply Agreement between us and Novartis, and Amendment No. 2 to Amended and Restated Clinical Collaboration and Supply Agreement between us and Novartis (as amended, the Novartis Agreement). Under the terms of the Novartis Agreement, Novartis is providing KISQALI (ribociclib) and PIQRAY (alpelisib) for the clinical trial. If Novartis is unable to timely manufacture or provide KISQALI (ribociclib) or PIQRAY (alpelisib), or if the Novartis Agreement terminates and we are unable to obtain KISQALI (ribociclib) or PIQRAY (alpelisib) on the current terms, our Phase 1b/2 study may be delayed and the cost to us to conduct this trial may significantly increase, which would significantly harm our business, financial condition, results of operations and prospects. In addition, for our Phase 3 clinical trial of palazestrant in combination with ribociclib in ER+/HER2- frontline advanced or metastatic breast cancer, we entered into a Clinical Trial Collaboration and Supply Agreement with Novartis Pharma. Under the terms of the Novartis Pharma Agreement, Novartis Pharma will manufacture and supply ribociclib. If Novartis Pharma is unable to timely manufacture or supply ribociclib, or if the Novartis Pharma Agreement terminates and we are unable to obtain ribociclib on the current terms, our Phase 3 clinical trial may be delayed and the cost to us to conduct this trial may significantly increase. Either of these outcomes would significantly harm our business, financial condition, results of operations and prospects. Refer to Note 10 of our notes to the condensed consolidated financial statements contained in this Quarterly Report on Form 10-Q for further information regarding the Novartis Agreement and the Novartis Pharma Agreement.</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current and anticipated future dependence upon others for the manufacture of palazestrant or other drugs necessary for the development or commercialization of palazestrant may adversely affect our future profit margins and our ability to commercialize any product candidates that receive marketing approval on a timely and competitive basis.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palazestrant for clinical trials or our product for patients, if approved, could be delayed or prevented.</w:t>
      </w:r>
    </w:p>
    <w:p>
      <w:pPr>
        <w:spacing w:after="0" w:line="15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non-clinical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significantly harm our business, financial condition, results of operations and prospects. The use of biologically derived ingredients can also lead to allegations of harm, including infections or allergic reactions, or closure of product facilities due to possible contamination. If our manufacturers are unable to produce sufficient quantities for clinical trials or for commercialization as a result of these challenges, or otherwise, our development and commercialization efforts would be impaired, which would significantly harm our business, financial condition, results of operations and prospects.</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have engaged in and may in the future engage in additional acquisitions, strategic partnerships or in-licensing opportunities, that may increase our capital requirements, dilute our stockholders, cause us to incur debt or assume contingent liabilities, and subject us to other risks.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engaged in the past and may in the future engage in or evaluate various acquisition opportunities, strategic partnerships and in-licensing opportunities, including licensing or acquiring complementary products, intellectual property rights, technologies or businesses. Any potential acquisition or strategic partnership may entail numerous risks, including:</w:t>
      </w:r>
    </w:p>
    <w:p>
      <w:pPr>
        <w:spacing w:after="0" w:line="169" w:lineRule="exact"/>
        <w:rPr>
          <w:sz w:val="20"/>
          <w:szCs w:val="20"/>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231F20"/>
        </w:rPr>
      </w:pPr>
      <w:r>
        <w:rPr>
          <w:rFonts w:ascii="Arial" w:cs="Arial" w:eastAsia="Arial" w:hAnsi="Arial"/>
          <w:sz w:val="18"/>
          <w:szCs w:val="18"/>
          <w:color w:val="231F20"/>
        </w:rPr>
        <w:t>increased operating expenses and cash requirements;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231F20"/>
        </w:rPr>
      </w:pPr>
      <w:r>
        <w:rPr>
          <w:rFonts w:ascii="Arial" w:cs="Arial" w:eastAsia="Arial" w:hAnsi="Arial"/>
          <w:sz w:val="18"/>
          <w:szCs w:val="18"/>
          <w:color w:val="231F20"/>
        </w:rPr>
        <w:t>the assumption of contingent liabilities;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231F20"/>
        </w:rPr>
      </w:pPr>
      <w:r>
        <w:rPr>
          <w:rFonts w:ascii="Arial" w:cs="Arial" w:eastAsia="Arial" w:hAnsi="Arial"/>
          <w:sz w:val="18"/>
          <w:szCs w:val="18"/>
          <w:color w:val="231F20"/>
        </w:rPr>
        <w:t>the issuance of our equity securities;</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6"/>
        </w:numPr>
        <w:rPr>
          <w:rFonts w:ascii="Times New Roman" w:cs="Times New Roman" w:eastAsia="Times New Roman" w:hAnsi="Times New Roman"/>
          <w:sz w:val="18"/>
          <w:szCs w:val="18"/>
          <w:color w:val="231F20"/>
        </w:rPr>
      </w:pPr>
      <w:r>
        <w:rPr>
          <w:rFonts w:ascii="Arial" w:cs="Arial" w:eastAsia="Arial" w:hAnsi="Arial"/>
          <w:sz w:val="18"/>
          <w:szCs w:val="18"/>
          <w:color w:val="231F20"/>
        </w:rPr>
        <w:t>assimilation of operations, intellectual property and products of an acquired company, including difficulties associated with integrating new personnel;</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6"/>
        </w:numPr>
        <w:rPr>
          <w:rFonts w:ascii="Times New Roman" w:cs="Times New Roman" w:eastAsia="Times New Roman" w:hAnsi="Times New Roman"/>
          <w:sz w:val="18"/>
          <w:szCs w:val="18"/>
          <w:color w:val="231F20"/>
        </w:rPr>
      </w:pPr>
      <w:r>
        <w:rPr>
          <w:rFonts w:ascii="Arial" w:cs="Arial" w:eastAsia="Arial" w:hAnsi="Arial"/>
          <w:sz w:val="18"/>
          <w:szCs w:val="18"/>
          <w:color w:val="231F20"/>
        </w:rPr>
        <w:t>the diversion of our management’s attention from our existing programs and initiatives in pursuing such a strategic merger or acquisition;</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231F20"/>
        </w:rPr>
      </w:pPr>
      <w:r>
        <w:rPr>
          <w:rFonts w:ascii="Arial" w:cs="Arial" w:eastAsia="Arial" w:hAnsi="Arial"/>
          <w:sz w:val="18"/>
          <w:szCs w:val="18"/>
          <w:color w:val="231F20"/>
        </w:rPr>
        <w:t>retention of key employees, the loss of key personnel and uncertainties in our ability to maintain key business relationships;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risk of delay in receiving or the failure to receive anticipated benefits of any such transactions, or of facing unanticipated challenges;</w:t>
      </w:r>
    </w:p>
    <w:p>
      <w:pPr>
        <w:spacing w:after="0" w:line="22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46"/>
        </w:numPr>
        <w:rPr>
          <w:rFonts w:ascii="Times New Roman" w:cs="Times New Roman" w:eastAsia="Times New Roman" w:hAnsi="Times New Roman"/>
          <w:sz w:val="18"/>
          <w:szCs w:val="18"/>
          <w:color w:val="231F20"/>
        </w:rPr>
      </w:pPr>
      <w:r>
        <w:rPr>
          <w:rFonts w:ascii="Arial" w:cs="Arial" w:eastAsia="Arial" w:hAnsi="Arial"/>
          <w:sz w:val="18"/>
          <w:szCs w:val="18"/>
          <w:color w:val="231F20"/>
        </w:rPr>
        <w:t>risks and uncertainties associated with the other party to such a transaction, including the prospects of that party and their existing products or product candidates and marketing approvals; and</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6"/>
        </w:numPr>
        <w:rPr>
          <w:rFonts w:ascii="Times New Roman" w:cs="Times New Roman" w:eastAsia="Times New Roman" w:hAnsi="Times New Roman"/>
          <w:sz w:val="18"/>
          <w:szCs w:val="18"/>
          <w:color w:val="231F20"/>
        </w:rPr>
      </w:pPr>
      <w:r>
        <w:rPr>
          <w:rFonts w:ascii="Arial" w:cs="Arial" w:eastAsia="Arial" w:hAnsi="Arial"/>
          <w:sz w:val="18"/>
          <w:szCs w:val="18"/>
          <w:color w:val="231F20"/>
        </w:rPr>
        <w:t>our inability to generate revenue from acquired technology and/or products sufficient to meet our objectives in undertaking the acquisition or even to offset the associated acquisition and maintenance costs.</w:t>
      </w:r>
    </w:p>
    <w:p>
      <w:pPr>
        <w:spacing w:after="0" w:line="1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if we undertake acquisitions or pursue partnerships or in-licensing opportunities in the future, we may issue dilutive securities, assume or incur debt obligations, incur large one-time expenses and acquire intangible assets that could result in significant future amortization expense. Moreover, we may devote substantial resources and fail to realize the anticipated benefits of such efforts, or we may incorrectly judge the value of an acquired or in-licensed product candidate, technology or other asset. Any such failure to realize the anticipated benefits of any or all of our acquisitions, strategic partnerships or in-licensing opportunities in the time frame expected, or at all, could result in additional costs or loss of revenue. Furthermore, we may not be able to locate suitable acquisition opportunities, and this inability could impair our ability to grow or obtain access to technology or products that may be important to the development of our business.</w:t>
      </w:r>
    </w:p>
    <w:p>
      <w:pPr>
        <w:spacing w:after="0" w:line="18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have entered into collaborations with third parties for the development and commercialization of palazestrant. If those collaborations are not successful, we may not be able to capitalize on the market potential of palazestrant.</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third-party collaborators for the development and commercialization of palazestrant. Our likely collaborators for any future collaboration arrangements include large and mid-size pharmaceutical companies, regional and national pharmaceutical companies and biotechnology companies.</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and will likely continue to have, limited control over the amount and timing of resources that our collaborators dedicate to the development or commercialization of palazestrant. Our ability to generate revenues from these arrangements will depend on our collaborators’ abilities and efforts to successfully perform the functions assigned to them in these arrangements. Collaborations involving palazestrant could pose numerous risks to us, including the following:</w:t>
      </w:r>
    </w:p>
    <w:p>
      <w:pPr>
        <w:spacing w:after="0" w:line="174" w:lineRule="exact"/>
        <w:rPr>
          <w:sz w:val="20"/>
          <w:szCs w:val="20"/>
          <w:color w:val="auto"/>
        </w:rPr>
      </w:pPr>
    </w:p>
    <w:p>
      <w:pPr>
        <w:ind w:left="760" w:right="20" w:hanging="378"/>
        <w:spacing w:after="0" w:line="270" w:lineRule="auto"/>
        <w:tabs>
          <w:tab w:leader="none" w:pos="76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collaborators have significant discretion in determining the efforts and resources that they will apply to these collaborations and may not perform their obligations as expected;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760" w:hanging="378"/>
        <w:spacing w:after="0" w:line="246" w:lineRule="auto"/>
        <w:tabs>
          <w:tab w:leader="none" w:pos="760" w:val="left"/>
        </w:tabs>
        <w:numPr>
          <w:ilvl w:val="0"/>
          <w:numId w:val="48"/>
        </w:numPr>
        <w:rPr>
          <w:rFonts w:ascii="Times New Roman" w:cs="Times New Roman" w:eastAsia="Times New Roman" w:hAnsi="Times New Roman"/>
          <w:sz w:val="18"/>
          <w:szCs w:val="18"/>
          <w:color w:val="231F20"/>
        </w:rPr>
      </w:pPr>
      <w:r>
        <w:rPr>
          <w:rFonts w:ascii="Arial" w:cs="Arial" w:eastAsia="Arial" w:hAnsi="Arial"/>
          <w:sz w:val="18"/>
          <w:szCs w:val="18"/>
          <w:color w:val="231F20"/>
        </w:rPr>
        <w:t>collaborators may deemphasize or not pursue development and commercialization of palazestrant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176"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8"/>
        </w:numPr>
        <w:rPr>
          <w:rFonts w:ascii="Times New Roman" w:cs="Times New Roman" w:eastAsia="Times New Roman" w:hAnsi="Times New Roman"/>
          <w:sz w:val="18"/>
          <w:szCs w:val="18"/>
          <w:color w:val="231F20"/>
        </w:rPr>
      </w:pPr>
      <w:r>
        <w:rPr>
          <w:rFonts w:ascii="Arial" w:cs="Arial" w:eastAsia="Arial" w:hAnsi="Arial"/>
          <w:sz w:val="18"/>
          <w:szCs w:val="18"/>
          <w:color w:val="231F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54" w:lineRule="exact"/>
        <w:rPr>
          <w:rFonts w:ascii="Times New Roman" w:cs="Times New Roman" w:eastAsia="Times New Roman" w:hAnsi="Times New Roman"/>
          <w:sz w:val="18"/>
          <w:szCs w:val="18"/>
          <w:color w:val="231F20"/>
        </w:rPr>
      </w:pPr>
    </w:p>
    <w:p>
      <w:pPr>
        <w:jc w:val="both"/>
        <w:ind w:left="760" w:right="20" w:hanging="378"/>
        <w:spacing w:after="0" w:line="252" w:lineRule="auto"/>
        <w:tabs>
          <w:tab w:leader="none" w:pos="760" w:val="left"/>
        </w:tabs>
        <w:numPr>
          <w:ilvl w:val="0"/>
          <w:numId w:val="48"/>
        </w:numPr>
        <w:rPr>
          <w:rFonts w:ascii="Times New Roman" w:cs="Times New Roman" w:eastAsia="Times New Roman" w:hAnsi="Times New Roman"/>
          <w:sz w:val="18"/>
          <w:szCs w:val="18"/>
          <w:color w:val="231F20"/>
        </w:rPr>
      </w:pPr>
      <w:r>
        <w:rPr>
          <w:rFonts w:ascii="Arial" w:cs="Arial" w:eastAsia="Arial" w:hAnsi="Arial"/>
          <w:sz w:val="18"/>
          <w:szCs w:val="18"/>
          <w:color w:val="231F20"/>
        </w:rPr>
        <w:t>collaborators could independently develop, or develop with third parties, products that compete directly or indirectly with palazestrant if the collaborators believe that competitive products are more likely to be successfully developed or can be commercialized under terms that are more economically attractive than ours;</w:t>
      </w:r>
    </w:p>
    <w:p>
      <w:pPr>
        <w:spacing w:after="0" w:line="170"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8"/>
        </w:numPr>
        <w:rPr>
          <w:rFonts w:ascii="Times New Roman" w:cs="Times New Roman" w:eastAsia="Times New Roman" w:hAnsi="Times New Roman"/>
          <w:sz w:val="18"/>
          <w:szCs w:val="18"/>
          <w:color w:val="231F20"/>
        </w:rPr>
      </w:pPr>
      <w:r>
        <w:rPr>
          <w:rFonts w:ascii="Arial" w:cs="Arial" w:eastAsia="Arial" w:hAnsi="Arial"/>
          <w:sz w:val="18"/>
          <w:szCs w:val="18"/>
          <w:color w:val="231F20"/>
        </w:rPr>
        <w:t>a collaborator with marketing and distribution rights to multiple products may not commit sufficient resources to the marketing and distribution of our product relative to other products;</w:t>
      </w:r>
    </w:p>
    <w:p>
      <w:pPr>
        <w:spacing w:after="0" w:line="154" w:lineRule="exact"/>
        <w:rPr>
          <w:rFonts w:ascii="Times New Roman" w:cs="Times New Roman" w:eastAsia="Times New Roman" w:hAnsi="Times New Roman"/>
          <w:sz w:val="18"/>
          <w:szCs w:val="18"/>
          <w:color w:val="231F20"/>
        </w:rPr>
      </w:pPr>
    </w:p>
    <w:p>
      <w:pPr>
        <w:jc w:val="both"/>
        <w:ind w:left="760" w:hanging="378"/>
        <w:spacing w:after="0" w:line="246" w:lineRule="auto"/>
        <w:tabs>
          <w:tab w:leader="none" w:pos="760" w:val="left"/>
        </w:tabs>
        <w:numPr>
          <w:ilvl w:val="0"/>
          <w:numId w:val="48"/>
        </w:numPr>
        <w:rPr>
          <w:rFonts w:ascii="Times New Roman" w:cs="Times New Roman" w:eastAsia="Times New Roman" w:hAnsi="Times New Roman"/>
          <w:sz w:val="18"/>
          <w:szCs w:val="18"/>
          <w:color w:val="231F20"/>
        </w:rPr>
      </w:pPr>
      <w:r>
        <w:rPr>
          <w:rFonts w:ascii="Arial" w:cs="Arial" w:eastAsia="Arial" w:hAnsi="Arial"/>
          <w:sz w:val="18"/>
          <w:szCs w:val="18"/>
          <w:color w:val="231F20"/>
        </w:rPr>
        <w:t>collaborators may not properly obtain, maintain, defend or enforce our intellectual property rights or may use our proprietary information and intellectual property in such a way as to invite litigation or other intellectual property-related proceedings that could jeopardize or invalidate our proprietary information and intellectual property or expose us to potential litigation or other intellectual property-related proceedings;</w:t>
      </w:r>
    </w:p>
    <w:p>
      <w:pPr>
        <w:spacing w:after="0" w:line="176"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8"/>
        </w:numPr>
        <w:rPr>
          <w:rFonts w:ascii="Times New Roman" w:cs="Times New Roman" w:eastAsia="Times New Roman" w:hAnsi="Times New Roman"/>
          <w:sz w:val="18"/>
          <w:szCs w:val="18"/>
          <w:color w:val="231F20"/>
        </w:rPr>
      </w:pPr>
      <w:r>
        <w:rPr>
          <w:rFonts w:ascii="Arial" w:cs="Arial" w:eastAsia="Arial" w:hAnsi="Arial"/>
          <w:sz w:val="18"/>
          <w:szCs w:val="18"/>
          <w:color w:val="231F20"/>
        </w:rPr>
        <w:t>disputes may arise between the collaborators and us that result in the delay or termination of the research, development or commercialization of palazestrant or that result in costly litigation or arbitration that diverts management attention and resources;</w:t>
      </w:r>
    </w:p>
    <w:p>
      <w:pPr>
        <w:spacing w:after="0" w:line="15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48"/>
        </w:numPr>
        <w:rPr>
          <w:rFonts w:ascii="Times New Roman" w:cs="Times New Roman" w:eastAsia="Times New Roman" w:hAnsi="Times New Roman"/>
          <w:sz w:val="18"/>
          <w:szCs w:val="18"/>
          <w:color w:val="231F20"/>
        </w:rPr>
      </w:pPr>
      <w:r>
        <w:rPr>
          <w:rFonts w:ascii="Arial" w:cs="Arial" w:eastAsia="Arial" w:hAnsi="Arial"/>
          <w:sz w:val="18"/>
          <w:szCs w:val="18"/>
          <w:color w:val="231F20"/>
        </w:rPr>
        <w:t>collaborations may be terminated and, if terminated, may result in a need for additional capital to pursue further development or commercialization of the applicable product candidates;</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8"/>
        </w:numPr>
        <w:rPr>
          <w:rFonts w:ascii="Times New Roman" w:cs="Times New Roman" w:eastAsia="Times New Roman" w:hAnsi="Times New Roman"/>
          <w:sz w:val="18"/>
          <w:szCs w:val="18"/>
          <w:color w:val="231F20"/>
        </w:rPr>
      </w:pPr>
      <w:r>
        <w:rPr>
          <w:rFonts w:ascii="Arial" w:cs="Arial" w:eastAsia="Arial" w:hAnsi="Arial"/>
          <w:sz w:val="18"/>
          <w:szCs w:val="18"/>
          <w:color w:val="231F20"/>
        </w:rPr>
        <w:t>collaboration agreements may not lead to development or commercialization of product candidates in the most efficient manner or at all; and</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8"/>
        </w:numPr>
        <w:rPr>
          <w:rFonts w:ascii="Times New Roman" w:cs="Times New Roman" w:eastAsia="Times New Roman" w:hAnsi="Times New Roman"/>
          <w:sz w:val="18"/>
          <w:szCs w:val="18"/>
          <w:color w:val="231F20"/>
        </w:rPr>
      </w:pPr>
      <w:r>
        <w:rPr>
          <w:rFonts w:ascii="Arial" w:cs="Arial" w:eastAsia="Arial" w:hAnsi="Arial"/>
          <w:sz w:val="18"/>
          <w:szCs w:val="18"/>
          <w:color w:val="231F20"/>
        </w:rPr>
        <w:t>if a collaborator of ours were to be involved in a business combination, the continued pursuit and emphasis on our drug development or commercialization program could be delayed, diminished or terminated.</w:t>
      </w:r>
    </w:p>
    <w:p>
      <w:pPr>
        <w:spacing w:after="0" w:line="15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decide to establish collaborations in the future but are not able to establish those collaborations on commercially reasonable terms, we may have to alter our development and commercialization plans.</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drug development programs and the potential commercialization of palazestrant, OP-3136 or any future product candidates we may develop will require substantial additional cash to fund expenses. We may continue to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we seek collaborations in the future, we will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European Commission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alternative product candidates or technologies for similar indications that may be available to collaborate on and whether such collaboration could be more attractive than the one with us for palazestrant, OP-3136 or any future product candidates we may develop.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and when we seek to enter into additional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palazestrant, OP-3136 or any future product candidates we may develop or bring them to market and generate product revenue.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common stock is currently listed on The Nasdaq Global Select Market under the symbol “OLMA.” However, we cannot assure you that an active trading market for our common stock will be sustained. Accordingly, we cannot assure you of the liquidity of any trading market, your ability to sell your shares of our common stock when desired, or the prices that you may obtain for your shares. Further, an inactive market may also impair our ability to raise capital by selling our common stock and may impair our ability to enter into strategic partnerships or acquire businesses, products, or technologies using our common stock as consideration.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has been and may continue to be volatile, and you could lose all or part of your investment.</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trading price of our common stock has been and may continue to be highly volatile and subject to wide fluctuations in response to various factors, some of which we cannot control. For example, the closing price of our common stock from January 1, 2024 to November 5, 2025 has ranged from a low of $3.06 to a high of $16.62.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Broad market and industry factors may negatively affect the market price of our common stock, regardless of our actual operating performance. In addition to the factors discussed in this “Risk Factors” section and elsewhere in this Quarterly Report on Form 10-Q, these factors include:</w:t>
      </w:r>
    </w:p>
    <w:p>
      <w:pPr>
        <w:spacing w:after="0" w:line="169" w:lineRule="exact"/>
        <w:rPr>
          <w:sz w:val="20"/>
          <w:szCs w:val="20"/>
          <w:color w:val="auto"/>
        </w:rPr>
      </w:pPr>
    </w:p>
    <w:p>
      <w:pPr>
        <w:ind w:left="760" w:right="20" w:hanging="378"/>
        <w:spacing w:after="0" w:line="270" w:lineRule="auto"/>
        <w:tabs>
          <w:tab w:leader="none" w:pos="760" w:val="left"/>
        </w:tabs>
        <w:numPr>
          <w:ilvl w:val="0"/>
          <w:numId w:val="49"/>
        </w:numPr>
        <w:rPr>
          <w:rFonts w:ascii="Times New Roman" w:cs="Times New Roman" w:eastAsia="Times New Roman" w:hAnsi="Times New Roman"/>
          <w:sz w:val="18"/>
          <w:szCs w:val="18"/>
          <w:color w:val="231F20"/>
        </w:rPr>
      </w:pPr>
      <w:r>
        <w:rPr>
          <w:rFonts w:ascii="Arial" w:cs="Arial" w:eastAsia="Arial" w:hAnsi="Arial"/>
          <w:sz w:val="18"/>
          <w:szCs w:val="18"/>
          <w:color w:val="231F20"/>
        </w:rPr>
        <w:t>the timing and results of non-clinical studies and clinical trials of palazestrant</w:t>
      </w:r>
      <w:r>
        <w:rPr>
          <w:rFonts w:ascii="Arial" w:cs="Arial" w:eastAsia="Arial" w:hAnsi="Arial"/>
          <w:sz w:val="18"/>
          <w:szCs w:val="18"/>
          <w:color w:val="000000"/>
        </w:rPr>
        <w:t>, OP-3136</w:t>
      </w:r>
      <w:r>
        <w:rPr>
          <w:rFonts w:ascii="Arial" w:cs="Arial" w:eastAsia="Arial" w:hAnsi="Arial"/>
          <w:sz w:val="18"/>
          <w:szCs w:val="18"/>
          <w:color w:val="231F20"/>
        </w:rPr>
        <w:t xml:space="preserve"> or any future product candidates we may develop or those of our competitors;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231F20"/>
        </w:rPr>
      </w:pPr>
      <w:r>
        <w:rPr>
          <w:rFonts w:ascii="Arial" w:cs="Arial" w:eastAsia="Arial" w:hAnsi="Arial"/>
          <w:sz w:val="18"/>
          <w:szCs w:val="18"/>
          <w:color w:val="231F20"/>
        </w:rPr>
        <w:t>the success of competitive products or announcements by potential competitors of their product development efforts;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231F20"/>
        </w:rPr>
      </w:pPr>
      <w:r>
        <w:rPr>
          <w:rFonts w:ascii="Arial" w:cs="Arial" w:eastAsia="Arial" w:hAnsi="Arial"/>
          <w:sz w:val="18"/>
          <w:szCs w:val="18"/>
          <w:color w:val="231F20"/>
        </w:rPr>
        <w:t>regulatory actions with respect to our product candidates or our competitors’ products;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231F20"/>
        </w:rPr>
      </w:pPr>
      <w:r>
        <w:rPr>
          <w:rFonts w:ascii="Arial" w:cs="Arial" w:eastAsia="Arial" w:hAnsi="Arial"/>
          <w:sz w:val="18"/>
          <w:szCs w:val="18"/>
          <w:color w:val="231F20"/>
        </w:rPr>
        <w:t>actual or anticipated changes in our growth rate relative to our competitors;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231F20"/>
        </w:rPr>
      </w:pPr>
      <w:r>
        <w:rPr>
          <w:rFonts w:ascii="Arial" w:cs="Arial" w:eastAsia="Arial" w:hAnsi="Arial"/>
          <w:sz w:val="18"/>
          <w:szCs w:val="18"/>
          <w:color w:val="231F20"/>
        </w:rPr>
        <w:t>regulatory or legal developments in the United States and other countries;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231F20"/>
        </w:rPr>
      </w:pPr>
      <w:r>
        <w:rPr>
          <w:rFonts w:ascii="Arial" w:cs="Arial" w:eastAsia="Arial" w:hAnsi="Arial"/>
          <w:sz w:val="18"/>
          <w:szCs w:val="18"/>
          <w:color w:val="231F20"/>
        </w:rPr>
        <w:t>developments or disputes concerning patent applications, issued patents or other proprietary rights;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231F20"/>
        </w:rPr>
      </w:pPr>
      <w:r>
        <w:rPr>
          <w:rFonts w:ascii="Arial" w:cs="Arial" w:eastAsia="Arial" w:hAnsi="Arial"/>
          <w:sz w:val="18"/>
          <w:szCs w:val="18"/>
          <w:color w:val="231F20"/>
        </w:rPr>
        <w:t>the recruitment or departure of key personnel;</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50"/>
        </w:numPr>
        <w:rPr>
          <w:rFonts w:ascii="Times New Roman" w:cs="Times New Roman" w:eastAsia="Times New Roman" w:hAnsi="Times New Roman"/>
          <w:sz w:val="18"/>
          <w:szCs w:val="18"/>
          <w:color w:val="231F20"/>
        </w:rPr>
      </w:pPr>
      <w:r>
        <w:rPr>
          <w:rFonts w:ascii="Arial" w:cs="Arial" w:eastAsia="Arial" w:hAnsi="Arial"/>
          <w:sz w:val="18"/>
          <w:szCs w:val="18"/>
          <w:color w:val="231F20"/>
        </w:rPr>
        <w:t>announcements by us or our competitors of significant acquisitions, strategic collaborations, joint ventures, collaborations or capital commitments;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231F20"/>
        </w:rPr>
      </w:pPr>
      <w:r>
        <w:rPr>
          <w:rFonts w:ascii="Arial" w:cs="Arial" w:eastAsia="Arial" w:hAnsi="Arial"/>
          <w:sz w:val="18"/>
          <w:szCs w:val="18"/>
          <w:color w:val="231F20"/>
        </w:rPr>
        <w:t>actual or anticipated changes in estimates as to financial results, development timelines or recommendations by securities analysts;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231F20"/>
        </w:rPr>
      </w:pPr>
      <w:r>
        <w:rPr>
          <w:rFonts w:ascii="Arial" w:cs="Arial" w:eastAsia="Arial" w:hAnsi="Arial"/>
          <w:sz w:val="18"/>
          <w:szCs w:val="18"/>
          <w:color w:val="231F20"/>
        </w:rPr>
        <w:t>fluctuations in the valuation of companies perceived by investors to be comparable to us;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231F20"/>
        </w:rPr>
      </w:pPr>
      <w:r>
        <w:rPr>
          <w:rFonts w:ascii="Arial" w:cs="Arial" w:eastAsia="Arial" w:hAnsi="Arial"/>
          <w:sz w:val="18"/>
          <w:szCs w:val="18"/>
          <w:color w:val="231F20"/>
        </w:rPr>
        <w:t>market conditions in the pharmaceutical and biotechnology sector;</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231F20"/>
        </w:rPr>
      </w:pPr>
      <w:r>
        <w:rPr>
          <w:rFonts w:ascii="Arial" w:cs="Arial" w:eastAsia="Arial" w:hAnsi="Arial"/>
          <w:sz w:val="18"/>
          <w:szCs w:val="18"/>
          <w:color w:val="231F20"/>
        </w:rPr>
        <w:t>changes in the structure of healthcare payment systems;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231F20"/>
        </w:rPr>
      </w:pPr>
      <w:r>
        <w:rPr>
          <w:rFonts w:ascii="Arial" w:cs="Arial" w:eastAsia="Arial" w:hAnsi="Arial"/>
          <w:sz w:val="18"/>
          <w:szCs w:val="18"/>
          <w:color w:val="231F20"/>
        </w:rPr>
        <w:t>share price and volume fluctuations attributable to inconsistent trading volume levels of our shares;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231F20"/>
        </w:rPr>
      </w:pPr>
      <w:r>
        <w:rPr>
          <w:rFonts w:ascii="Arial" w:cs="Arial" w:eastAsia="Arial" w:hAnsi="Arial"/>
          <w:sz w:val="18"/>
          <w:szCs w:val="18"/>
          <w:color w:val="231F20"/>
        </w:rPr>
        <w:t>announcement or expectation of additional financing efforts;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231F20"/>
        </w:rPr>
      </w:pPr>
      <w:r>
        <w:rPr>
          <w:rFonts w:ascii="Arial" w:cs="Arial" w:eastAsia="Arial" w:hAnsi="Arial"/>
          <w:sz w:val="18"/>
          <w:szCs w:val="18"/>
          <w:color w:val="231F20"/>
        </w:rPr>
        <w:t>sales of our common stock by us, our insiders or our other stockholders; and</w:t>
      </w:r>
    </w:p>
    <w:p>
      <w:pPr>
        <w:spacing w:after="0" w:line="224" w:lineRule="exact"/>
        <w:rPr>
          <w:rFonts w:ascii="Times New Roman" w:cs="Times New Roman" w:eastAsia="Times New Roman" w:hAnsi="Times New Roman"/>
          <w:sz w:val="18"/>
          <w:szCs w:val="18"/>
          <w:color w:val="231F20"/>
        </w:rPr>
      </w:pPr>
    </w:p>
    <w:p>
      <w:pPr>
        <w:jc w:val="both"/>
        <w:ind w:left="760" w:hanging="378"/>
        <w:spacing w:after="0" w:line="243" w:lineRule="auto"/>
        <w:tabs>
          <w:tab w:leader="none" w:pos="760" w:val="left"/>
        </w:tabs>
        <w:numPr>
          <w:ilvl w:val="0"/>
          <w:numId w:val="50"/>
        </w:numPr>
        <w:rPr>
          <w:rFonts w:ascii="Times New Roman" w:cs="Times New Roman" w:eastAsia="Times New Roman" w:hAnsi="Times New Roman"/>
          <w:sz w:val="18"/>
          <w:szCs w:val="18"/>
          <w:color w:val="231F20"/>
        </w:rPr>
      </w:pPr>
      <w:r>
        <w:rPr>
          <w:rFonts w:ascii="Arial" w:cs="Arial" w:eastAsia="Arial" w:hAnsi="Arial"/>
          <w:sz w:val="18"/>
          <w:szCs w:val="18"/>
          <w:color w:val="231F20"/>
        </w:rPr>
        <w:t>the geopolitical and macroeconomic environment, generally, including economic uncertainty, market volatility, labor shortages, recent and changing tariff policy announcements, tariffs, trade tensions and retaliatory measures by other countries, supply chain disruptions, the ongoing conflicts between Ukraine and Russia and in the Middle East, as well as any related political or economic responses and counter-responses or otherwise by various global actors, inflationary pressures, monetary supply shifts, increased recession risk, and related financial instability.</w:t>
      </w:r>
    </w:p>
    <w:p>
      <w:pPr>
        <w:spacing w:after="0" w:line="18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addition, the trading prices for common stock of other biopharmaceutical companies have been highly volatile as a result of factors unrelated to the specific company or its technology.</w:t>
      </w:r>
    </w:p>
    <w:p>
      <w:pPr>
        <w:spacing w:after="0" w:line="15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83"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13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154" w:lineRule="exact"/>
        <w:rPr>
          <w:sz w:val="20"/>
          <w:szCs w:val="20"/>
          <w:color w:val="auto"/>
        </w:rPr>
      </w:pPr>
    </w:p>
    <w:p>
      <w:pPr>
        <w:ind w:left="760" w:hanging="378"/>
        <w:spacing w:after="0" w:line="270" w:lineRule="auto"/>
        <w:tabs>
          <w:tab w:leader="none" w:pos="760" w:val="left"/>
        </w:tabs>
        <w:numPr>
          <w:ilvl w:val="0"/>
          <w:numId w:val="51"/>
        </w:numPr>
        <w:rPr>
          <w:rFonts w:ascii="Times New Roman" w:cs="Times New Roman" w:eastAsia="Times New Roman" w:hAnsi="Times New Roman"/>
          <w:sz w:val="18"/>
          <w:szCs w:val="18"/>
          <w:color w:val="231F20"/>
        </w:rPr>
      </w:pPr>
      <w:r>
        <w:rPr>
          <w:rFonts w:ascii="Arial" w:cs="Arial" w:eastAsia="Arial" w:hAnsi="Arial"/>
          <w:sz w:val="18"/>
          <w:szCs w:val="18"/>
          <w:color w:val="231F20"/>
        </w:rPr>
        <w:t>timing and variations in the level of expense related to the ongoing development of palazestrant, OP-3136 or future development programs;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231F20"/>
        </w:rPr>
      </w:pPr>
      <w:r>
        <w:rPr>
          <w:rFonts w:ascii="Arial" w:cs="Arial" w:eastAsia="Arial" w:hAnsi="Arial"/>
          <w:sz w:val="18"/>
          <w:szCs w:val="18"/>
          <w:color w:val="231F20"/>
        </w:rPr>
        <w:t>timing and status of enrollment for our clinical trials;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231F20"/>
        </w:rPr>
      </w:pPr>
      <w:r>
        <w:rPr>
          <w:rFonts w:ascii="Arial" w:cs="Arial" w:eastAsia="Arial" w:hAnsi="Arial"/>
          <w:sz w:val="18"/>
          <w:szCs w:val="18"/>
          <w:color w:val="231F20"/>
        </w:rPr>
        <w:t>impacts from geopolitical and macroeconomic events on us or third parties with which we engage;</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231F20"/>
        </w:rPr>
      </w:pPr>
      <w:r>
        <w:rPr>
          <w:rFonts w:ascii="Arial" w:cs="Arial" w:eastAsia="Arial" w:hAnsi="Arial"/>
          <w:sz w:val="18"/>
          <w:szCs w:val="18"/>
          <w:color w:val="231F20"/>
        </w:rPr>
        <w:t>results of clinical trials, or the addition or termination of clinical trials or funding support by us or potential future partners;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60" w:right="20" w:hanging="378"/>
        <w:spacing w:after="0" w:line="270" w:lineRule="auto"/>
        <w:tabs>
          <w:tab w:leader="none" w:pos="760" w:val="left"/>
        </w:tabs>
        <w:numPr>
          <w:ilvl w:val="0"/>
          <w:numId w:val="52"/>
        </w:numPr>
        <w:rPr>
          <w:rFonts w:ascii="Times New Roman" w:cs="Times New Roman" w:eastAsia="Times New Roman" w:hAnsi="Times New Roman"/>
          <w:sz w:val="18"/>
          <w:szCs w:val="18"/>
          <w:color w:val="231F20"/>
        </w:rPr>
      </w:pPr>
      <w:r>
        <w:rPr>
          <w:rFonts w:ascii="Arial" w:cs="Arial" w:eastAsia="Arial" w:hAnsi="Arial"/>
          <w:sz w:val="18"/>
          <w:szCs w:val="18"/>
          <w:color w:val="231F20"/>
        </w:rPr>
        <w:t>our execution of any collaboration, licensing or similar arrangements, and the timing of payments we may make or receive under potential future arrangements or the termination or modification of any such potential future arrangements;</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52"/>
        </w:numPr>
        <w:rPr>
          <w:rFonts w:ascii="Times New Roman" w:cs="Times New Roman" w:eastAsia="Times New Roman" w:hAnsi="Times New Roman"/>
          <w:sz w:val="18"/>
          <w:szCs w:val="18"/>
          <w:color w:val="231F20"/>
        </w:rPr>
      </w:pPr>
      <w:r>
        <w:rPr>
          <w:rFonts w:ascii="Arial" w:cs="Arial" w:eastAsia="Arial" w:hAnsi="Arial"/>
          <w:sz w:val="18"/>
          <w:szCs w:val="18"/>
          <w:color w:val="231F20"/>
        </w:rPr>
        <w:t>any intellectual property infringement, misappropriation or violation lawsuit or opposition, interference or cancellation proceeding in which we may become involved;</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52"/>
        </w:numPr>
        <w:rPr>
          <w:rFonts w:ascii="Times New Roman" w:cs="Times New Roman" w:eastAsia="Times New Roman" w:hAnsi="Times New Roman"/>
          <w:sz w:val="18"/>
          <w:szCs w:val="18"/>
          <w:color w:val="231F20"/>
        </w:rPr>
      </w:pPr>
      <w:r>
        <w:rPr>
          <w:rFonts w:ascii="Arial" w:cs="Arial" w:eastAsia="Arial" w:hAnsi="Arial"/>
          <w:sz w:val="18"/>
          <w:szCs w:val="18"/>
          <w:color w:val="231F20"/>
        </w:rPr>
        <w:t>additions and departures of key personnel;</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52"/>
        </w:numPr>
        <w:rPr>
          <w:rFonts w:ascii="Times New Roman" w:cs="Times New Roman" w:eastAsia="Times New Roman" w:hAnsi="Times New Roman"/>
          <w:sz w:val="18"/>
          <w:szCs w:val="18"/>
          <w:color w:val="231F20"/>
        </w:rPr>
      </w:pPr>
      <w:r>
        <w:rPr>
          <w:rFonts w:ascii="Arial" w:cs="Arial" w:eastAsia="Arial" w:hAnsi="Arial"/>
          <w:sz w:val="18"/>
          <w:szCs w:val="18"/>
          <w:color w:val="231F20"/>
        </w:rPr>
        <w:t>strategic decisions by us or our competitors, such as acquisitions, divestitures, spin-offs, joint ventures, strategic investments or changes in business strategy;</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52"/>
        </w:numPr>
        <w:rPr>
          <w:rFonts w:ascii="Times New Roman" w:cs="Times New Roman" w:eastAsia="Times New Roman" w:hAnsi="Times New Roman"/>
          <w:sz w:val="18"/>
          <w:szCs w:val="18"/>
          <w:color w:val="231F20"/>
        </w:rPr>
      </w:pPr>
      <w:r>
        <w:rPr>
          <w:rFonts w:ascii="Arial" w:cs="Arial" w:eastAsia="Arial" w:hAnsi="Arial"/>
          <w:sz w:val="18"/>
          <w:szCs w:val="18"/>
          <w:color w:val="231F20"/>
        </w:rPr>
        <w:t>if palazestrant</w:t>
      </w:r>
      <w:r>
        <w:rPr>
          <w:rFonts w:ascii="Arial" w:cs="Arial" w:eastAsia="Arial" w:hAnsi="Arial"/>
          <w:sz w:val="18"/>
          <w:szCs w:val="18"/>
          <w:color w:val="000000"/>
        </w:rPr>
        <w:t>, OP-3136</w:t>
      </w:r>
      <w:r>
        <w:rPr>
          <w:rFonts w:ascii="Arial" w:cs="Arial" w:eastAsia="Arial" w:hAnsi="Arial"/>
          <w:sz w:val="18"/>
          <w:szCs w:val="18"/>
          <w:color w:val="231F20"/>
        </w:rPr>
        <w:t xml:space="preserve"> or any future product candidate we may develop receive regulatory approval, the timing and terms of such approval and market acceptance and demand for such product candidates;</w:t>
      </w:r>
    </w:p>
    <w:p>
      <w:pPr>
        <w:spacing w:after="0" w:line="15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52"/>
        </w:numPr>
        <w:rPr>
          <w:rFonts w:ascii="Times New Roman" w:cs="Times New Roman" w:eastAsia="Times New Roman" w:hAnsi="Times New Roman"/>
          <w:sz w:val="18"/>
          <w:szCs w:val="18"/>
          <w:color w:val="231F20"/>
        </w:rPr>
      </w:pPr>
      <w:r>
        <w:rPr>
          <w:rFonts w:ascii="Arial" w:cs="Arial" w:eastAsia="Arial" w:hAnsi="Arial"/>
          <w:sz w:val="18"/>
          <w:szCs w:val="18"/>
          <w:color w:val="231F20"/>
        </w:rPr>
        <w:t>the timing and cost to establish a sales, marketing and distribution infrastructure to commercialize any products for which we may obtain marketing approval and intend to commercialize on our own or jointly with current or future collaborators;</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52"/>
        </w:numPr>
        <w:rPr>
          <w:rFonts w:ascii="Times New Roman" w:cs="Times New Roman" w:eastAsia="Times New Roman" w:hAnsi="Times New Roman"/>
          <w:sz w:val="18"/>
          <w:szCs w:val="18"/>
          <w:color w:val="231F20"/>
        </w:rPr>
      </w:pPr>
      <w:r>
        <w:rPr>
          <w:rFonts w:ascii="Arial" w:cs="Arial" w:eastAsia="Arial" w:hAnsi="Arial"/>
          <w:sz w:val="18"/>
          <w:szCs w:val="18"/>
          <w:color w:val="231F20"/>
        </w:rPr>
        <w:t>regulatory developments affecting palazestrant</w:t>
      </w:r>
      <w:r>
        <w:rPr>
          <w:rFonts w:ascii="Arial" w:cs="Arial" w:eastAsia="Arial" w:hAnsi="Arial"/>
          <w:sz w:val="18"/>
          <w:szCs w:val="18"/>
          <w:color w:val="000000"/>
        </w:rPr>
        <w:t>, OP-3136</w:t>
      </w:r>
      <w:r>
        <w:rPr>
          <w:rFonts w:ascii="Arial" w:cs="Arial" w:eastAsia="Arial" w:hAnsi="Arial"/>
          <w:sz w:val="18"/>
          <w:szCs w:val="18"/>
          <w:color w:val="231F20"/>
        </w:rPr>
        <w:t xml:space="preserve"> or any future product candidate we may develop or those of our competitors; and</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52"/>
        </w:numPr>
        <w:rPr>
          <w:rFonts w:ascii="Times New Roman" w:cs="Times New Roman" w:eastAsia="Times New Roman" w:hAnsi="Times New Roman"/>
          <w:sz w:val="18"/>
          <w:szCs w:val="18"/>
          <w:color w:val="231F20"/>
        </w:rPr>
      </w:pPr>
      <w:r>
        <w:rPr>
          <w:rFonts w:ascii="Arial" w:cs="Arial" w:eastAsia="Arial" w:hAnsi="Arial"/>
          <w:sz w:val="18"/>
          <w:szCs w:val="18"/>
          <w:color w:val="231F20"/>
        </w:rPr>
        <w:t>changes in general market and economic conditions.</w:t>
      </w:r>
    </w:p>
    <w:p>
      <w:pPr>
        <w:spacing w:after="0" w:line="22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7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executive officers, directors, significant stockholders and their respective affiliates beneficially own a significant percentage of our common stock. Therefore, these stockholders are able to significantly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November 5, 2025, we had 68,659,923 shares of common stock and pre-funded warrants to purchase up to 17,094,163 shares of common stock outstanding (which are immediately exercisable at an exercise price of $0.0001 per share of common stock, subject to beneficial ownership limitations). Refer to Notes 2 and 12 of</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notes to the condensed consolidated financial statements contained in this Quarterly Report on Form 10-Q for further information regarding the pre-funded warrants. Shares issued upon the exercise of any such pre-funded warrants as well as stock options outstanding under our equity incentive plans or pursuant to future awards granted under those plans will become available for sale in the public market to the extent permitted by the provisions of applicable vesting schedules, and Rules 144 and 701 under the Securities Act.</w:t>
      </w:r>
    </w:p>
    <w:p>
      <w:pPr>
        <w:spacing w:after="0" w:line="24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were obligated to file registration statements with the Securities and Exchange Commission to register all of the shares, including shares issuable upon the exercise of pre-funded warrants, issued in each of our private placement transactions for public resale, and are required to maintain effectiveness of both registration statements until the earliest of (i) the second anniversary of the effective date of such registration statement, (ii) such time as all of the shares issued in such private placement have been sold pursuant to such registration statement, or (iii) such time as the shares issued in such private placement become eligible for resale by non-affiliates without any volume limitations or other restrictions pursuant to Rule 144(b)(1)(i) under the Securities Act or any other rule of similar effect. In January 2025, we filed a universal shelf registration statement pursuant to which we may offer and sell shares from time to time, including 2025 ATM Shares pursuant to our at-the-marketing offering program currently in place. We also register the offer and sale of all shares of common stock that we may issue under our equity compensation plans. Once we register the offer and sale of shares for the holders of registration rights and shares that may be issued under our equity incentive plans, these shares will be able to be sold in the public market upon issuance, subject to applicable securities laws.</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palazestrant, OP-3136 or future product candidates we may develop on unfavorable terms to us.</w:t>
      </w:r>
    </w:p>
    <w:p>
      <w:pPr>
        <w:spacing w:after="0" w:line="1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in the past, and may again in the future seek additional capital through a variety of means, including through public or private equity offerings, debt financings or other sources, including up-front payments and milestone payments from strategic collaborations. For example, in December 2024, we completed a private placement of 19,928,875 shares of our common stock and pre-funded warrants to purchase up to 7,604,163 shares of our common stock to selected institutional and accredited investors pursuant to a securities purchase and exchange agreement in connection with the 2024 Private Placement. In addition, in January 2025, we entered into the 2025 Sales Agreement with TD Cowen pursuant to which we may offer and sell, from time to time through TD Cowen, at our option, shares of our common stock having an aggregate offering price of up to $150.0 million in one or more at-the-market offerings which replaced the 2024 Sales Agreement with Cowen and Company. As of the quarter ended September 30, 2025, we have issued 1,772,278 shares of our common stock under the 2024 Sales Agreement and we have not issued any shares of common stock under the 2025 Sales Agreement. To the extent that we raise additional capital through the sale of equity or convertible debt or equity securities, including pursuant to exercises of outstanding pre-funded warrants or sales under the 2025 Sales Agreement, your ownership interest will be diluted, our stock price could fall and the terms may include liquidation or other preferences that adversely affect your rights as a stockholder. Future financing activities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palazestrant or future product candidates we may develop,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We qualify as a “smaller reporting company” within the meaning of the Exchange Act and may take advantage of certain exemptions from disclosure requirements available to smaller reporting companies, which could make our securities less attractive to investors and may make it more difficult to compare our performance to the performance of other public companies.</w:t>
      </w:r>
    </w:p>
    <w:p>
      <w:pPr>
        <w:spacing w:after="0" w:line="15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Because our annual revenue was less than $100.0 million during the most recently completed fiscal year and the market value of our voting and non-voting common stock held by non-affiliates was less than $700.0 million measured on the last business day of our second fiscal quarter for the year ended December 31, 2024, we qualify as a “smaller reporting company” as defined in the Exchange Act. We may take advantage of certain of the scaled disclosures available to smaller reporting companies including, among other things, not being required to comply with the auditor attestation requirements of Section 404 of the Sarbanes-Oxley Act (Section 404), presenting only the two most recent fiscal years of audited financial statements in our Annual Report on Form 10-K and presenting reduced disclosure obligations regarding executive compensation in our periodic reports and proxy statements.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or future changes to tax laws could materially adversely affect our company.</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United States passed the Inflation Reduction Act in 2022, which provides for a minimum tax equal to 15% of the adjusted financial statement income of certain large corporations, as well as a 1% excise tax on certain share buybacks by public corporations that would be imposed on such corporations. In addition, it is uncertain if and to what extent various states will conform to federal tax legislation. The impact of such changes or future legislation could increase our U.S. tax expense and could have a material adverse impact on our business and financial condition. In addition, the pricing of our intercompany transactions may be challenged by taxing authorities, with potential increases in income and other taxes that could impact our business and financial condition.</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amended and restated bylaws and Delaware law could make an acquisition of us, which may be beneficial to our stockholders, more difficult and may prevent attempts by our stockholders to replace or remove our current management.</w:t>
      </w:r>
    </w:p>
    <w:p>
      <w:pPr>
        <w:spacing w:after="0" w:line="15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amended and restated certificate of incorporation and amended and restated bylaws may discourage, delay or prevent a merger, acquisition or other change in control of us that stockholders may consider favorable, including transactions in which holders of our common stock might otherwise receive a premium.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85" w:lineRule="exact"/>
        <w:rPr>
          <w:sz w:val="20"/>
          <w:szCs w:val="20"/>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 classified Board of Directors such that not all members of our Board of Directors are elected at one time;</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limit the manner in which stockholders can remove directors from our Board of Directors;</w:t>
      </w:r>
    </w:p>
    <w:p>
      <w:pPr>
        <w:spacing w:after="0" w:line="22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60" w:hanging="378"/>
        <w:spacing w:after="0" w:line="270" w:lineRule="auto"/>
        <w:tabs>
          <w:tab w:leader="none" w:pos="76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prohibit our stockholders from calling a special meeting of our stockholders;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prohibit cumulative voting;</w:t>
      </w:r>
    </w:p>
    <w:p>
      <w:pPr>
        <w:spacing w:after="0" w:line="224"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170"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the approval of the holders of at least 66 2⁄3% of the votes that all our stockholders would be entitled to cast to amend or repeal certain provisions of our amended and restated certificate of incorporations or amended and restated bylaws.</w:t>
      </w:r>
    </w:p>
    <w:p>
      <w:pPr>
        <w:spacing w:after="0" w:line="1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54" w:lineRule="exact"/>
        <w:rPr>
          <w:sz w:val="20"/>
          <w:szCs w:val="20"/>
          <w:color w:val="auto"/>
        </w:rPr>
      </w:pPr>
    </w:p>
    <w:p>
      <w:pPr>
        <w:ind w:left="760" w:hanging="378"/>
        <w:spacing w:after="0"/>
        <w:tabs>
          <w:tab w:leader="none" w:pos="76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any derivative action or proceeding brought on our behalf;</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of breach of fiduciary duty;</w:t>
      </w:r>
    </w:p>
    <w:p>
      <w:pPr>
        <w:spacing w:after="0" w:line="22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against us arising under the DGCL, our amended and restated certificate of incorporation or our amended and restated bylaws; and</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against us that is governed by the internal-affairs doctrine or otherwise related to our internal affairs.</w:t>
      </w:r>
    </w:p>
    <w:p>
      <w:pPr>
        <w:spacing w:after="0" w:line="22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action in other jurisdictions and there can be no assurance that the provisions will be enforced by a court in those other jurisdictions.</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This exclusive-forum provision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 financial condition, results of operations and prospects.</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of the value of our common stock.</w:t>
      </w:r>
    </w:p>
    <w:p>
      <w:pPr>
        <w:spacing w:after="0" w:line="1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never declared or paid any cash dividends on our equity securities. We currently anticipate that we will retain future earnings for the development, operation and expansion of our business and do not anticipate declaring or paying any cash dividends for the foreseeable future. In addition, the terms of the Loan Agreement restrict our ability to declare and pay dividends. Any return to stockholders will therefore be limited to any appreciation in the value of our common stock, which is not certain.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of being a public company may strain our resources, result in more litigation and divert management’s attention.</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a public company, we are subject to the reporting requirements of the Exchange Act, the Sarbanes-Oxley Act, the Dodd-Frank Wall Street Reform and Consumer Protection Act, the listing requirements of The Nasdaq Stock Market LLC and other applicable securities rules and regulations. Complying with these rules and regulations has increased and will continue to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may also need to hire additional employees or engage outside consultants to comply with these requirements, which will increase our costs and expenses.</w:t>
      </w:r>
    </w:p>
    <w:p>
      <w:pPr>
        <w:spacing w:after="0" w:line="18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significantly harmed.</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as a result of our disclosure obligations as a public company, our business and financial condition has become more visible, which we believe may result in threatened or actual litigation, including by competitors and other third parties. If those claims are successful, our business could be seriously harmed. In addition, the market price of our common stock has been and may continue to be volatile and, in the past, companies that have experienced volatility in the market price of their stock have been subject to securities class action litigation and stockholder derivative actions. We may be the target of these types of litigation and claims in the future. Even if any such claims do not result in litigation or are resolved in our favor, the time and resources needed to resolve them could divert our management’s resources and seriously harm our business, financial condition, results of operations and prospects.</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5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Overall, we will continue with the implementation of additional measures around internal controls, and these will require validation and testing of the design and operating effectiveness of internal controls over a sustained period of financial reporting cycles. If we are unable to avoid future material weaknesses, our operations, financial reporting, or financial results could be harmed. Inferior internal controls could also cause investors to lose confidence in our reported financial information, which could have a negative effect on the trading price of our stock.</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trading market for our common stock is influenced by the research and reports that securities or industry analysts publish about us, our business or our market.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There were no sales of equity securities during the period covered by this report that were not registered under the Securities Act and were not previously reported in a Current Report on Form 8-K filed by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of Shares of Company Equity Securities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Plans or Rule 10b5-1 Trading Plans</w:t>
      </w:r>
    </w:p>
    <w:p>
      <w:pPr>
        <w:spacing w:after="0" w:line="142"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During the quarter ended September 30, 2025, our directors and officers (as defined in Rule 16a-1(f) under the Exchange Act) adopted or terminated the contracts, instructions or written plans for the purchase or sale of our securities set forth in the table below.</w:t>
      </w:r>
    </w:p>
    <w:p>
      <w:pPr>
        <w:spacing w:after="0" w:line="284"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1380" w:type="dxa"/>
            <w:vAlign w:val="bottom"/>
            <w:tcBorders>
              <w:top w:val="single" w:sz="8" w:color="auto"/>
              <w:left w:val="single" w:sz="8" w:color="auto"/>
              <w:right w:val="single" w:sz="8" w:color="auto"/>
            </w:tcBorders>
          </w:tcPr>
          <w:p>
            <w:pPr>
              <w:spacing w:after="0"/>
              <w:rPr>
                <w:sz w:val="17"/>
                <w:szCs w:val="17"/>
                <w:color w:val="auto"/>
              </w:rPr>
            </w:pPr>
          </w:p>
        </w:tc>
        <w:tc>
          <w:tcPr>
            <w:tcW w:w="1340" w:type="dxa"/>
            <w:vAlign w:val="bottom"/>
            <w:tcBorders>
              <w:top w:val="single" w:sz="8" w:color="auto"/>
              <w:right w:val="single" w:sz="8" w:color="auto"/>
            </w:tcBorders>
          </w:tcPr>
          <w:p>
            <w:pPr>
              <w:spacing w:after="0"/>
              <w:rPr>
                <w:sz w:val="17"/>
                <w:szCs w:val="17"/>
                <w:color w:val="auto"/>
              </w:rPr>
            </w:pPr>
          </w:p>
        </w:tc>
        <w:tc>
          <w:tcPr>
            <w:tcW w:w="1340" w:type="dxa"/>
            <w:vAlign w:val="bottom"/>
            <w:tcBorders>
              <w:top w:val="single" w:sz="8" w:color="auto"/>
              <w:right w:val="single" w:sz="8" w:color="auto"/>
            </w:tcBorders>
          </w:tcPr>
          <w:p>
            <w:pPr>
              <w:spacing w:after="0"/>
              <w:rPr>
                <w:sz w:val="17"/>
                <w:szCs w:val="17"/>
                <w:color w:val="auto"/>
              </w:rPr>
            </w:pPr>
          </w:p>
        </w:tc>
        <w:tc>
          <w:tcPr>
            <w:tcW w:w="1700" w:type="dxa"/>
            <w:vAlign w:val="bottom"/>
            <w:tcBorders>
              <w:top w:val="single" w:sz="8" w:color="auto"/>
              <w:right w:val="single" w:sz="8" w:color="auto"/>
            </w:tcBorders>
          </w:tcPr>
          <w:p>
            <w:pPr>
              <w:spacing w:after="0"/>
              <w:rPr>
                <w:sz w:val="17"/>
                <w:szCs w:val="17"/>
                <w:color w:val="auto"/>
              </w:rPr>
            </w:pPr>
          </w:p>
        </w:tc>
        <w:tc>
          <w:tcPr>
            <w:tcW w:w="2360" w:type="dxa"/>
            <w:vAlign w:val="bottom"/>
            <w:tcBorders>
              <w:top w:val="single" w:sz="8" w:color="auto"/>
              <w:right w:val="single" w:sz="8" w:color="auto"/>
            </w:tcBorders>
            <w:gridSpan w:val="2"/>
          </w:tcPr>
          <w:p>
            <w:pPr>
              <w:spacing w:after="0" w:line="202" w:lineRule="exact"/>
              <w:rPr>
                <w:sz w:val="20"/>
                <w:szCs w:val="20"/>
                <w:color w:val="auto"/>
              </w:rPr>
            </w:pPr>
            <w:r>
              <w:rPr>
                <w:rFonts w:ascii="Arial" w:cs="Arial" w:eastAsia="Arial" w:hAnsi="Arial"/>
                <w:sz w:val="18"/>
                <w:szCs w:val="18"/>
                <w:b w:val="1"/>
                <w:bCs w:val="1"/>
                <w:i w:val="1"/>
                <w:iCs w:val="1"/>
                <w:color w:val="auto"/>
              </w:rPr>
              <w:t>Type of Trading</w:t>
            </w:r>
          </w:p>
        </w:tc>
        <w:tc>
          <w:tcPr>
            <w:tcW w:w="1460" w:type="dxa"/>
            <w:vAlign w:val="bottom"/>
            <w:tcBorders>
              <w:top w:val="single" w:sz="8" w:color="auto"/>
              <w:right w:val="single" w:sz="8" w:color="auto"/>
            </w:tcBorders>
          </w:tcPr>
          <w:p>
            <w:pPr>
              <w:spacing w:after="0"/>
              <w:rPr>
                <w:sz w:val="17"/>
                <w:szCs w:val="17"/>
                <w:color w:val="auto"/>
              </w:rPr>
            </w:pPr>
          </w:p>
        </w:tc>
        <w:tc>
          <w:tcPr>
            <w:tcW w:w="166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8"/>
                <w:szCs w:val="18"/>
                <w:b w:val="1"/>
                <w:bCs w:val="1"/>
                <w:i w:val="1"/>
                <w:iCs w:val="1"/>
                <w:color w:val="auto"/>
              </w:rPr>
              <w:t>Total Shares of</w:t>
            </w:r>
          </w:p>
        </w:tc>
        <w:tc>
          <w:tcPr>
            <w:tcW w:w="0" w:type="dxa"/>
            <w:vAlign w:val="bottom"/>
          </w:tcPr>
          <w:p>
            <w:pPr>
              <w:spacing w:after="0"/>
              <w:rPr>
                <w:sz w:val="1"/>
                <w:szCs w:val="1"/>
                <w:color w:val="auto"/>
              </w:rPr>
            </w:pPr>
          </w:p>
        </w:tc>
      </w:tr>
      <w:tr>
        <w:trPr>
          <w:trHeight w:val="108"/>
        </w:trPr>
        <w:tc>
          <w:tcPr>
            <w:tcW w:w="1380" w:type="dxa"/>
            <w:vAlign w:val="bottom"/>
            <w:tcBorders>
              <w:left w:val="single" w:sz="8" w:color="auto"/>
              <w:right w:val="single" w:sz="8" w:color="auto"/>
            </w:tcBorders>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b w:val="1"/>
                <w:bCs w:val="1"/>
                <w:i w:val="1"/>
                <w:iCs w:val="1"/>
                <w:color w:val="auto"/>
              </w:rPr>
              <w:t>Date of Adoption/</w:t>
            </w:r>
          </w:p>
        </w:tc>
        <w:tc>
          <w:tcPr>
            <w:tcW w:w="1120" w:type="dxa"/>
            <w:vAlign w:val="bottom"/>
            <w:vMerge w:val="restart"/>
          </w:tcPr>
          <w:p>
            <w:pPr>
              <w:spacing w:after="0" w:line="202" w:lineRule="exact"/>
              <w:rPr>
                <w:sz w:val="20"/>
                <w:szCs w:val="20"/>
                <w:color w:val="auto"/>
              </w:rPr>
            </w:pPr>
            <w:r>
              <w:rPr>
                <w:rFonts w:ascii="Arial" w:cs="Arial" w:eastAsia="Arial" w:hAnsi="Arial"/>
                <w:sz w:val="18"/>
                <w:szCs w:val="18"/>
                <w:b w:val="1"/>
                <w:bCs w:val="1"/>
                <w:i w:val="1"/>
                <w:iCs w:val="1"/>
                <w:color w:val="auto"/>
                <w:w w:val="96"/>
              </w:rPr>
              <w:t>Arrangement</w:t>
            </w:r>
          </w:p>
        </w:tc>
        <w:tc>
          <w:tcPr>
            <w:tcW w:w="124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80" w:type="dxa"/>
            <w:vAlign w:val="bottom"/>
            <w:tcBorders>
              <w:left w:val="single" w:sz="8" w:color="auto"/>
              <w:right w:val="single" w:sz="8" w:color="auto"/>
            </w:tcBorders>
            <w:vMerge w:val="restart"/>
          </w:tcPr>
          <w:p>
            <w:pPr>
              <w:ind w:left="20"/>
              <w:spacing w:after="0" w:line="202" w:lineRule="exact"/>
              <w:rPr>
                <w:sz w:val="20"/>
                <w:szCs w:val="20"/>
                <w:color w:val="auto"/>
              </w:rPr>
            </w:pPr>
            <w:r>
              <w:rPr>
                <w:rFonts w:ascii="Arial" w:cs="Arial" w:eastAsia="Arial" w:hAnsi="Arial"/>
                <w:sz w:val="18"/>
                <w:szCs w:val="18"/>
                <w:b w:val="1"/>
                <w:bCs w:val="1"/>
                <w:i w:val="1"/>
                <w:iCs w:val="1"/>
                <w:color w:val="auto"/>
              </w:rPr>
              <w:t>Name</w:t>
            </w:r>
          </w:p>
        </w:tc>
        <w:tc>
          <w:tcPr>
            <w:tcW w:w="134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b w:val="1"/>
                <w:bCs w:val="1"/>
                <w:i w:val="1"/>
                <w:iCs w:val="1"/>
                <w:color w:val="auto"/>
              </w:rPr>
              <w:t>Position</w:t>
            </w:r>
          </w:p>
        </w:tc>
        <w:tc>
          <w:tcPr>
            <w:tcW w:w="134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b w:val="1"/>
                <w:bCs w:val="1"/>
                <w:i w:val="1"/>
                <w:iCs w:val="1"/>
                <w:color w:val="auto"/>
              </w:rPr>
              <w:t>Action</w:t>
            </w:r>
          </w:p>
        </w:tc>
        <w:tc>
          <w:tcPr>
            <w:tcW w:w="1700" w:type="dxa"/>
            <w:vAlign w:val="bottom"/>
            <w:tcBorders>
              <w:right w:val="single" w:sz="8" w:color="auto"/>
            </w:tcBorders>
            <w:vMerge w:val="continue"/>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146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b w:val="1"/>
                <w:bCs w:val="1"/>
                <w:i w:val="1"/>
                <w:iCs w:val="1"/>
                <w:color w:val="auto"/>
              </w:rPr>
              <w:t>Expiration Date</w:t>
            </w:r>
          </w:p>
        </w:tc>
        <w:tc>
          <w:tcPr>
            <w:tcW w:w="166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b w:val="1"/>
                <w:bCs w:val="1"/>
                <w:i w:val="1"/>
                <w:iCs w:val="1"/>
                <w:color w:val="auto"/>
              </w:rPr>
              <w:t>Common Stock to</w:t>
            </w:r>
          </w:p>
        </w:tc>
        <w:tc>
          <w:tcPr>
            <w:tcW w:w="0" w:type="dxa"/>
            <w:vAlign w:val="bottom"/>
          </w:tcPr>
          <w:p>
            <w:pPr>
              <w:spacing w:after="0"/>
              <w:rPr>
                <w:sz w:val="1"/>
                <w:szCs w:val="1"/>
                <w:color w:val="auto"/>
              </w:rPr>
            </w:pPr>
          </w:p>
        </w:tc>
      </w:tr>
      <w:tr>
        <w:trPr>
          <w:trHeight w:val="78"/>
        </w:trPr>
        <w:tc>
          <w:tcPr>
            <w:tcW w:w="1380" w:type="dxa"/>
            <w:vAlign w:val="bottom"/>
            <w:tcBorders>
              <w:left w:val="single" w:sz="8" w:color="auto"/>
              <w:right w:val="single" w:sz="8" w:color="auto"/>
            </w:tcBorders>
            <w:vMerge w:val="continue"/>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17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i w:val="1"/>
                <w:iCs w:val="1"/>
                <w:color w:val="auto"/>
              </w:rPr>
              <w:t>Termination</w:t>
            </w:r>
          </w:p>
        </w:tc>
        <w:tc>
          <w:tcPr>
            <w:tcW w:w="112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i w:val="1"/>
                <w:iCs w:val="1"/>
                <w:color w:val="auto"/>
              </w:rPr>
              <w:t>Non-Rule</w:t>
            </w:r>
          </w:p>
        </w:tc>
        <w:tc>
          <w:tcPr>
            <w:tcW w:w="1460" w:type="dxa"/>
            <w:vAlign w:val="bottom"/>
            <w:tcBorders>
              <w:right w:val="single" w:sz="8" w:color="auto"/>
            </w:tcBorders>
            <w:vMerge w:val="continue"/>
          </w:tcPr>
          <w:p>
            <w:pPr>
              <w:spacing w:after="0"/>
              <w:rPr>
                <w:sz w:val="6"/>
                <w:szCs w:val="6"/>
                <w:color w:val="auto"/>
              </w:rPr>
            </w:pPr>
          </w:p>
        </w:tc>
        <w:tc>
          <w:tcPr>
            <w:tcW w:w="16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1380" w:type="dxa"/>
            <w:vAlign w:val="bottom"/>
            <w:tcBorders>
              <w:left w:val="single" w:sz="8" w:color="auto"/>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vMerge w:val="continue"/>
          </w:tcPr>
          <w:p>
            <w:pPr>
              <w:spacing w:after="0"/>
              <w:rPr>
                <w:sz w:val="15"/>
                <w:szCs w:val="15"/>
                <w:color w:val="auto"/>
              </w:rPr>
            </w:pPr>
          </w:p>
        </w:tc>
        <w:tc>
          <w:tcPr>
            <w:tcW w:w="1120" w:type="dxa"/>
            <w:vAlign w:val="bottom"/>
            <w:tcBorders>
              <w:right w:val="single" w:sz="8" w:color="auto"/>
            </w:tcBorders>
          </w:tcPr>
          <w:p>
            <w:pPr>
              <w:spacing w:after="0" w:line="179" w:lineRule="exact"/>
              <w:rPr>
                <w:sz w:val="20"/>
                <w:szCs w:val="20"/>
                <w:color w:val="auto"/>
              </w:rPr>
            </w:pPr>
            <w:r>
              <w:rPr>
                <w:rFonts w:ascii="Arial" w:cs="Arial" w:eastAsia="Arial" w:hAnsi="Arial"/>
                <w:sz w:val="18"/>
                <w:szCs w:val="18"/>
                <w:b w:val="1"/>
                <w:bCs w:val="1"/>
                <w:i w:val="1"/>
                <w:iCs w:val="1"/>
                <w:color w:val="auto"/>
                <w:w w:val="99"/>
              </w:rPr>
              <w:t>Rule 10b5-1*</w:t>
            </w:r>
          </w:p>
        </w:tc>
        <w:tc>
          <w:tcPr>
            <w:tcW w:w="1240" w:type="dxa"/>
            <w:vAlign w:val="bottom"/>
            <w:tcBorders>
              <w:right w:val="single" w:sz="8" w:color="auto"/>
            </w:tcBorders>
            <w:vMerge w:val="continue"/>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line="179" w:lineRule="exact"/>
              <w:rPr>
                <w:sz w:val="20"/>
                <w:szCs w:val="20"/>
                <w:color w:val="auto"/>
              </w:rPr>
            </w:pPr>
            <w:r>
              <w:rPr>
                <w:rFonts w:ascii="Arial" w:cs="Arial" w:eastAsia="Arial" w:hAnsi="Arial"/>
                <w:sz w:val="18"/>
                <w:szCs w:val="18"/>
                <w:b w:val="1"/>
                <w:bCs w:val="1"/>
                <w:i w:val="1"/>
                <w:iCs w:val="1"/>
                <w:color w:val="auto"/>
              </w:rPr>
              <w:t>be Sold***</w:t>
            </w:r>
          </w:p>
        </w:tc>
        <w:tc>
          <w:tcPr>
            <w:tcW w:w="0" w:type="dxa"/>
            <w:vAlign w:val="bottom"/>
          </w:tcPr>
          <w:p>
            <w:pPr>
              <w:spacing w:after="0"/>
              <w:rPr>
                <w:sz w:val="1"/>
                <w:szCs w:val="1"/>
                <w:color w:val="auto"/>
              </w:rPr>
            </w:pPr>
          </w:p>
        </w:tc>
      </w:tr>
      <w:tr>
        <w:trPr>
          <w:trHeight w:val="165"/>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line="145" w:lineRule="exact"/>
              <w:rPr>
                <w:sz w:val="20"/>
                <w:szCs w:val="20"/>
                <w:color w:val="auto"/>
              </w:rPr>
            </w:pPr>
            <w:r>
              <w:rPr>
                <w:rFonts w:ascii="Arial" w:cs="Arial" w:eastAsia="Arial" w:hAnsi="Arial"/>
                <w:sz w:val="16"/>
                <w:szCs w:val="16"/>
                <w:b w:val="1"/>
                <w:bCs w:val="1"/>
                <w:i w:val="1"/>
                <w:iCs w:val="1"/>
                <w:color w:val="auto"/>
              </w:rPr>
              <w:t>10b5-1**</w:t>
            </w:r>
          </w:p>
        </w:tc>
        <w:tc>
          <w:tcPr>
            <w:tcW w:w="146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38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line="172" w:lineRule="exact"/>
              <w:rPr>
                <w:sz w:val="20"/>
                <w:szCs w:val="20"/>
                <w:color w:val="auto"/>
              </w:rPr>
            </w:pPr>
            <w:r>
              <w:rPr>
                <w:rFonts w:ascii="Times New Roman" w:cs="Times New Roman" w:eastAsia="Times New Roman" w:hAnsi="Times New Roman"/>
                <w:sz w:val="18"/>
                <w:szCs w:val="18"/>
                <w:i w:val="1"/>
                <w:iCs w:val="1"/>
                <w:color w:val="auto"/>
              </w:rPr>
              <w:t>Chief Operating</w:t>
            </w:r>
          </w:p>
        </w:tc>
        <w:tc>
          <w:tcPr>
            <w:tcW w:w="13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Adoption</w:t>
            </w:r>
            <w:r>
              <w:rPr>
                <w:rFonts w:ascii="Times New Roman" w:cs="Times New Roman" w:eastAsia="Times New Roman" w:hAnsi="Times New Roman"/>
                <w:sz w:val="24"/>
                <w:szCs w:val="24"/>
                <w:i w:val="1"/>
                <w:iCs w:val="1"/>
                <w:color w:val="auto"/>
                <w:vertAlign w:val="superscript"/>
              </w:rPr>
              <w:t>(1)</w:t>
            </w:r>
          </w:p>
        </w:tc>
        <w:tc>
          <w:tcPr>
            <w:tcW w:w="170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vMerge w:val="restart"/>
          </w:tcPr>
          <w:p>
            <w:pPr>
              <w:jc w:val="center"/>
              <w:spacing w:after="0" w:line="388" w:lineRule="exact"/>
              <w:rPr>
                <w:sz w:val="20"/>
                <w:szCs w:val="20"/>
                <w:color w:val="auto"/>
              </w:rPr>
            </w:pPr>
            <w:r>
              <w:rPr>
                <w:rFonts w:ascii="Times New Roman" w:cs="Times New Roman" w:eastAsia="Times New Roman" w:hAnsi="Times New Roman"/>
                <w:sz w:val="35"/>
                <w:szCs w:val="35"/>
                <w:color w:val="auto"/>
                <w:w w:val="90"/>
                <w:vertAlign w:val="subscript"/>
              </w:rPr>
              <w:t>X</w:t>
            </w:r>
            <w:r>
              <w:rPr>
                <w:rFonts w:ascii="Times New Roman" w:cs="Times New Roman" w:eastAsia="Times New Roman" w:hAnsi="Times New Roman"/>
                <w:sz w:val="12"/>
                <w:szCs w:val="12"/>
                <w:color w:val="auto"/>
                <w:w w:val="90"/>
              </w:rPr>
              <w:t>(2)</w:t>
            </w:r>
          </w:p>
        </w:tc>
        <w:tc>
          <w:tcPr>
            <w:tcW w:w="146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Shane Kovacs</w:t>
            </w:r>
          </w:p>
        </w:tc>
        <w:tc>
          <w:tcPr>
            <w:tcW w:w="13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and Financial</w:t>
            </w:r>
          </w:p>
        </w:tc>
        <w:tc>
          <w:tcPr>
            <w:tcW w:w="1340" w:type="dxa"/>
            <w:vAlign w:val="bottom"/>
            <w:tcBorders>
              <w:right w:val="single" w:sz="8" w:color="auto"/>
            </w:tcBorders>
            <w:vMerge w:val="continue"/>
          </w:tcPr>
          <w:p>
            <w:pPr>
              <w:spacing w:after="0"/>
              <w:rPr>
                <w:sz w:val="18"/>
                <w:szCs w:val="18"/>
                <w:color w:val="auto"/>
              </w:rPr>
            </w:pPr>
          </w:p>
        </w:tc>
        <w:tc>
          <w:tcPr>
            <w:tcW w:w="1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February 3, 2025</w:t>
            </w:r>
          </w:p>
        </w:tc>
        <w:tc>
          <w:tcPr>
            <w:tcW w:w="11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vMerge w:val="continue"/>
          </w:tcPr>
          <w:p>
            <w:pPr>
              <w:spacing w:after="0"/>
              <w:rPr>
                <w:sz w:val="18"/>
                <w:szCs w:val="18"/>
                <w:color w:val="auto"/>
              </w:rPr>
            </w:pPr>
          </w:p>
        </w:tc>
        <w:tc>
          <w:tcPr>
            <w:tcW w:w="1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May 12, 2026</w:t>
            </w:r>
          </w:p>
        </w:tc>
        <w:tc>
          <w:tcPr>
            <w:tcW w:w="1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Up to 150,000</w:t>
            </w:r>
          </w:p>
        </w:tc>
        <w:tc>
          <w:tcPr>
            <w:tcW w:w="0" w:type="dxa"/>
            <w:vAlign w:val="bottom"/>
          </w:tcPr>
          <w:p>
            <w:pPr>
              <w:spacing w:after="0"/>
              <w:rPr>
                <w:sz w:val="1"/>
                <w:szCs w:val="1"/>
                <w:color w:val="auto"/>
              </w:rPr>
            </w:pPr>
          </w:p>
        </w:tc>
      </w:tr>
      <w:tr>
        <w:trPr>
          <w:trHeight w:val="236"/>
        </w:trPr>
        <w:tc>
          <w:tcPr>
            <w:tcW w:w="138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3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38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Chief Operating</w:t>
            </w:r>
          </w:p>
        </w:tc>
        <w:tc>
          <w:tcPr>
            <w:tcW w:w="13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24"/>
                <w:szCs w:val="24"/>
                <w:i w:val="1"/>
                <w:iCs w:val="1"/>
                <w:color w:val="auto"/>
                <w:vertAlign w:val="superscript"/>
              </w:rPr>
              <w:t>(3)</w:t>
            </w:r>
          </w:p>
        </w:tc>
        <w:tc>
          <w:tcPr>
            <w:tcW w:w="17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September 10, 2025</w:t>
            </w:r>
            <w:r>
              <w:rPr>
                <w:rFonts w:ascii="Times New Roman" w:cs="Times New Roman" w:eastAsia="Times New Roman" w:hAnsi="Times New Roman"/>
                <w:sz w:val="24"/>
                <w:szCs w:val="24"/>
                <w:i w:val="1"/>
                <w:iCs w:val="1"/>
                <w:color w:val="auto"/>
                <w:vertAlign w:val="superscript"/>
              </w:rPr>
              <w:t>(4)</w:t>
            </w:r>
          </w:p>
        </w:tc>
        <w:tc>
          <w:tcPr>
            <w:tcW w:w="112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Shane Kovacs</w:t>
            </w:r>
          </w:p>
        </w:tc>
        <w:tc>
          <w:tcPr>
            <w:tcW w:w="13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and Financial</w:t>
            </w:r>
          </w:p>
        </w:tc>
        <w:tc>
          <w:tcPr>
            <w:tcW w:w="1340" w:type="dxa"/>
            <w:vAlign w:val="bottom"/>
            <w:tcBorders>
              <w:right w:val="single" w:sz="8" w:color="auto"/>
            </w:tcBorders>
            <w:vMerge w:val="continue"/>
          </w:tcPr>
          <w:p>
            <w:pPr>
              <w:spacing w:after="0"/>
              <w:rPr>
                <w:sz w:val="18"/>
                <w:szCs w:val="18"/>
                <w:color w:val="auto"/>
              </w:rPr>
            </w:pPr>
          </w:p>
        </w:tc>
        <w:tc>
          <w:tcPr>
            <w:tcW w:w="1700" w:type="dxa"/>
            <w:vAlign w:val="bottom"/>
            <w:tcBorders>
              <w:right w:val="single" w:sz="8" w:color="auto"/>
            </w:tcBorders>
            <w:vMerge w:val="continue"/>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May 12, 2026</w:t>
            </w:r>
          </w:p>
        </w:tc>
        <w:tc>
          <w:tcPr>
            <w:tcW w:w="1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Up to 150,000</w:t>
            </w:r>
          </w:p>
        </w:tc>
        <w:tc>
          <w:tcPr>
            <w:tcW w:w="0" w:type="dxa"/>
            <w:vAlign w:val="bottom"/>
          </w:tcPr>
          <w:p>
            <w:pPr>
              <w:spacing w:after="0"/>
              <w:rPr>
                <w:sz w:val="1"/>
                <w:szCs w:val="1"/>
                <w:color w:val="auto"/>
              </w:rPr>
            </w:pPr>
          </w:p>
        </w:tc>
      </w:tr>
      <w:tr>
        <w:trPr>
          <w:trHeight w:val="236"/>
        </w:trPr>
        <w:tc>
          <w:tcPr>
            <w:tcW w:w="138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3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760" w:hanging="3"/>
        <w:spacing w:after="0" w:line="286" w:lineRule="auto"/>
        <w:tabs>
          <w:tab w:leader="none" w:pos="895"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Contract, instruction or written plan intended to satisfy the affirmative defense conditions of Rule 10b5-1(c) under the Exchange Act.</w:t>
      </w:r>
    </w:p>
    <w:p>
      <w:pPr>
        <w:spacing w:after="0" w:line="73" w:lineRule="exact"/>
        <w:rPr>
          <w:sz w:val="20"/>
          <w:szCs w:val="20"/>
          <w:color w:val="auto"/>
        </w:rPr>
      </w:pPr>
    </w:p>
    <w:p>
      <w:pPr>
        <w:ind w:left="940" w:hanging="183"/>
        <w:spacing w:after="0"/>
        <w:tabs>
          <w:tab w:leader="none" w:pos="9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"Non-Rule 10b5-1 trading arrangement” as defined in Item 408(c) of Regulation S-K under the Exchange Act.</w:t>
      </w:r>
    </w:p>
    <w:p>
      <w:pPr>
        <w:spacing w:after="0" w:line="130" w:lineRule="exact"/>
        <w:rPr>
          <w:rFonts w:ascii="Arial" w:cs="Arial" w:eastAsia="Arial" w:hAnsi="Arial"/>
          <w:sz w:val="18"/>
          <w:szCs w:val="18"/>
          <w:color w:val="auto"/>
        </w:rPr>
      </w:pPr>
    </w:p>
    <w:p>
      <w:pPr>
        <w:ind w:left="760" w:right="20" w:hanging="3"/>
        <w:spacing w:after="0" w:line="271" w:lineRule="auto"/>
        <w:tabs>
          <w:tab w:leader="none" w:pos="1049"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the maximum number of shares that may be sold pursuant to the 10b5-1 trading arrangement. The number of shares to be sold was dependent on the satisfaction of certain conditions as set forth in the written plan.</w:t>
      </w:r>
    </w:p>
    <w:p>
      <w:pPr>
        <w:spacing w:after="0" w:line="86" w:lineRule="exact"/>
        <w:rPr>
          <w:sz w:val="20"/>
          <w:szCs w:val="20"/>
          <w:color w:val="auto"/>
        </w:rPr>
      </w:pPr>
    </w:p>
    <w:p>
      <w:pPr>
        <w:ind w:left="760" w:hanging="3"/>
        <w:spacing w:after="0" w:line="271" w:lineRule="auto"/>
        <w:tabs>
          <w:tab w:leader="none" w:pos="1038"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inadvertently omitted from Item 5 of Part II of our Quarterly Report on Form 10-Q for the quarterly period ending March 31, 2025, the disclosure of the adoption of a contract, instruction or written plan for the purchase or sale of our securities.</w:t>
      </w:r>
    </w:p>
    <w:p>
      <w:pPr>
        <w:spacing w:after="0" w:line="86" w:lineRule="exact"/>
        <w:rPr>
          <w:rFonts w:ascii="Arial" w:cs="Arial" w:eastAsia="Arial" w:hAnsi="Arial"/>
          <w:sz w:val="18"/>
          <w:szCs w:val="18"/>
          <w:color w:val="auto"/>
        </w:rPr>
      </w:pPr>
    </w:p>
    <w:p>
      <w:pPr>
        <w:jc w:val="both"/>
        <w:ind w:left="760" w:hanging="3"/>
        <w:spacing w:after="0" w:line="253" w:lineRule="auto"/>
        <w:tabs>
          <w:tab w:leader="none" w:pos="1031"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This plan was intended to qualify as a “Rule 10b5-1 trading arrangement” as defined in Item 408(a) of Regulation S-K. However, the plan did not comply with the cooling-off period required by Exchange Act Rule 10b5-1(c) and is therefore deemed a “Non-Rule 10b5-1 trading arrangement”.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60" w:right="20" w:hanging="3"/>
        <w:spacing w:after="0" w:line="271" w:lineRule="auto"/>
        <w:tabs>
          <w:tab w:leader="none" w:pos="1036"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This contract, instruction, or written plan was subsequently terminated on September 10, 2025, as disclosed above, prior to the completion of any sales under the plan.</w:t>
      </w:r>
    </w:p>
    <w:p>
      <w:pPr>
        <w:spacing w:after="0" w:line="86" w:lineRule="exact"/>
        <w:rPr>
          <w:rFonts w:ascii="Arial" w:cs="Arial" w:eastAsia="Arial" w:hAnsi="Arial"/>
          <w:sz w:val="18"/>
          <w:szCs w:val="18"/>
          <w:color w:val="auto"/>
        </w:rPr>
      </w:pPr>
    </w:p>
    <w:p>
      <w:pPr>
        <w:ind w:left="760" w:right="20" w:hanging="3"/>
        <w:spacing w:after="0" w:line="271"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the termination of a written plan originally adopted on February 3, 2025 that was intended to satisfy the affirmative defense conditions of Rule 10b5-1(c) under the Exchange Act.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680" w:type="dxa"/>
            <w:vAlign w:val="bottom"/>
            <w:gridSpan w:val="11"/>
          </w:tcPr>
          <w:p>
            <w:pPr>
              <w:spacing w:after="0"/>
              <w:rPr>
                <w:sz w:val="20"/>
                <w:szCs w:val="20"/>
                <w:color w:val="auto"/>
              </w:rPr>
            </w:pPr>
            <w:r>
              <w:rPr>
                <w:rFonts w:ascii="Arial" w:cs="Arial" w:eastAsia="Arial" w:hAnsi="Arial"/>
                <w:sz w:val="18"/>
                <w:szCs w:val="18"/>
                <w:b w:val="1"/>
                <w:bCs w:val="1"/>
                <w:color w:val="auto"/>
              </w:rPr>
              <w:t>Item 6. Exhibits.</w:t>
            </w:r>
          </w:p>
        </w:tc>
        <w:tc>
          <w:tcPr>
            <w:tcW w:w="10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9"/>
        </w:trPr>
        <w:tc>
          <w:tcPr>
            <w:tcW w:w="108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Exhibit</w:t>
            </w:r>
          </w:p>
        </w:tc>
        <w:tc>
          <w:tcPr>
            <w:tcW w:w="2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Incorporated by Reference</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080" w:type="dxa"/>
            <w:vAlign w:val="bottom"/>
            <w:vMerge w:val="continue"/>
          </w:tcPr>
          <w:p>
            <w:pPr>
              <w:spacing w:after="0"/>
              <w:rPr>
                <w:sz w:val="15"/>
                <w:szCs w:val="15"/>
                <w:color w:val="auto"/>
              </w:rPr>
            </w:pPr>
          </w:p>
        </w:tc>
        <w:tc>
          <w:tcPr>
            <w:tcW w:w="2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9"/>
              </w:rPr>
              <w:t>Schedule</w:t>
            </w:r>
          </w:p>
        </w:tc>
        <w:tc>
          <w:tcPr>
            <w:tcW w:w="1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9"/>
              </w:rPr>
              <w:t>Filing</w:t>
            </w:r>
          </w:p>
        </w:tc>
        <w:tc>
          <w:tcPr>
            <w:tcW w:w="0" w:type="dxa"/>
            <w:vAlign w:val="bottom"/>
          </w:tcPr>
          <w:p>
            <w:pPr>
              <w:spacing w:after="0"/>
              <w:rPr>
                <w:sz w:val="1"/>
                <w:szCs w:val="1"/>
                <w:color w:val="auto"/>
              </w:rPr>
            </w:pPr>
          </w:p>
        </w:tc>
      </w:tr>
      <w:tr>
        <w:trPr>
          <w:trHeight w:val="221"/>
        </w:trPr>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Number</w:t>
            </w:r>
          </w:p>
        </w:tc>
        <w:tc>
          <w:tcPr>
            <w:tcW w:w="5600" w:type="dxa"/>
            <w:vAlign w:val="bottom"/>
            <w:tcBorders>
              <w:bottom w:val="single" w:sz="8" w:color="auto"/>
            </w:tcBorders>
            <w:gridSpan w:val="10"/>
          </w:tcPr>
          <w:p>
            <w:pPr>
              <w:ind w:left="2300"/>
              <w:spacing w:after="0"/>
              <w:rPr>
                <w:sz w:val="20"/>
                <w:szCs w:val="20"/>
                <w:color w:val="auto"/>
              </w:rPr>
            </w:pPr>
            <w:r>
              <w:rPr>
                <w:rFonts w:ascii="Arial" w:cs="Arial" w:eastAsia="Arial" w:hAnsi="Arial"/>
                <w:sz w:val="18"/>
                <w:szCs w:val="18"/>
                <w:b w:val="1"/>
                <w:bCs w:val="1"/>
                <w:color w:val="auto"/>
              </w:rPr>
              <w:t>Description</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File Number</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169"/>
        </w:trPr>
        <w:tc>
          <w:tcPr>
            <w:tcW w:w="1080" w:type="dxa"/>
            <w:vAlign w:val="bottom"/>
          </w:tcPr>
          <w:p>
            <w:pPr>
              <w:spacing w:after="0" w:line="169" w:lineRule="exact"/>
              <w:rPr>
                <w:sz w:val="20"/>
                <w:szCs w:val="20"/>
                <w:color w:val="auto"/>
              </w:rPr>
            </w:pPr>
            <w:r>
              <w:rPr>
                <w:rFonts w:ascii="Arial" w:cs="Arial" w:eastAsia="Arial" w:hAnsi="Arial"/>
                <w:sz w:val="18"/>
                <w:szCs w:val="18"/>
                <w:color w:val="auto"/>
              </w:rPr>
              <w:t>3.1</w:t>
            </w:r>
          </w:p>
        </w:tc>
        <w:tc>
          <w:tcPr>
            <w:tcW w:w="5600" w:type="dxa"/>
            <w:vAlign w:val="bottom"/>
            <w:gridSpan w:val="10"/>
          </w:tcPr>
          <w:p>
            <w:pPr>
              <w:spacing w:after="0" w:line="169" w:lineRule="exact"/>
              <w:rPr>
                <w:rFonts w:ascii="Arial" w:cs="Arial" w:eastAsia="Arial" w:hAnsi="Arial"/>
                <w:sz w:val="18"/>
                <w:szCs w:val="18"/>
                <w:color w:val="0000FF"/>
              </w:rPr>
            </w:pPr>
            <w:hyperlink r:id="rId229">
              <w:r>
                <w:rPr>
                  <w:rFonts w:ascii="Arial" w:cs="Arial" w:eastAsia="Arial" w:hAnsi="Arial"/>
                  <w:sz w:val="18"/>
                  <w:szCs w:val="18"/>
                  <w:color w:val="0000FF"/>
                </w:rPr>
                <w:t>Amended and Restated Certificate of Incorporation.</w:t>
              </w:r>
            </w:hyperlink>
          </w:p>
        </w:tc>
        <w:tc>
          <w:tcPr>
            <w:tcW w:w="1020" w:type="dxa"/>
            <w:vAlign w:val="bottom"/>
          </w:tcPr>
          <w:p>
            <w:pPr>
              <w:jc w:val="center"/>
              <w:spacing w:after="0" w:line="169"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1480" w:type="dxa"/>
            <w:vAlign w:val="bottom"/>
          </w:tcPr>
          <w:p>
            <w:pPr>
              <w:jc w:val="center"/>
              <w:spacing w:after="0" w:line="169" w:lineRule="exact"/>
              <w:rPr>
                <w:sz w:val="20"/>
                <w:szCs w:val="20"/>
                <w:color w:val="auto"/>
              </w:rPr>
            </w:pPr>
            <w:r>
              <w:rPr>
                <w:rFonts w:ascii="Arial" w:cs="Arial" w:eastAsia="Arial" w:hAnsi="Arial"/>
                <w:sz w:val="18"/>
                <w:szCs w:val="18"/>
                <w:color w:val="auto"/>
              </w:rPr>
              <w:t>001</w:t>
            </w:r>
            <w:r>
              <w:rPr>
                <w:rFonts w:ascii="MS PGothic" w:cs="MS PGothic" w:eastAsia="MS PGothic" w:hAnsi="MS PGothic"/>
                <w:sz w:val="18"/>
                <w:szCs w:val="18"/>
                <w:color w:val="auto"/>
              </w:rPr>
              <w:t>‑</w:t>
            </w:r>
            <w:r>
              <w:rPr>
                <w:rFonts w:ascii="Arial" w:cs="Arial" w:eastAsia="Arial" w:hAnsi="Arial"/>
                <w:sz w:val="18"/>
                <w:szCs w:val="18"/>
                <w:color w:val="auto"/>
              </w:rPr>
              <w:t>39712</w:t>
            </w:r>
          </w:p>
        </w:tc>
        <w:tc>
          <w:tcPr>
            <w:tcW w:w="980" w:type="dxa"/>
            <w:vAlign w:val="bottom"/>
          </w:tcPr>
          <w:p>
            <w:pPr>
              <w:jc w:val="center"/>
              <w:spacing w:after="0" w:line="169" w:lineRule="exact"/>
              <w:rPr>
                <w:sz w:val="20"/>
                <w:szCs w:val="20"/>
                <w:color w:val="auto"/>
              </w:rPr>
            </w:pPr>
            <w:r>
              <w:rPr>
                <w:rFonts w:ascii="Arial" w:cs="Arial" w:eastAsia="Arial" w:hAnsi="Arial"/>
                <w:sz w:val="18"/>
                <w:szCs w:val="18"/>
                <w:color w:val="auto"/>
              </w:rPr>
              <w:t>3.1</w:t>
            </w:r>
          </w:p>
        </w:tc>
        <w:tc>
          <w:tcPr>
            <w:tcW w:w="1080" w:type="dxa"/>
            <w:vAlign w:val="bottom"/>
          </w:tcPr>
          <w:p>
            <w:pPr>
              <w:jc w:val="center"/>
              <w:ind w:right="10"/>
              <w:spacing w:after="0" w:line="169" w:lineRule="exact"/>
              <w:rPr>
                <w:sz w:val="20"/>
                <w:szCs w:val="20"/>
                <w:color w:val="auto"/>
              </w:rPr>
            </w:pPr>
            <w:r>
              <w:rPr>
                <w:rFonts w:ascii="Arial" w:cs="Arial" w:eastAsia="Arial" w:hAnsi="Arial"/>
                <w:sz w:val="18"/>
                <w:szCs w:val="18"/>
                <w:color w:val="auto"/>
                <w:w w:val="99"/>
              </w:rPr>
              <w:t>11/23/2020</w:t>
            </w: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line="202" w:lineRule="exact"/>
              <w:rPr>
                <w:sz w:val="20"/>
                <w:szCs w:val="20"/>
                <w:color w:val="auto"/>
              </w:rPr>
            </w:pPr>
            <w:r>
              <w:rPr>
                <w:rFonts w:ascii="Arial" w:cs="Arial" w:eastAsia="Arial" w:hAnsi="Arial"/>
                <w:sz w:val="18"/>
                <w:szCs w:val="18"/>
                <w:color w:val="auto"/>
              </w:rPr>
              <w:t>3.2</w:t>
            </w:r>
          </w:p>
        </w:tc>
        <w:tc>
          <w:tcPr>
            <w:tcW w:w="25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2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148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rPr>
              <w:t>001</w:t>
            </w:r>
            <w:r>
              <w:rPr>
                <w:rFonts w:ascii="MS PGothic" w:cs="MS PGothic" w:eastAsia="MS PGothic" w:hAnsi="MS PGothic"/>
                <w:sz w:val="18"/>
                <w:szCs w:val="18"/>
                <w:color w:val="auto"/>
              </w:rPr>
              <w:t>‑</w:t>
            </w:r>
            <w:r>
              <w:rPr>
                <w:rFonts w:ascii="Arial" w:cs="Arial" w:eastAsia="Arial" w:hAnsi="Arial"/>
                <w:sz w:val="18"/>
                <w:szCs w:val="18"/>
                <w:color w:val="auto"/>
              </w:rPr>
              <w:t>39712</w:t>
            </w:r>
          </w:p>
        </w:tc>
        <w:tc>
          <w:tcPr>
            <w:tcW w:w="98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rPr>
              <w:t>3.1</w:t>
            </w:r>
          </w:p>
        </w:tc>
        <w:tc>
          <w:tcPr>
            <w:tcW w:w="1080" w:type="dxa"/>
            <w:vAlign w:val="bottom"/>
            <w:vMerge w:val="restart"/>
          </w:tcPr>
          <w:p>
            <w:pPr>
              <w:jc w:val="center"/>
              <w:ind w:right="10"/>
              <w:spacing w:after="0" w:line="202" w:lineRule="exact"/>
              <w:rPr>
                <w:sz w:val="20"/>
                <w:szCs w:val="20"/>
                <w:color w:val="auto"/>
              </w:rPr>
            </w:pPr>
            <w:r>
              <w:rPr>
                <w:rFonts w:ascii="Arial" w:cs="Arial" w:eastAsia="Arial" w:hAnsi="Arial"/>
                <w:sz w:val="18"/>
                <w:szCs w:val="18"/>
                <w:color w:val="auto"/>
                <w:w w:val="99"/>
              </w:rPr>
              <w:t>12/16/2022</w:t>
            </w:r>
          </w:p>
        </w:tc>
        <w:tc>
          <w:tcPr>
            <w:tcW w:w="0" w:type="dxa"/>
            <w:vAlign w:val="bottom"/>
          </w:tcPr>
          <w:p>
            <w:pPr>
              <w:spacing w:after="0" w:line="20" w:lineRule="exact"/>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4100" w:type="dxa"/>
            <w:vAlign w:val="bottom"/>
            <w:gridSpan w:val="3"/>
          </w:tcPr>
          <w:p>
            <w:pPr>
              <w:spacing w:after="0" w:line="182" w:lineRule="exact"/>
              <w:rPr>
                <w:rFonts w:ascii="Arial" w:cs="Arial" w:eastAsia="Arial" w:hAnsi="Arial"/>
                <w:sz w:val="18"/>
                <w:szCs w:val="18"/>
                <w:color w:val="0000FF"/>
              </w:rPr>
            </w:pPr>
            <w:hyperlink r:id="rId230">
              <w:r>
                <w:rPr>
                  <w:rFonts w:ascii="Arial" w:cs="Arial" w:eastAsia="Arial" w:hAnsi="Arial"/>
                  <w:sz w:val="18"/>
                  <w:szCs w:val="18"/>
                  <w:color w:val="0000FF"/>
                </w:rPr>
                <w:t>Amended and Restated Bylaws.</w:t>
              </w:r>
            </w:hyperlink>
          </w:p>
        </w:tc>
        <w:tc>
          <w:tcPr>
            <w:tcW w:w="84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line="202" w:lineRule="exact"/>
              <w:rPr>
                <w:sz w:val="20"/>
                <w:szCs w:val="20"/>
                <w:color w:val="auto"/>
              </w:rPr>
            </w:pPr>
            <w:r>
              <w:rPr>
                <w:rFonts w:ascii="Arial" w:cs="Arial" w:eastAsia="Arial" w:hAnsi="Arial"/>
                <w:sz w:val="18"/>
                <w:szCs w:val="18"/>
                <w:color w:val="auto"/>
              </w:rPr>
              <w:t>31.1*</w:t>
            </w:r>
          </w:p>
        </w:tc>
        <w:tc>
          <w:tcPr>
            <w:tcW w:w="258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3020" w:type="dxa"/>
            <w:vAlign w:val="bottom"/>
            <w:gridSpan w:val="9"/>
            <w:vMerge w:val="restart"/>
          </w:tcPr>
          <w:p>
            <w:pPr>
              <w:spacing w:after="0" w:line="202" w:lineRule="exact"/>
              <w:rPr>
                <w:sz w:val="20"/>
                <w:szCs w:val="20"/>
                <w:color w:val="auto"/>
              </w:rPr>
            </w:pPr>
            <w:r>
              <w:rPr>
                <w:rFonts w:ascii="Arial" w:cs="Arial" w:eastAsia="Arial" w:hAnsi="Arial"/>
                <w:sz w:val="18"/>
                <w:szCs w:val="18"/>
                <w:color w:val="0000FF"/>
              </w:rPr>
              <w:t>Officer Pursuant to Rules 13a</w:t>
            </w:r>
            <w:r>
              <w:rPr>
                <w:rFonts w:ascii="MS PGothic" w:cs="MS PGothic" w:eastAsia="MS PGothic" w:hAnsi="MS PGothic"/>
                <w:sz w:val="18"/>
                <w:szCs w:val="18"/>
                <w:color w:val="0000FF"/>
              </w:rPr>
              <w:t>‑</w:t>
            </w:r>
            <w:r>
              <w:rPr>
                <w:rFonts w:ascii="Arial" w:cs="Arial" w:eastAsia="Arial" w:hAnsi="Arial"/>
                <w:sz w:val="18"/>
                <w:szCs w:val="18"/>
                <w:color w:val="0000FF"/>
              </w:rPr>
              <w:t>14(a)</w:t>
            </w: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2580" w:type="dxa"/>
            <w:vAlign w:val="bottom"/>
          </w:tcPr>
          <w:p>
            <w:pPr>
              <w:spacing w:after="0" w:line="182" w:lineRule="exact"/>
              <w:rPr>
                <w:sz w:val="20"/>
                <w:szCs w:val="20"/>
                <w:color w:val="auto"/>
              </w:rPr>
            </w:pPr>
            <w:r>
              <w:rPr>
                <w:rFonts w:ascii="Arial" w:cs="Arial" w:eastAsia="Arial" w:hAnsi="Arial"/>
                <w:sz w:val="18"/>
                <w:szCs w:val="18"/>
                <w:color w:val="0000FF"/>
              </w:rPr>
              <w:t>Certification of Chief Executive</w:t>
            </w:r>
          </w:p>
        </w:tc>
        <w:tc>
          <w:tcPr>
            <w:tcW w:w="3020" w:type="dxa"/>
            <w:vAlign w:val="bottom"/>
            <w:gridSpan w:val="9"/>
            <w:vMerge w:val="continue"/>
          </w:tcPr>
          <w:p>
            <w:pPr>
              <w:spacing w:after="0"/>
              <w:rPr>
                <w:sz w:val="15"/>
                <w:szCs w:val="15"/>
                <w:color w:val="auto"/>
              </w:rPr>
            </w:pPr>
          </w:p>
        </w:tc>
        <w:tc>
          <w:tcPr>
            <w:tcW w:w="10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4940" w:type="dxa"/>
            <w:vAlign w:val="bottom"/>
            <w:tcBorders>
              <w:top w:val="single" w:sz="8" w:color="0000FF"/>
              <w:bottom w:val="single" w:sz="8" w:color="0000FF"/>
            </w:tcBorders>
            <w:gridSpan w:val="4"/>
          </w:tcPr>
          <w:p>
            <w:pPr>
              <w:spacing w:after="0" w:line="182" w:lineRule="exact"/>
              <w:rPr>
                <w:sz w:val="20"/>
                <w:szCs w:val="20"/>
                <w:color w:val="auto"/>
              </w:rPr>
            </w:pPr>
            <w:r>
              <w:rPr>
                <w:rFonts w:ascii="Arial" w:cs="Arial" w:eastAsia="Arial" w:hAnsi="Arial"/>
                <w:sz w:val="18"/>
                <w:szCs w:val="18"/>
                <w:color w:val="0000FF"/>
              </w:rPr>
              <w:t>and 15d</w:t>
            </w:r>
            <w:r>
              <w:rPr>
                <w:rFonts w:ascii="MS PGothic" w:cs="MS PGothic" w:eastAsia="MS PGothic" w:hAnsi="MS PGothic"/>
                <w:sz w:val="18"/>
                <w:szCs w:val="18"/>
                <w:color w:val="0000FF"/>
              </w:rPr>
              <w:t>‑</w:t>
            </w:r>
            <w:r>
              <w:rPr>
                <w:rFonts w:ascii="Arial" w:cs="Arial" w:eastAsia="Arial" w:hAnsi="Arial"/>
                <w:sz w:val="18"/>
                <w:szCs w:val="18"/>
                <w:color w:val="0000FF"/>
              </w:rPr>
              <w:t>14(a) under the Securities Exchange Act of 1934, as</w:t>
            </w:r>
          </w:p>
        </w:tc>
        <w:tc>
          <w:tcPr>
            <w:tcW w:w="460" w:type="dxa"/>
            <w:vAlign w:val="bottom"/>
            <w:tcBorders>
              <w:top w:val="single" w:sz="8" w:color="0000FF"/>
            </w:tcBorders>
            <w:gridSpan w:val="3"/>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vMerge w:val="restart"/>
          </w:tcPr>
          <w:p>
            <w:pPr>
              <w:spacing w:after="0"/>
              <w:rPr>
                <w:sz w:val="20"/>
                <w:szCs w:val="20"/>
                <w:color w:val="auto"/>
              </w:rPr>
            </w:pPr>
            <w:r>
              <w:rPr>
                <w:rFonts w:ascii="Arial" w:cs="Arial" w:eastAsia="Arial" w:hAnsi="Arial"/>
                <w:sz w:val="18"/>
                <w:szCs w:val="18"/>
                <w:color w:val="auto"/>
              </w:rPr>
              <w:t>31.2*</w:t>
            </w:r>
          </w:p>
        </w:tc>
        <w:tc>
          <w:tcPr>
            <w:tcW w:w="5600" w:type="dxa"/>
            <w:vAlign w:val="bottom"/>
            <w:gridSpan w:val="10"/>
          </w:tcPr>
          <w:p>
            <w:pPr>
              <w:spacing w:after="0" w:line="182" w:lineRule="exact"/>
              <w:rPr>
                <w:sz w:val="20"/>
                <w:szCs w:val="20"/>
                <w:color w:val="auto"/>
              </w:rPr>
            </w:pPr>
            <w:r>
              <w:rPr>
                <w:rFonts w:ascii="Arial" w:cs="Arial" w:eastAsia="Arial" w:hAnsi="Arial"/>
                <w:sz w:val="18"/>
                <w:szCs w:val="18"/>
                <w:color w:val="0000FF"/>
              </w:rPr>
              <w:t>Adopted Pursuant to Section 302 of the Sarbanes-Oxley Act of 2002.</w:t>
            </w:r>
          </w:p>
        </w:tc>
        <w:tc>
          <w:tcPr>
            <w:tcW w:w="10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316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5480" w:type="dxa"/>
            <w:vAlign w:val="bottom"/>
            <w:gridSpan w:val="8"/>
          </w:tcPr>
          <w:p>
            <w:pPr>
              <w:spacing w:after="0" w:line="182" w:lineRule="exact"/>
              <w:rPr>
                <w:sz w:val="20"/>
                <w:szCs w:val="20"/>
                <w:color w:val="auto"/>
              </w:rPr>
            </w:pPr>
            <w:r>
              <w:rPr>
                <w:rFonts w:ascii="Arial" w:cs="Arial" w:eastAsia="Arial" w:hAnsi="Arial"/>
                <w:sz w:val="18"/>
                <w:szCs w:val="18"/>
                <w:color w:val="0000FF"/>
              </w:rPr>
              <w:t>Certification of Chief Financial Officer Pursuant to Rules 13a</w:t>
            </w:r>
            <w:r>
              <w:rPr>
                <w:rFonts w:ascii="MS PGothic" w:cs="MS PGothic" w:eastAsia="MS PGothic" w:hAnsi="MS PGothic"/>
                <w:sz w:val="18"/>
                <w:szCs w:val="18"/>
                <w:color w:val="0000FF"/>
              </w:rPr>
              <w:t>‑</w:t>
            </w:r>
            <w:r>
              <w:rPr>
                <w:rFonts w:ascii="Arial" w:cs="Arial" w:eastAsia="Arial" w:hAnsi="Arial"/>
                <w:sz w:val="18"/>
                <w:szCs w:val="18"/>
                <w:color w:val="0000FF"/>
              </w:rPr>
              <w:t>14(a)</w:t>
            </w:r>
          </w:p>
        </w:tc>
        <w:tc>
          <w:tcPr>
            <w:tcW w:w="4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4940" w:type="dxa"/>
            <w:vAlign w:val="bottom"/>
            <w:tcBorders>
              <w:top w:val="single" w:sz="8" w:color="0000FF"/>
              <w:bottom w:val="single" w:sz="8" w:color="0000FF"/>
            </w:tcBorders>
            <w:gridSpan w:val="4"/>
          </w:tcPr>
          <w:p>
            <w:pPr>
              <w:spacing w:after="0" w:line="182" w:lineRule="exact"/>
              <w:rPr>
                <w:sz w:val="20"/>
                <w:szCs w:val="20"/>
                <w:color w:val="auto"/>
              </w:rPr>
            </w:pPr>
            <w:r>
              <w:rPr>
                <w:rFonts w:ascii="Arial" w:cs="Arial" w:eastAsia="Arial" w:hAnsi="Arial"/>
                <w:sz w:val="18"/>
                <w:szCs w:val="18"/>
                <w:color w:val="0000FF"/>
              </w:rPr>
              <w:t>and 15d</w:t>
            </w:r>
            <w:r>
              <w:rPr>
                <w:rFonts w:ascii="MS PGothic" w:cs="MS PGothic" w:eastAsia="MS PGothic" w:hAnsi="MS PGothic"/>
                <w:sz w:val="18"/>
                <w:szCs w:val="18"/>
                <w:color w:val="0000FF"/>
              </w:rPr>
              <w:t>‑</w:t>
            </w:r>
            <w:r>
              <w:rPr>
                <w:rFonts w:ascii="Arial" w:cs="Arial" w:eastAsia="Arial" w:hAnsi="Arial"/>
                <w:sz w:val="18"/>
                <w:szCs w:val="18"/>
                <w:color w:val="0000FF"/>
              </w:rPr>
              <w:t>14(a) under the Securities Exchange Act of 1934, as</w:t>
            </w:r>
          </w:p>
        </w:tc>
        <w:tc>
          <w:tcPr>
            <w:tcW w:w="400" w:type="dxa"/>
            <w:vAlign w:val="bottom"/>
            <w:tcBorders>
              <w:top w:val="single" w:sz="8" w:color="0000FF"/>
            </w:tcBorders>
            <w:gridSpan w:val="2"/>
          </w:tcPr>
          <w:p>
            <w:pPr>
              <w:spacing w:after="0"/>
              <w:rPr>
                <w:sz w:val="15"/>
                <w:szCs w:val="15"/>
                <w:color w:val="auto"/>
              </w:rPr>
            </w:pPr>
          </w:p>
        </w:tc>
        <w:tc>
          <w:tcPr>
            <w:tcW w:w="18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5600" w:type="dxa"/>
            <w:vAlign w:val="bottom"/>
            <w:gridSpan w:val="10"/>
          </w:tcPr>
          <w:p>
            <w:pPr>
              <w:spacing w:after="0" w:line="182" w:lineRule="exact"/>
              <w:rPr>
                <w:sz w:val="20"/>
                <w:szCs w:val="20"/>
                <w:color w:val="auto"/>
              </w:rPr>
            </w:pPr>
            <w:r>
              <w:rPr>
                <w:rFonts w:ascii="Arial" w:cs="Arial" w:eastAsia="Arial" w:hAnsi="Arial"/>
                <w:sz w:val="18"/>
                <w:szCs w:val="18"/>
                <w:color w:val="0000FF"/>
              </w:rPr>
              <w:t>Adopted Pursuant to Section 302 of the Sarbanes-Oxley Act of 2002.</w:t>
            </w:r>
          </w:p>
        </w:tc>
        <w:tc>
          <w:tcPr>
            <w:tcW w:w="10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316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5480" w:type="dxa"/>
            <w:vAlign w:val="bottom"/>
            <w:gridSpan w:val="8"/>
          </w:tcPr>
          <w:p>
            <w:pPr>
              <w:spacing w:after="0" w:line="182" w:lineRule="exact"/>
              <w:rPr>
                <w:sz w:val="20"/>
                <w:szCs w:val="20"/>
                <w:color w:val="auto"/>
              </w:rPr>
            </w:pPr>
            <w:r>
              <w:rPr>
                <w:rFonts w:ascii="Arial" w:cs="Arial" w:eastAsia="Arial" w:hAnsi="Arial"/>
                <w:sz w:val="18"/>
                <w:szCs w:val="18"/>
                <w:color w:val="0000FF"/>
              </w:rPr>
              <w:t>Certification of Chief Executive Officer and Chief Financial Officer</w:t>
            </w:r>
          </w:p>
        </w:tc>
        <w:tc>
          <w:tcPr>
            <w:tcW w:w="4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16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Pr>
          <w:p>
            <w:pPr>
              <w:spacing w:after="0"/>
              <w:rPr>
                <w:sz w:val="15"/>
                <w:szCs w:val="15"/>
                <w:color w:val="auto"/>
              </w:rPr>
            </w:pPr>
          </w:p>
        </w:tc>
        <w:tc>
          <w:tcPr>
            <w:tcW w:w="5600" w:type="dxa"/>
            <w:vAlign w:val="bottom"/>
            <w:gridSpan w:val="10"/>
          </w:tcPr>
          <w:p>
            <w:pPr>
              <w:spacing w:after="0" w:line="182" w:lineRule="exact"/>
              <w:rPr>
                <w:sz w:val="20"/>
                <w:szCs w:val="20"/>
                <w:color w:val="auto"/>
              </w:rPr>
            </w:pPr>
            <w:r>
              <w:rPr>
                <w:rFonts w:ascii="Arial" w:cs="Arial" w:eastAsia="Arial" w:hAnsi="Arial"/>
                <w:sz w:val="18"/>
                <w:szCs w:val="18"/>
                <w:color w:val="0000FF"/>
              </w:rPr>
              <w:t>Pursuant to 18 U.S.C. Section 1350, as Adopted Pursuant to Section</w:t>
            </w:r>
          </w:p>
        </w:tc>
        <w:tc>
          <w:tcPr>
            <w:tcW w:w="10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5520" w:type="dxa"/>
            <w:vAlign w:val="bottom"/>
            <w:tcBorders>
              <w:top w:val="single" w:sz="8" w:color="0000FF"/>
            </w:tcBorders>
            <w:gridSpan w:val="9"/>
          </w:tcPr>
          <w:p>
            <w:pPr>
              <w:spacing w:after="0" w:line="182" w:lineRule="exact"/>
              <w:rPr>
                <w:sz w:val="20"/>
                <w:szCs w:val="20"/>
                <w:color w:val="auto"/>
              </w:rPr>
            </w:pPr>
            <w:r>
              <w:rPr>
                <w:rFonts w:ascii="Arial" w:cs="Arial" w:eastAsia="Arial" w:hAnsi="Arial"/>
                <w:sz w:val="18"/>
                <w:szCs w:val="18"/>
                <w:color w:val="0000FF"/>
              </w:rPr>
              <w:t>906 of the Sarbanes-Oxley Act of 2002.</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316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2440" w:type="dxa"/>
            <w:vAlign w:val="bottom"/>
            <w:gridSpan w:val="8"/>
            <w:vMerge w:val="restart"/>
          </w:tcPr>
          <w:p>
            <w:pPr>
              <w:spacing w:after="0"/>
              <w:rPr>
                <w:sz w:val="20"/>
                <w:szCs w:val="20"/>
                <w:color w:val="auto"/>
              </w:rPr>
            </w:pPr>
            <w:r>
              <w:rPr>
                <w:rFonts w:ascii="Arial" w:cs="Arial" w:eastAsia="Arial" w:hAnsi="Arial"/>
                <w:sz w:val="18"/>
                <w:szCs w:val="18"/>
                <w:color w:val="auto"/>
              </w:rPr>
              <w:t>instance document does not</w:t>
            </w: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80" w:type="dxa"/>
            <w:vAlign w:val="bottom"/>
            <w:vMerge w:val="continue"/>
          </w:tcPr>
          <w:p>
            <w:pPr>
              <w:spacing w:after="0"/>
              <w:rPr>
                <w:sz w:val="16"/>
                <w:szCs w:val="16"/>
                <w:color w:val="auto"/>
              </w:rPr>
            </w:pPr>
          </w:p>
        </w:tc>
        <w:tc>
          <w:tcPr>
            <w:tcW w:w="3160" w:type="dxa"/>
            <w:vAlign w:val="bottom"/>
            <w:gridSpan w:val="2"/>
          </w:tcPr>
          <w:p>
            <w:pPr>
              <w:spacing w:after="0" w:line="191" w:lineRule="exact"/>
              <w:rPr>
                <w:sz w:val="20"/>
                <w:szCs w:val="20"/>
                <w:color w:val="auto"/>
              </w:rPr>
            </w:pPr>
            <w:r>
              <w:rPr>
                <w:rFonts w:ascii="Arial" w:cs="Arial" w:eastAsia="Arial" w:hAnsi="Arial"/>
                <w:sz w:val="18"/>
                <w:szCs w:val="18"/>
                <w:color w:val="auto"/>
              </w:rPr>
              <w:t>Inline XBRL Instance Document – the</w:t>
            </w:r>
          </w:p>
        </w:tc>
        <w:tc>
          <w:tcPr>
            <w:tcW w:w="2440" w:type="dxa"/>
            <w:vAlign w:val="bottom"/>
            <w:gridSpan w:val="8"/>
            <w:vMerge w:val="continue"/>
          </w:tcPr>
          <w:p>
            <w:pPr>
              <w:spacing w:after="0"/>
              <w:rPr>
                <w:sz w:val="16"/>
                <w:szCs w:val="16"/>
                <w:color w:val="auto"/>
              </w:rPr>
            </w:pPr>
          </w:p>
        </w:tc>
        <w:tc>
          <w:tcPr>
            <w:tcW w:w="10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5600" w:type="dxa"/>
            <w:vAlign w:val="bottom"/>
            <w:gridSpan w:val="10"/>
          </w:tcPr>
          <w:p>
            <w:pPr>
              <w:spacing w:after="0" w:line="202" w:lineRule="exact"/>
              <w:rPr>
                <w:sz w:val="20"/>
                <w:szCs w:val="20"/>
                <w:color w:val="auto"/>
              </w:rPr>
            </w:pPr>
            <w:r>
              <w:rPr>
                <w:rFonts w:ascii="Arial" w:cs="Arial" w:eastAsia="Arial" w:hAnsi="Arial"/>
                <w:sz w:val="18"/>
                <w:szCs w:val="18"/>
                <w:color w:val="auto"/>
              </w:rPr>
              <w:t>appear in the Interactive Data File as its XBRL tags are embedded</w:t>
            </w:r>
          </w:p>
        </w:tc>
        <w:tc>
          <w:tcPr>
            <w:tcW w:w="1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5600" w:type="dxa"/>
            <w:vAlign w:val="bottom"/>
            <w:gridSpan w:val="10"/>
          </w:tcPr>
          <w:p>
            <w:pPr>
              <w:spacing w:after="0" w:line="202" w:lineRule="exact"/>
              <w:rPr>
                <w:sz w:val="20"/>
                <w:szCs w:val="20"/>
                <w:color w:val="auto"/>
              </w:rPr>
            </w:pPr>
            <w:r>
              <w:rPr>
                <w:rFonts w:ascii="Arial" w:cs="Arial" w:eastAsia="Arial" w:hAnsi="Arial"/>
                <w:sz w:val="18"/>
                <w:szCs w:val="18"/>
                <w:color w:val="auto"/>
              </w:rPr>
              <w:t>within the Inline XBRL document</w:t>
            </w:r>
          </w:p>
        </w:tc>
        <w:tc>
          <w:tcPr>
            <w:tcW w:w="1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spacing w:after="0" w:line="202" w:lineRule="exact"/>
              <w:rPr>
                <w:sz w:val="20"/>
                <w:szCs w:val="20"/>
                <w:color w:val="auto"/>
              </w:rPr>
            </w:pPr>
            <w:r>
              <w:rPr>
                <w:rFonts w:ascii="Arial" w:cs="Arial" w:eastAsia="Arial" w:hAnsi="Arial"/>
                <w:sz w:val="18"/>
                <w:szCs w:val="18"/>
                <w:color w:val="auto"/>
              </w:rPr>
              <w:t>101.SCH</w:t>
            </w:r>
          </w:p>
        </w:tc>
        <w:tc>
          <w:tcPr>
            <w:tcW w:w="5600" w:type="dxa"/>
            <w:vAlign w:val="bottom"/>
            <w:gridSpan w:val="10"/>
          </w:tcPr>
          <w:p>
            <w:pPr>
              <w:spacing w:after="0" w:line="202" w:lineRule="exact"/>
              <w:rPr>
                <w:sz w:val="20"/>
                <w:szCs w:val="20"/>
                <w:color w:val="auto"/>
              </w:rPr>
            </w:pPr>
            <w:r>
              <w:rPr>
                <w:rFonts w:ascii="Arial" w:cs="Arial" w:eastAsia="Arial" w:hAnsi="Arial"/>
                <w:sz w:val="18"/>
                <w:szCs w:val="18"/>
                <w:color w:val="auto"/>
              </w:rPr>
              <w:t>Inline XBRL Taxonomy Extension Schema With Embedded Linkbase</w:t>
            </w:r>
          </w:p>
        </w:tc>
        <w:tc>
          <w:tcPr>
            <w:tcW w:w="1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080" w:type="dxa"/>
            <w:vAlign w:val="bottom"/>
          </w:tcPr>
          <w:p>
            <w:pPr>
              <w:spacing w:after="0"/>
              <w:rPr>
                <w:sz w:val="19"/>
                <w:szCs w:val="19"/>
                <w:color w:val="auto"/>
              </w:rPr>
            </w:pPr>
          </w:p>
        </w:tc>
        <w:tc>
          <w:tcPr>
            <w:tcW w:w="5600" w:type="dxa"/>
            <w:vAlign w:val="bottom"/>
            <w:gridSpan w:val="10"/>
          </w:tcPr>
          <w:p>
            <w:pPr>
              <w:spacing w:after="0"/>
              <w:rPr>
                <w:sz w:val="20"/>
                <w:szCs w:val="20"/>
                <w:color w:val="auto"/>
              </w:rPr>
            </w:pPr>
            <w:r>
              <w:rPr>
                <w:rFonts w:ascii="Arial" w:cs="Arial" w:eastAsia="Arial" w:hAnsi="Arial"/>
                <w:sz w:val="18"/>
                <w:szCs w:val="18"/>
                <w:color w:val="auto"/>
              </w:rPr>
              <w:t>Documents</w:t>
            </w:r>
          </w:p>
        </w:tc>
        <w:tc>
          <w:tcPr>
            <w:tcW w:w="10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right="4880" w:firstLine="8"/>
        <w:spacing w:after="0" w:line="459" w:lineRule="auto"/>
        <w:tabs>
          <w:tab w:leader="none" w:pos="1065"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Cover page formatted as Inline XBRL and contained in Exhibit 101 * Filed herewith.</w:t>
      </w:r>
    </w:p>
    <w:p>
      <w:pPr>
        <w:ind w:left="480" w:hanging="471"/>
        <w:spacing w:after="0" w:line="247" w:lineRule="auto"/>
        <w:tabs>
          <w:tab w:leader="none" w:pos="413"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10-Q pursuant to 18 U.S.C. Section 1350, as adopted pursuant to Section 906 of the Sarbanes-Oxley Act of 2002, and shall not be deemed “filed” by the Registrant for purposes of Section 18 of the Exchange Act, and are not to be incorporated by reference into any of the Registrant’s filings under the Securities Act, irrespective of any general incorporation language contained in any such filing.</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940" w:type="dxa"/>
            <w:vAlign w:val="bottom"/>
          </w:tcPr>
          <w:p>
            <w:pPr>
              <w:spacing w:after="0"/>
              <w:rPr>
                <w:sz w:val="21"/>
                <w:szCs w:val="21"/>
                <w:color w:val="auto"/>
              </w:rPr>
            </w:pPr>
          </w:p>
        </w:tc>
        <w:tc>
          <w:tcPr>
            <w:tcW w:w="7280" w:type="dxa"/>
            <w:vAlign w:val="bottom"/>
            <w:gridSpan w:val="2"/>
          </w:tcPr>
          <w:p>
            <w:pPr>
              <w:ind w:left="1900"/>
              <w:spacing w:after="0"/>
              <w:rPr>
                <w:sz w:val="20"/>
                <w:szCs w:val="20"/>
                <w:color w:val="auto"/>
              </w:rPr>
            </w:pPr>
            <w:r>
              <w:rPr>
                <w:rFonts w:ascii="Arial" w:cs="Arial" w:eastAsia="Arial" w:hAnsi="Arial"/>
                <w:sz w:val="18"/>
                <w:szCs w:val="18"/>
                <w:b w:val="1"/>
                <w:bCs w:val="1"/>
                <w:color w:val="auto"/>
              </w:rPr>
              <w:t>Olema Pharmaceuticals, Inc.</w:t>
            </w:r>
          </w:p>
        </w:tc>
      </w:tr>
      <w:tr>
        <w:trPr>
          <w:trHeight w:val="420"/>
        </w:trPr>
        <w:tc>
          <w:tcPr>
            <w:tcW w:w="3940" w:type="dxa"/>
            <w:vAlign w:val="bottom"/>
          </w:tcPr>
          <w:p>
            <w:pPr>
              <w:spacing w:after="0"/>
              <w:rPr>
                <w:sz w:val="20"/>
                <w:szCs w:val="20"/>
                <w:color w:val="auto"/>
              </w:rPr>
            </w:pPr>
            <w:r>
              <w:rPr>
                <w:rFonts w:ascii="Arial" w:cs="Arial" w:eastAsia="Arial" w:hAnsi="Arial"/>
                <w:sz w:val="18"/>
                <w:szCs w:val="18"/>
                <w:color w:val="auto"/>
              </w:rPr>
              <w:t>Date: November 10, 2025</w:t>
            </w:r>
          </w:p>
        </w:tc>
        <w:tc>
          <w:tcPr>
            <w:tcW w:w="2340" w:type="dxa"/>
            <w:vAlign w:val="bottom"/>
          </w:tcPr>
          <w:p>
            <w:pPr>
              <w:ind w:left="19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Sean Bohen, M.D., Ph.D.</w:t>
            </w:r>
          </w:p>
        </w:tc>
      </w:tr>
      <w:tr>
        <w:trPr>
          <w:trHeight w:val="218"/>
        </w:trPr>
        <w:tc>
          <w:tcPr>
            <w:tcW w:w="39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Sean Bohen, M.D., Ph.D.</w:t>
            </w:r>
          </w:p>
        </w:tc>
      </w:tr>
      <w:tr>
        <w:trPr>
          <w:trHeight w:val="203"/>
        </w:trPr>
        <w:tc>
          <w:tcPr>
            <w:tcW w:w="39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9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President and Chief Executive Officer</w:t>
            </w:r>
          </w:p>
        </w:tc>
      </w:tr>
      <w:tr>
        <w:trPr>
          <w:trHeight w:val="239"/>
        </w:trPr>
        <w:tc>
          <w:tcPr>
            <w:tcW w:w="39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i w:val="1"/>
                <w:iCs w:val="1"/>
                <w:color w:val="auto"/>
                <w:w w:val="99"/>
              </w:rPr>
              <w:t>Principal Executive Officer</w:t>
            </w:r>
            <w:r>
              <w:rPr>
                <w:rFonts w:ascii="Arial" w:cs="Arial" w:eastAsia="Arial" w:hAnsi="Arial"/>
                <w:sz w:val="18"/>
                <w:szCs w:val="18"/>
                <w:color w:val="auto"/>
                <w:w w:val="99"/>
              </w:rPr>
              <w:t>)</w:t>
            </w:r>
          </w:p>
        </w:tc>
      </w:tr>
      <w:tr>
        <w:trPr>
          <w:trHeight w:val="914"/>
        </w:trPr>
        <w:tc>
          <w:tcPr>
            <w:tcW w:w="3940" w:type="dxa"/>
            <w:vAlign w:val="bottom"/>
          </w:tcPr>
          <w:p>
            <w:pPr>
              <w:spacing w:after="0"/>
              <w:rPr>
                <w:sz w:val="20"/>
                <w:szCs w:val="20"/>
                <w:color w:val="auto"/>
              </w:rPr>
            </w:pPr>
            <w:r>
              <w:rPr>
                <w:rFonts w:ascii="Arial" w:cs="Arial" w:eastAsia="Arial" w:hAnsi="Arial"/>
                <w:sz w:val="18"/>
                <w:szCs w:val="18"/>
                <w:color w:val="auto"/>
              </w:rPr>
              <w:t>Date: November 10, 2025</w:t>
            </w:r>
          </w:p>
        </w:tc>
        <w:tc>
          <w:tcPr>
            <w:tcW w:w="2340" w:type="dxa"/>
            <w:vAlign w:val="bottom"/>
          </w:tcPr>
          <w:p>
            <w:pPr>
              <w:ind w:left="19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Shane Kovacs</w:t>
            </w:r>
          </w:p>
        </w:tc>
      </w:tr>
      <w:tr>
        <w:trPr>
          <w:trHeight w:val="218"/>
        </w:trPr>
        <w:tc>
          <w:tcPr>
            <w:tcW w:w="39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Shane Kovacs</w:t>
            </w:r>
          </w:p>
        </w:tc>
      </w:tr>
      <w:tr>
        <w:trPr>
          <w:trHeight w:val="221"/>
        </w:trPr>
        <w:tc>
          <w:tcPr>
            <w:tcW w:w="3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b w:val="1"/>
                <w:bCs w:val="1"/>
                <w:color w:val="auto"/>
                <w:w w:val="99"/>
              </w:rPr>
              <w:t>Chief Operating and Financial Officer</w:t>
            </w:r>
          </w:p>
        </w:tc>
      </w:tr>
    </w:tbl>
    <w:p>
      <w:pPr>
        <w:ind w:left="6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 and Principal Accounting Officer</w:t>
      </w:r>
      <w:r>
        <w:rPr>
          <w:rFonts w:ascii="Arial" w:cs="Arial" w:eastAsia="Arial" w:hAnsi="Arial"/>
          <w:sz w:val="18"/>
          <w:szCs w:val="18"/>
          <w:color w:val="auto"/>
        </w:rPr>
        <w: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Bohen, certify that:</w:t>
      </w:r>
    </w:p>
    <w:p>
      <w:pPr>
        <w:spacing w:after="0" w:line="225" w:lineRule="exact"/>
        <w:rPr>
          <w:sz w:val="20"/>
          <w:szCs w:val="20"/>
          <w:color w:val="auto"/>
        </w:rPr>
      </w:pPr>
    </w:p>
    <w:p>
      <w:pPr>
        <w:ind w:left="380" w:hanging="372"/>
        <w:spacing w:after="0"/>
        <w:tabs>
          <w:tab w:leader="none" w:pos="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Olema Pharmaceuticals, Inc.;</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760" w:right="300" w:hanging="378"/>
        <w:spacing w:after="0" w:line="266" w:lineRule="auto"/>
        <w:tabs>
          <w:tab w:leader="none" w:pos="7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300" w:hanging="372"/>
        <w:spacing w:after="0" w:line="282" w:lineRule="auto"/>
        <w:tabs>
          <w:tab w:leader="none" w:pos="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2025</w:t>
            </w:r>
          </w:p>
        </w:tc>
        <w:tc>
          <w:tcPr>
            <w:tcW w:w="748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 /s/ Sean Bohen, M.D., Ph.D.</w:t>
            </w:r>
          </w:p>
        </w:tc>
      </w:tr>
      <w:tr>
        <w:trPr>
          <w:trHeight w:val="191"/>
        </w:trPr>
        <w:tc>
          <w:tcPr>
            <w:tcW w:w="37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3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Sean Bohen, M.D., Ph.D.</w:t>
            </w:r>
          </w:p>
        </w:tc>
      </w:tr>
      <w:tr>
        <w:trPr>
          <w:trHeight w:val="214"/>
        </w:trPr>
        <w:tc>
          <w:tcPr>
            <w:tcW w:w="37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37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979"/>
        </w:trPr>
        <w:tc>
          <w:tcPr>
            <w:tcW w:w="37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Shane Kovacs, certify that:</w:t>
      </w:r>
    </w:p>
    <w:p>
      <w:pPr>
        <w:spacing w:after="0" w:line="225" w:lineRule="exact"/>
        <w:rPr>
          <w:sz w:val="20"/>
          <w:szCs w:val="20"/>
          <w:color w:val="auto"/>
        </w:rPr>
      </w:pPr>
    </w:p>
    <w:p>
      <w:pPr>
        <w:ind w:left="380" w:hanging="372"/>
        <w:spacing w:after="0"/>
        <w:tabs>
          <w:tab w:leader="none" w:pos="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Olema Pharmaceuticals, Inc.;</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760" w:right="300" w:hanging="378"/>
        <w:spacing w:after="0" w:line="266" w:lineRule="auto"/>
        <w:tabs>
          <w:tab w:leader="none" w:pos="7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300" w:hanging="372"/>
        <w:spacing w:after="0" w:line="282" w:lineRule="auto"/>
        <w:tabs>
          <w:tab w:leader="none" w:pos="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2025</w:t>
            </w:r>
          </w:p>
        </w:tc>
        <w:tc>
          <w:tcPr>
            <w:tcW w:w="748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 /s/ Shane Kovacs</w:t>
            </w:r>
          </w:p>
        </w:tc>
      </w:tr>
      <w:tr>
        <w:trPr>
          <w:trHeight w:val="191"/>
        </w:trPr>
        <w:tc>
          <w:tcPr>
            <w:tcW w:w="37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3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Shane Kovacs</w:t>
            </w:r>
          </w:p>
        </w:tc>
      </w:tr>
      <w:tr>
        <w:trPr>
          <w:trHeight w:val="214"/>
        </w:trPr>
        <w:tc>
          <w:tcPr>
            <w:tcW w:w="37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and Financial Officer</w:t>
            </w:r>
          </w:p>
        </w:tc>
      </w:tr>
      <w:tr>
        <w:trPr>
          <w:trHeight w:val="236"/>
        </w:trPr>
        <w:tc>
          <w:tcPr>
            <w:tcW w:w="37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979"/>
        </w:trPr>
        <w:tc>
          <w:tcPr>
            <w:tcW w:w="37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 AS ADOPTED PURSUANT TO SECTION 906 OF THE SARBANES-OXLEY ACT OF 2002</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Sean Bohen, M.D. Ph.D., Chief Executive Officer of Olema Pharmaceuticals, Inc. (the “Company”), and Shane Kovacs, Chief Financial Officer of the Company, each hereby certifies that, to the best of his knowledge:</w:t>
      </w:r>
    </w:p>
    <w:p>
      <w:pPr>
        <w:spacing w:after="0" w:line="176" w:lineRule="exact"/>
        <w:rPr>
          <w:sz w:val="20"/>
          <w:szCs w:val="20"/>
          <w:color w:val="auto"/>
        </w:rPr>
      </w:pPr>
    </w:p>
    <w:p>
      <w:pPr>
        <w:ind w:left="900" w:right="300" w:hanging="383"/>
        <w:spacing w:after="0" w:line="282"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September 30, 2025, to which this Certification is attached as Exhibit 32.1 (the “Periodic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2025</w:t>
            </w:r>
          </w:p>
        </w:tc>
        <w:tc>
          <w:tcPr>
            <w:tcW w:w="710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By: /s/ Sean Bohen, M.D., Ph.D.</w:t>
            </w:r>
          </w:p>
        </w:tc>
      </w:tr>
      <w:tr>
        <w:trPr>
          <w:trHeight w:val="191"/>
        </w:trPr>
        <w:tc>
          <w:tcPr>
            <w:tcW w:w="41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4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Sean Bohen, M.D., Ph.D.</w:t>
            </w:r>
          </w:p>
        </w:tc>
      </w:tr>
      <w:tr>
        <w:trPr>
          <w:trHeight w:val="234"/>
        </w:trPr>
        <w:tc>
          <w:tcPr>
            <w:tcW w:w="41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702"/>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2025</w:t>
            </w:r>
          </w:p>
        </w:tc>
        <w:tc>
          <w:tcPr>
            <w:tcW w:w="710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By: /s/ Shane Kovacs</w:t>
            </w:r>
          </w:p>
        </w:tc>
      </w:tr>
      <w:tr>
        <w:trPr>
          <w:trHeight w:val="191"/>
        </w:trPr>
        <w:tc>
          <w:tcPr>
            <w:tcW w:w="41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4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Shane Kovacs</w:t>
            </w:r>
          </w:p>
        </w:tc>
      </w:tr>
      <w:tr>
        <w:trPr>
          <w:trHeight w:val="234"/>
        </w:trPr>
        <w:tc>
          <w:tcPr>
            <w:tcW w:w="41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and Financial Officer</w:t>
            </w:r>
          </w:p>
        </w:tc>
      </w:tr>
    </w:tbl>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Olema Pharmaceuticals,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5" w:name="page116"/>
    <w:bookmarkEnd w:id="1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²"/>
      <w:numFmt w:val="bullet"/>
      <w:start w:val="1"/>
    </w:lvl>
  </w:abstractNum>
  <w:abstractNum w:abstractNumId="3">
    <w:nsid w:val="419AC241"/>
    <w:multiLevelType w:val="hybridMultilevel"/>
    <w:lvl w:ilvl="0">
      <w:lvlJc w:val="left"/>
      <w:lvlText w:val="%1."/>
      <w:numFmt w:val="decimal"/>
      <w:start w:val="1"/>
    </w:lvl>
  </w:abstractNum>
  <w:abstractNum w:abstractNumId="4">
    <w:nsid w:val="5577F8E1"/>
    <w:multiLevelType w:val="hybridMultilevel"/>
    <w:lvl w:ilvl="0">
      <w:lvlJc w:val="left"/>
      <w:lvlText w:val="%1."/>
      <w:numFmt w:val="decimal"/>
      <w:start w:val="2"/>
    </w:lvl>
  </w:abstractNum>
  <w:abstractNum w:abstractNumId="5">
    <w:nsid w:val="440BADFC"/>
    <w:multiLevelType w:val="hybridMultilevel"/>
    <w:lvl w:ilvl="0">
      <w:lvlJc w:val="left"/>
      <w:lvlText w:val="%1."/>
      <w:numFmt w:val="decimal"/>
      <w:start w:val="3"/>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1."/>
      <w:numFmt w:val="decimal"/>
      <w:start w:val="4"/>
    </w:lvl>
  </w:abstractNum>
  <w:abstractNum w:abstractNumId="9">
    <w:nsid w:val="7724C67E"/>
    <w:multiLevelType w:val="hybridMultilevel"/>
    <w:lvl w:ilvl="0">
      <w:lvlJc w:val="left"/>
      <w:lvlText w:val="%1."/>
      <w:numFmt w:val="decimal"/>
      <w:start w:val="7"/>
    </w:lvl>
  </w:abstractNum>
  <w:abstractNum w:abstractNumId="10">
    <w:nsid w:val="5C482A97"/>
    <w:multiLevelType w:val="hybridMultilevel"/>
    <w:lvl w:ilvl="0">
      <w:lvlJc w:val="left"/>
      <w:lvlText w:val="%1."/>
      <w:numFmt w:val="decimal"/>
      <w:start w:val="8"/>
    </w:lvl>
  </w:abstractNum>
  <w:abstractNum w:abstractNumId="11">
    <w:nsid w:val="2463B9EA"/>
    <w:multiLevelType w:val="hybridMultilevel"/>
    <w:lvl w:ilvl="0">
      <w:lvlJc w:val="left"/>
      <w:lvlText w:val="¹"/>
      <w:numFmt w:val="bullet"/>
      <w:start w:val="1"/>
    </w:lvl>
  </w:abstractNum>
  <w:abstractNum w:abstractNumId="12">
    <w:nsid w:val="5E884ADC"/>
    <w:multiLevelType w:val="hybridMultilevel"/>
    <w:lvl w:ilvl="0">
      <w:lvlJc w:val="left"/>
      <w:lvlText w:val="%1."/>
      <w:numFmt w:val="decimal"/>
      <w:start w:val="9"/>
    </w:lvl>
  </w:abstractNum>
  <w:abstractNum w:abstractNumId="13">
    <w:nsid w:val="51EAD36B"/>
    <w:multiLevelType w:val="hybridMultilevel"/>
    <w:lvl w:ilvl="0">
      <w:lvlJc w:val="left"/>
      <w:lvlText w:val="(%1)"/>
      <w:numFmt w:val="lowerLetter"/>
      <w:start w:val="2"/>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o"/>
      <w:numFmt w:val="bullet"/>
      <w:start w:val="1"/>
    </w:lvl>
  </w:abstractNum>
  <w:abstractNum w:abstractNumId="23">
    <w:nsid w:val="2CD89A32"/>
    <w:multiLevelType w:val="hybridMultilevel"/>
    <w:lvl w:ilvl="0">
      <w:lvlJc w:val="left"/>
      <w:lvlText w:val="o"/>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
      <w:numFmt w:val="bullet"/>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
      <w:numFmt w:val="bullet"/>
      <w:start w:val="1"/>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1)"/>
      <w:numFmt w:val="decimal"/>
      <w:start w:val="1"/>
    </w:lvl>
  </w:abstractNum>
  <w:abstractNum w:abstractNumId="59">
    <w:nsid w:val="7E0C57B1"/>
    <w:multiLevelType w:val="hybridMultilevel"/>
    <w:lvl w:ilvl="0">
      <w:lvlJc w:val="left"/>
      <w:lvlText w:val="(%1)"/>
      <w:numFmt w:val="decimal"/>
      <w:start w:val="3"/>
    </w:lvl>
  </w:abstractNum>
  <w:abstractNum w:abstractNumId="60">
    <w:nsid w:val="77AE35EB"/>
    <w:multiLevelType w:val="hybridMultilevel"/>
    <w:lvl w:ilvl="0">
      <w:lvlJc w:val="left"/>
      <w:lvlText w:val="%1"/>
      <w:numFmt w:val="decimal"/>
      <w:start w:val="104"/>
    </w:lvl>
  </w:abstractNum>
  <w:abstractNum w:abstractNumId="61">
    <w:nsid w:val="579BE4F1"/>
    <w:multiLevelType w:val="hybridMultilevel"/>
    <w:lvl w:ilvl="0">
      <w:lvlJc w:val="left"/>
      <w:lvlText w:val="†"/>
      <w:numFmt w:val="bullet"/>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29" Type="http://schemas.openxmlformats.org/officeDocument/2006/relationships/hyperlink" Target="https://www.sec.gov/Archives/edgar/data/1750284/000110465920128482/tm2027048d18_ex3-1.htm" TargetMode="External"/><Relationship Id="rId230" Type="http://schemas.openxmlformats.org/officeDocument/2006/relationships/hyperlink" Target="https://www.sec.gov/Archives/edgar/data/1750284/000155837022018762/olma-20221215xex3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2025-11-10T06:21:16Z</dcterms:created>
  <dcterms:modified xsi:type="dcterms:W3CDTF">2025-11-10T06:21:16Z</dcterms:modified>
</cp:coreProperties>
</file>