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olma-20250331.htm"/>
        <w:bookmarkStart w:id="1" w:name="ksolma20250331"/>
        <w:bookmarkEnd w:id="0"/>
        <w:bookmarkEnd w:id="1"/>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pPr>
      <w:r>
        <w:rPr/>
        <w:t> </w:t>
      </w:r>
    </w:p>
    <w:p>
      <w:pPr>
        <w:pStyle w:val="TextBody"/>
        <w:pBdr>
          <w:top w:val="double" w:sz="6" w:space="1" w:color="000000"/>
        </w:pBdr>
        <w:bidi w:val="0"/>
        <w:jc w:val="center"/>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spacing w:before="0" w:after="80"/>
        <w:jc w:val="center"/>
        <w:rPr>
          <w:rFonts w:ascii="Arial" w:hAnsi="Arial"/>
          <w:b/>
          <w:color w:val="000000"/>
          <w:sz w:val="24"/>
        </w:rPr>
      </w:pPr>
      <w:r>
        <w:rPr>
          <w:rFonts w:ascii="Arial" w:hAnsi="Arial"/>
          <w:b/>
          <w:color w:val="000000"/>
          <w:sz w:val="24"/>
        </w:rPr>
        <w:t>WASHINGTON, DC 20549</w:t>
      </w:r>
    </w:p>
    <w:p>
      <w:pPr>
        <w:pStyle w:val="TextBody"/>
        <w:bidi w:val="0"/>
        <w:jc w:val="center"/>
        <w:rPr>
          <w:rFonts w:ascii="Arial" w:hAnsi="Arial"/>
          <w:b/>
          <w:color w:val="000000"/>
          <w:sz w:val="36"/>
        </w:rPr>
      </w:pPr>
      <w:r>
        <w:rPr>
          <w:rFonts w:ascii="Arial" w:hAnsi="Arial"/>
          <w:b/>
          <w:color w:val="000000"/>
          <w:sz w:val="36"/>
        </w:rPr>
        <w:t>FORM 10-Q</w:t>
      </w:r>
    </w:p>
    <w:p>
      <w:pPr>
        <w:pStyle w:val="TextBody"/>
        <w:bidi w:val="0"/>
        <w:spacing w:before="80" w:after="80"/>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For the quarterly period ended March 31, 2025</w:t>
      </w:r>
    </w:p>
    <w:p>
      <w:pPr>
        <w:pStyle w:val="TextBody"/>
        <w:bidi w:val="0"/>
        <w:spacing w:before="80" w:after="283"/>
        <w:jc w:val="center"/>
        <w:rPr>
          <w:rFonts w:ascii="Arial" w:hAnsi="Arial"/>
          <w:b/>
          <w:color w:val="000000"/>
          <w:sz w:val="18"/>
        </w:rPr>
      </w:pPr>
      <w:r>
        <w:rPr>
          <w:rFonts w:ascii="Arial" w:hAnsi="Arial"/>
          <w:b/>
          <w:color w:val="000000"/>
          <w:sz w:val="18"/>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For the transition period from _______ to _______</w:t>
      </w:r>
    </w:p>
    <w:p>
      <w:pPr>
        <w:pStyle w:val="TextBody"/>
        <w:bidi w:val="0"/>
        <w:spacing w:before="0" w:after="80"/>
        <w:jc w:val="center"/>
        <w:rPr>
          <w:rFonts w:ascii="Arial" w:hAnsi="Arial"/>
          <w:b/>
          <w:color w:val="000000"/>
          <w:sz w:val="18"/>
        </w:rPr>
      </w:pPr>
      <w:r>
        <w:rPr>
          <w:rFonts w:ascii="Arial" w:hAnsi="Arial"/>
          <w:b/>
          <w:color w:val="000000"/>
          <w:sz w:val="18"/>
        </w:rPr>
        <w:t>Commission File Number: 001-39712</w:t>
      </w:r>
    </w:p>
    <w:p>
      <w:pPr>
        <w:pStyle w:val="TextBody"/>
        <w:bidi w:val="0"/>
        <w:jc w:val="center"/>
        <w:rPr>
          <w:rFonts w:ascii="Arial" w:hAnsi="Arial"/>
          <w:b/>
          <w:color w:val="000000"/>
          <w:sz w:val="44"/>
        </w:rPr>
      </w:pPr>
      <w:r>
        <w:rPr>
          <w:rFonts w:ascii="Arial" w:hAnsi="Arial"/>
          <w:b/>
          <w:color w:val="000000"/>
          <w:sz w:val="44"/>
        </w:rPr>
        <w:t>OLEMA PHARMACEUTICALS, INC.</w:t>
      </w:r>
    </w:p>
    <w:p>
      <w:pPr>
        <w:pStyle w:val="TextBody"/>
        <w:bidi w:val="0"/>
        <w:jc w:val="center"/>
        <w:rPr>
          <w:rFonts w:ascii="Arial" w:hAnsi="Arial"/>
          <w:b/>
          <w:color w:val="000000"/>
          <w:sz w:val="18"/>
        </w:rPr>
      </w:pPr>
      <w:r>
        <w:rPr>
          <w:rFonts w:ascii="Arial" w:hAnsi="Arial"/>
          <w:b/>
          <w:color w:val="000000"/>
          <w:sz w:val="18"/>
        </w:rPr>
        <w:t>(Exact Name of Registrant as Specified in its Charter)</w:t>
      </w:r>
    </w:p>
    <w:p>
      <w:pPr>
        <w:pStyle w:val="TextBody"/>
        <w:bidi w:val="0"/>
        <w:jc w:val="left"/>
        <w:rPr/>
      </w:pPr>
      <w:r>
        <w:rPr/>
        <w:t> </w:t>
      </w:r>
    </w:p>
    <w:tbl>
      <w:tblPr>
        <w:tblW w:w="3947" w:type="dxa"/>
        <w:jc w:val="left"/>
        <w:tblInd w:w="0" w:type="dxa"/>
        <w:tblLayout w:type="fixed"/>
        <w:tblCellMar>
          <w:top w:w="28" w:type="dxa"/>
          <w:left w:w="28" w:type="dxa"/>
          <w:bottom w:w="28" w:type="dxa"/>
          <w:right w:w="28" w:type="dxa"/>
        </w:tblCellMar>
      </w:tblPr>
      <w:tblGrid>
        <w:gridCol w:w="2656"/>
        <w:gridCol w:w="1291"/>
      </w:tblGrid>
      <w:tr>
        <w:trPr/>
        <w:tc>
          <w:tcPr>
            <w:tcW w:w="26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30-0409740</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283"/>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000000"/>
                <w:sz w:val="14"/>
              </w:rPr>
              <w:t>(I.R.S. Employer</w:t>
            </w:r>
            <w:r>
              <w:rPr>
                <w:rFonts w:ascii="Arial" w:hAnsi="Arial"/>
                <w:color w:val="000000"/>
                <w:sz w:val="14"/>
              </w:rPr>
              <w:br/>
            </w:r>
            <w:r>
              <w:rPr>
                <w:rFonts w:ascii="Arial" w:hAnsi="Arial"/>
                <w:b/>
                <w:color w:val="000000"/>
                <w:sz w:val="14"/>
              </w:rPr>
              <w:t>Identification No.)</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780 Brannan Street</w:t>
            </w:r>
          </w:p>
          <w:p>
            <w:pPr>
              <w:pStyle w:val="TableContents"/>
              <w:bidi w:val="0"/>
              <w:spacing w:before="0" w:after="283"/>
              <w:jc w:val="center"/>
              <w:rPr>
                <w:rFonts w:ascii="Arial" w:hAnsi="Arial"/>
                <w:b/>
                <w:color w:val="000000"/>
                <w:sz w:val="18"/>
              </w:rPr>
            </w:pPr>
            <w:r>
              <w:rPr>
                <w:rFonts w:ascii="Arial" w:hAnsi="Arial"/>
                <w:b/>
                <w:color w:val="000000"/>
                <w:sz w:val="18"/>
              </w:rPr>
              <w:t>San Francisco, CA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94103</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Registrant’s telephone number, including area code: (415) 651</w:t>
        <w:noBreakHyphen/>
        <w:t>3316</w:t>
      </w:r>
    </w:p>
    <w:p>
      <w:pPr>
        <w:pStyle w:val="TextBody"/>
        <w:bidi w:val="0"/>
        <w:spacing w:before="80" w:after="283"/>
        <w:jc w:val="center"/>
        <w:rPr>
          <w:rFonts w:ascii="Arial" w:hAnsi="Arial"/>
          <w:b/>
          <w:color w:val="000000"/>
          <w:sz w:val="20"/>
        </w:rPr>
      </w:pPr>
      <w:r>
        <w:rPr>
          <w:rFonts w:ascii="Arial" w:hAnsi="Arial"/>
          <w:b/>
          <w:color w:val="000000"/>
          <w:sz w:val="20"/>
        </w:rPr>
        <w:t>N/A</w:t>
      </w:r>
    </w:p>
    <w:p>
      <w:pPr>
        <w:pStyle w:val="TextBody"/>
        <w:bidi w:val="0"/>
        <w:jc w:val="center"/>
        <w:rPr>
          <w:rFonts w:ascii="Arial" w:hAnsi="Arial"/>
          <w:b/>
          <w:color w:val="000000"/>
          <w:sz w:val="14"/>
        </w:rPr>
      </w:pPr>
      <w:r>
        <w:rPr>
          <w:rFonts w:ascii="Arial" w:hAnsi="Arial"/>
          <w:b/>
          <w:color w:val="000000"/>
          <w:sz w:val="14"/>
        </w:rPr>
        <w:t>(Former name, former address and former fiscal year, if changed since last report)</w:t>
      </w:r>
    </w:p>
    <w:p>
      <w:pPr>
        <w:pStyle w:val="TextBody"/>
        <w:bidi w:val="0"/>
        <w:spacing w:before="80" w:after="283"/>
        <w:jc w:val="left"/>
        <w:rPr>
          <w:rFonts w:ascii="Arial" w:hAnsi="Arial"/>
          <w:color w:val="000000"/>
          <w:sz w:val="16"/>
        </w:rPr>
      </w:pPr>
      <w:r>
        <w:rPr>
          <w:rFonts w:ascii="Arial" w:hAnsi="Arial"/>
          <w:color w:val="000000"/>
          <w:sz w:val="16"/>
        </w:rPr>
        <w:t>Securities registered pursuant to Section 12(b) of the Act:</w:t>
      </w:r>
    </w:p>
    <w:p>
      <w:pPr>
        <w:pStyle w:val="TextBody"/>
        <w:bidi w:val="0"/>
        <w:jc w:val="left"/>
        <w:rPr/>
      </w:pPr>
      <w:r>
        <w:rPr/>
        <w:t> </w:t>
      </w:r>
    </w:p>
    <w:tbl>
      <w:tblPr>
        <w:tblW w:w="9753" w:type="dxa"/>
        <w:jc w:val="left"/>
        <w:tblInd w:w="0" w:type="dxa"/>
        <w:tblLayout w:type="fixed"/>
        <w:tblCellMar>
          <w:top w:w="28" w:type="dxa"/>
          <w:left w:w="28" w:type="dxa"/>
          <w:bottom w:w="28" w:type="dxa"/>
          <w:right w:w="28" w:type="dxa"/>
        </w:tblCellMar>
      </w:tblPr>
      <w:tblGrid>
        <w:gridCol w:w="3526"/>
        <w:gridCol w:w="1366"/>
        <w:gridCol w:w="4861"/>
      </w:tblGrid>
      <w:tr>
        <w:trPr/>
        <w:tc>
          <w:tcPr>
            <w:tcW w:w="35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r>
      <w:tr>
        <w:trPr/>
        <w:tc>
          <w:tcPr>
            <w:tcW w:w="352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 of Securities Registered</w:t>
            </w:r>
          </w:p>
        </w:tc>
        <w:tc>
          <w:tcPr>
            <w:tcW w:w="136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w:t>
            </w:r>
          </w:p>
        </w:tc>
        <w:tc>
          <w:tcPr>
            <w:tcW w:w="486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Securities are Registered</w:t>
            </w:r>
          </w:p>
        </w:tc>
      </w:tr>
      <w:tr>
        <w:trPr/>
        <w:tc>
          <w:tcPr>
            <w:tcW w:w="352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Common Stock, par value $0.0001 per share</w:t>
            </w:r>
          </w:p>
        </w:tc>
        <w:tc>
          <w:tcPr>
            <w:tcW w:w="136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OLMA</w:t>
            </w:r>
          </w:p>
        </w:tc>
        <w:tc>
          <w:tcPr>
            <w:tcW w:w="486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The Nasdaq Global Select Market</w:t>
            </w:r>
          </w:p>
        </w:tc>
      </w:tr>
    </w:tbl>
    <w:p>
      <w:pPr>
        <w:pStyle w:val="TextBody"/>
        <w:bidi w:val="0"/>
        <w:jc w:val="left"/>
        <w:rPr/>
      </w:pPr>
      <w:r>
        <w:rPr/>
        <w:t> </w:t>
      </w:r>
    </w:p>
    <w:p>
      <w:pPr>
        <w:pStyle w:val="TextBody"/>
        <w:bidi w:val="0"/>
        <w:spacing w:before="0" w:after="80"/>
        <w:jc w:val="both"/>
        <w:rPr>
          <w:rFonts w:ascii="Times New Roman" w:hAnsi="Times New Roman"/>
          <w:sz w:val="20"/>
        </w:rPr>
      </w:pPr>
      <w:r>
        <w:rPr>
          <w:rFonts w:ascii="Arial" w:hAnsi="Arial"/>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jc w:val="both"/>
        <w:rPr>
          <w:rFonts w:ascii="Times New Roman" w:hAnsi="Times New Roman"/>
          <w:sz w:val="20"/>
        </w:rPr>
      </w:pPr>
      <w:r>
        <w:rPr>
          <w:rFonts w:ascii="Arial" w:hAnsi="Arial"/>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6"/>
        </w:rPr>
      </w:pPr>
      <w:r>
        <w:rPr>
          <w:rFonts w:ascii="Arial" w:hAnsi="Arial"/>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noBreakHyphen/>
        <w:t>2 of the Exchange Act.</w:t>
      </w:r>
    </w:p>
    <w:p>
      <w:pPr>
        <w:pStyle w:val="TextBody"/>
        <w:bidi w:val="0"/>
        <w:jc w:val="both"/>
        <w:rPr/>
      </w:pPr>
      <w:r>
        <w:rPr/>
        <w:t> </w:t>
      </w:r>
    </w:p>
    <w:tbl>
      <w:tblPr>
        <w:tblW w:w="5242" w:type="dxa"/>
        <w:jc w:val="left"/>
        <w:tblInd w:w="0" w:type="dxa"/>
        <w:tblLayout w:type="fixed"/>
        <w:tblCellMar>
          <w:top w:w="28" w:type="dxa"/>
          <w:left w:w="28" w:type="dxa"/>
          <w:bottom w:w="28" w:type="dxa"/>
          <w:right w:w="28" w:type="dxa"/>
        </w:tblCellMar>
      </w:tblPr>
      <w:tblGrid>
        <w:gridCol w:w="2071"/>
        <w:gridCol w:w="316"/>
        <w:gridCol w:w="146"/>
        <w:gridCol w:w="146"/>
        <w:gridCol w:w="2056"/>
        <w:gridCol w:w="146"/>
        <w:gridCol w:w="361"/>
      </w:tblGrid>
      <w:tr>
        <w:trPr/>
        <w:tc>
          <w:tcPr>
            <w:tcW w:w="20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6"/>
        </w:rPr>
        <w:t>Indicate by check mark whether the registrant is a shell company (as defined in Rule 12b</w:t>
        <w:noBreakHyphen/>
        <w:t xml:space="preserve">2 of the Exchange Act).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6"/>
        </w:rPr>
      </w:pPr>
      <w:r>
        <w:rPr>
          <w:rFonts w:ascii="Arial" w:hAnsi="Arial"/>
          <w:color w:val="000000"/>
          <w:sz w:val="16"/>
        </w:rPr>
        <w:t>As of May 8, 2025, the number of outstanding shares of the Registrant’s common stock was 68,421,277.</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center"/>
        <w:rPr>
          <w:rFonts w:ascii="Arial" w:hAnsi="Arial"/>
          <w:b/>
          <w:color w:val="000000"/>
          <w:sz w:val="20"/>
        </w:rPr>
      </w:pPr>
      <w:bookmarkStart w:id="2" w:name="toc_page"/>
      <w:bookmarkEnd w:id="2"/>
      <w:r>
        <w:rPr>
          <w:rFonts w:ascii="Arial" w:hAnsi="Arial"/>
          <w:b/>
          <w:color w:val="000000"/>
          <w:sz w:val="20"/>
        </w:rPr>
        <w:t>Table of Contents</w:t>
      </w:r>
    </w:p>
    <w:p>
      <w:pPr>
        <w:pStyle w:val="TextBody"/>
        <w:bidi w:val="0"/>
        <w:spacing w:before="0" w:after="240"/>
        <w:jc w:val="center"/>
        <w:rPr>
          <w:rFonts w:ascii="Times New Roman" w:hAnsi="Times New Roman"/>
          <w:sz w:val="20"/>
        </w:rPr>
      </w:pPr>
      <w:r>
        <w:rPr>
          <w:rFonts w:ascii="Arial" w:hAnsi="Arial"/>
          <w:b/>
          <w:color w:val="000000"/>
          <w:sz w:val="20"/>
        </w:rPr>
        <w:t>PART I-FINANCIAL INFORMATION</w:t>
      </w:r>
      <w:r>
        <w:rPr>
          <w:rFonts w:ascii="Times New Roman" w:hAnsi="Times New Roman"/>
          <w:color w:val="000000"/>
          <w:sz w:val="20"/>
        </w:rPr>
        <w:t xml:space="preserve"> </w:t>
      </w:r>
    </w:p>
    <w:tbl>
      <w:tblPr>
        <w:tblW w:w="9283" w:type="dxa"/>
        <w:jc w:val="left"/>
        <w:tblInd w:w="0" w:type="dxa"/>
        <w:tblLayout w:type="fixed"/>
        <w:tblCellMar>
          <w:top w:w="28" w:type="dxa"/>
          <w:left w:w="28" w:type="dxa"/>
          <w:bottom w:w="28" w:type="dxa"/>
          <w:right w:w="28" w:type="dxa"/>
        </w:tblCellMar>
      </w:tblPr>
      <w:tblGrid>
        <w:gridCol w:w="8536"/>
        <w:gridCol w:w="146"/>
        <w:gridCol w:w="601"/>
      </w:tblGrid>
      <w:tr>
        <w:trPr/>
        <w:tc>
          <w:tcPr>
            <w:tcW w:w="8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Page</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partifinancialinformation_243352">
              <w:r>
                <w:rPr>
                  <w:rStyle w:val="InternetLink"/>
                  <w:rFonts w:ascii="Arial" w:hAnsi="Arial"/>
                  <w:color w:val="0000EE"/>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1financialstatements_533031">
              <w:r>
                <w:rPr>
                  <w:rStyle w:val="InternetLink"/>
                  <w:rFonts w:ascii="Arial" w:hAnsi="Arial"/>
                  <w:color w:val="0000EE"/>
                  <w:sz w:val="20"/>
                  <w:u w:val="single"/>
                </w:rPr>
                <w:t>Item 1.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condensedconsolidatedbalancesheets_65975">
              <w:r>
                <w:rPr>
                  <w:rStyle w:val="InternetLink"/>
                  <w:rFonts w:ascii="Arial" w:hAnsi="Arial"/>
                  <w:color w:val="0000EE"/>
                  <w:sz w:val="20"/>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condensedconsolidatedstatementsofoperati">
              <w:r>
                <w:rPr>
                  <w:rStyle w:val="InternetLink"/>
                  <w:rFonts w:ascii="Arial" w:hAnsi="Arial"/>
                  <w:color w:val="0000EE"/>
                  <w:sz w:val="20"/>
                  <w:u w:val="single"/>
                </w:rPr>
                <w:t>Condensed Consolidated Statements of Operations and Comprehensive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condensedconsolidatedstatementsofconvert">
              <w:r>
                <w:rPr>
                  <w:rStyle w:val="InternetLink"/>
                  <w:rFonts w:ascii="Arial" w:hAnsi="Arial"/>
                  <w:color w:val="0000EE"/>
                  <w:sz w:val="20"/>
                  <w:u w:val="single"/>
                </w:rPr>
                <w:t>Condensed Consolidated Statements of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condensedconsolidatedstatementsofcashflo">
              <w:r>
                <w:rPr>
                  <w:rStyle w:val="InternetLink"/>
                  <w:rFonts w:ascii="Arial" w:hAnsi="Arial"/>
                  <w:color w:val="0000EE"/>
                  <w:sz w:val="20"/>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notestocondensedconsolidatedfinancialsta">
              <w:r>
                <w:rPr>
                  <w:rStyle w:val="InternetLink"/>
                  <w:rFonts w:ascii="Arial" w:hAnsi="Arial"/>
                  <w:color w:val="0000EE"/>
                  <w:sz w:val="20"/>
                  <w:u w:val="single"/>
                </w:rPr>
                <w:t>Notes to Unaudited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2managementsdiscussionandanalysisoff">
              <w:r>
                <w:rPr>
                  <w:rStyle w:val="InternetLink"/>
                  <w:rFonts w:ascii="Arial" w:hAnsi="Arial"/>
                  <w:color w:val="0000EE"/>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3quantitative">
              <w:r>
                <w:rPr>
                  <w:rStyle w:val="InternetLink"/>
                  <w:rFonts w:ascii="Arial" w:hAnsi="Arial"/>
                  <w:color w:val="0000EE"/>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4controlsandprocedures">
              <w:r>
                <w:rPr>
                  <w:rStyle w:val="InternetLink"/>
                  <w:rFonts w:ascii="Arial" w:hAnsi="Arial"/>
                  <w:color w:val="0000EE"/>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partiiotherinformation_169197">
              <w:r>
                <w:rPr>
                  <w:rStyle w:val="InternetLink"/>
                  <w:rFonts w:ascii="Arial" w:hAnsi="Arial"/>
                  <w:color w:val="0000EE"/>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1legalproceedings_105808">
              <w:r>
                <w:rPr>
                  <w:rStyle w:val="InternetLink"/>
                  <w:rFonts w:ascii="Arial" w:hAnsi="Arial"/>
                  <w:color w:val="0000EE"/>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EE"/>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2unregisteredsalesofequitysecurities">
              <w:r>
                <w:rPr>
                  <w:rStyle w:val="InternetLink"/>
                  <w:rFonts w:ascii="Arial" w:hAnsi="Arial"/>
                  <w:color w:val="0000EE"/>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3defaultsuponseniorsecurities_285444">
              <w:r>
                <w:rPr>
                  <w:rStyle w:val="InternetLink"/>
                  <w:rFonts w:ascii="Arial" w:hAnsi="Arial"/>
                  <w:color w:val="0000EE"/>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4minesafetydisclosures_363877">
              <w:r>
                <w:rPr>
                  <w:rStyle w:val="InternetLink"/>
                  <w:rFonts w:ascii="Arial" w:hAnsi="Arial"/>
                  <w:color w:val="0000EE"/>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5otherinformation_250924">
              <w:r>
                <w:rPr>
                  <w:rStyle w:val="InternetLink"/>
                  <w:rFonts w:ascii="Arial" w:hAnsi="Arial"/>
                  <w:color w:val="0000EE"/>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r>
      <w:tr>
        <w:trPr/>
        <w:tc>
          <w:tcPr>
            <w:tcW w:w="8536" w:type="dxa"/>
            <w:tcBorders/>
            <w:tcMar>
              <w:top w:w="0" w:type="dxa"/>
              <w:left w:w="0" w:type="dxa"/>
              <w:bottom w:w="0" w:type="dxa"/>
              <w:right w:w="0" w:type="dxa"/>
            </w:tcMar>
            <w:vAlign w:val="center"/>
          </w:tcPr>
          <w:p>
            <w:pPr>
              <w:pStyle w:val="TableContents"/>
              <w:bidi w:val="0"/>
              <w:spacing w:before="0" w:after="283"/>
              <w:jc w:val="left"/>
              <w:rPr/>
            </w:pPr>
            <w:hyperlink w:anchor="item6exhibits_686387">
              <w:r>
                <w:rPr>
                  <w:rStyle w:val="InternetLink"/>
                  <w:rFonts w:ascii="Arial" w:hAnsi="Arial"/>
                  <w:color w:val="0000EE"/>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bookmarkStart w:id="3" w:name="partifinancialinformation_243352"/>
      <w:bookmarkEnd w:id="3"/>
      <w:r>
        <w:rPr>
          <w:rFonts w:ascii="Arial" w:hAnsi="Arial"/>
          <w:b/>
          <w:color w:val="000000"/>
          <w:sz w:val="20"/>
        </w:rPr>
        <w:t>PART I – FINANCIAL INFORMATION</w:t>
      </w:r>
    </w:p>
    <w:p>
      <w:pPr>
        <w:pStyle w:val="Heading1"/>
        <w:bidi w:val="0"/>
        <w:spacing w:before="240" w:after="283"/>
        <w:jc w:val="left"/>
        <w:rPr>
          <w:rFonts w:ascii="Arial" w:hAnsi="Arial"/>
          <w:b/>
          <w:color w:val="000000"/>
          <w:sz w:val="20"/>
        </w:rPr>
      </w:pPr>
      <w:bookmarkStart w:id="4" w:name="item1financialstatements_533031"/>
      <w:bookmarkEnd w:id="4"/>
      <w:r>
        <w:rPr>
          <w:rFonts w:ascii="Arial" w:hAnsi="Arial"/>
          <w:b/>
          <w:color w:val="000000"/>
          <w:sz w:val="20"/>
        </w:rPr>
        <w:t>Item 1. Financial Statements.</w:t>
      </w:r>
    </w:p>
    <w:p>
      <w:pPr>
        <w:pStyle w:val="TextBody"/>
        <w:bidi w:val="0"/>
        <w:spacing w:before="240" w:after="283"/>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Arial" w:hAnsi="Arial"/>
          <w:b/>
          <w:color w:val="000000"/>
          <w:sz w:val="20"/>
        </w:rPr>
      </w:pPr>
      <w:bookmarkStart w:id="5" w:name="condensedconsolidatedbalancesheets_65975"/>
      <w:bookmarkEnd w:id="5"/>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color w:val="000000"/>
          <w:sz w:val="20"/>
        </w:rPr>
      </w:pPr>
      <w:r>
        <w:rPr>
          <w:rFonts w:ascii="Arial" w:hAnsi="Arial"/>
          <w:color w:val="000000"/>
          <w:sz w:val="20"/>
        </w:rPr>
        <w:t>(Amounts in thousands, except for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822"/>
        <w:gridCol w:w="146"/>
        <w:gridCol w:w="211"/>
        <w:gridCol w:w="856"/>
        <w:gridCol w:w="166"/>
        <w:gridCol w:w="146"/>
        <w:gridCol w:w="214"/>
        <w:gridCol w:w="871"/>
        <w:gridCol w:w="773"/>
      </w:tblGrid>
      <w:tr>
        <w:trPr/>
        <w:tc>
          <w:tcPr>
            <w:tcW w:w="6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68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8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77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8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8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139,480</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294,606</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3,956</w:t>
            </w:r>
          </w:p>
        </w:tc>
        <w:tc>
          <w:tcPr>
            <w:tcW w:w="16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4,387</w:t>
            </w:r>
          </w:p>
        </w:tc>
        <w:tc>
          <w:tcPr>
            <w:tcW w:w="773" w:type="dxa"/>
            <w:tcBorders>
              <w:bottom w:val="single" w:sz="4" w:space="0" w:color="231F2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2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438,473</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1,314</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and long-term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11,921</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11,192</w:t>
            </w:r>
          </w:p>
        </w:tc>
        <w:tc>
          <w:tcPr>
            <w:tcW w:w="773"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2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409,639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450,979</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4,460</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1,172</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36,126</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2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41,758</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82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2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42,015</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Preferred stock, $0.0001</w:t>
            </w:r>
            <w:r>
              <w:rPr>
                <w:rFonts w:ascii="Times New Roman" w:hAnsi="Times New Roman"/>
                <w:color w:val="000000"/>
                <w:sz w:val="20"/>
              </w:rPr>
              <w:t> </w:t>
            </w:r>
            <w:r>
              <w:rPr>
                <w:rFonts w:ascii="Arial" w:hAnsi="Arial"/>
                <w:color w:val="000000"/>
                <w:sz w:val="20"/>
              </w:rPr>
              <w:t>par value; 10,000,000</w:t>
            </w:r>
            <w:r>
              <w:rPr>
                <w:rFonts w:ascii="Times New Roman" w:hAnsi="Times New Roman"/>
                <w:color w:val="000000"/>
                <w:sz w:val="20"/>
              </w:rPr>
              <w:t> </w:t>
            </w:r>
            <w:r>
              <w:rPr>
                <w:rFonts w:ascii="Arial" w:hAnsi="Arial"/>
                <w:color w:val="000000"/>
                <w:sz w:val="20"/>
              </w:rPr>
              <w:t>shares authorized as of March 31, 2025 and December 31, 2024; no</w:t>
            </w:r>
            <w:r>
              <w:rPr>
                <w:rFonts w:ascii="Times New Roman" w:hAnsi="Times New Roman"/>
                <w:color w:val="000000"/>
                <w:sz w:val="20"/>
              </w:rPr>
              <w:t> </w:t>
            </w:r>
            <w:r>
              <w:rPr>
                <w:rFonts w:ascii="Arial" w:hAnsi="Arial"/>
                <w:color w:val="000000"/>
                <w:sz w:val="20"/>
              </w:rPr>
              <w:t>shares issued and outstanding as of March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490,000,000</w:t>
            </w:r>
            <w:r>
              <w:rPr>
                <w:rFonts w:ascii="Times New Roman" w:hAnsi="Times New Roman"/>
                <w:color w:val="000000"/>
                <w:sz w:val="20"/>
              </w:rPr>
              <w:t> </w:t>
            </w:r>
            <w:r>
              <w:rPr>
                <w:rFonts w:ascii="Arial" w:hAnsi="Arial"/>
                <w:color w:val="000000"/>
                <w:sz w:val="20"/>
              </w:rPr>
              <w:t>shares authorized as of March 31, 2025 and December 31, 2024; 68,333,065</w:t>
            </w:r>
            <w:r>
              <w:rPr>
                <w:rFonts w:ascii="Times New Roman" w:hAnsi="Times New Roman"/>
                <w:color w:val="000000"/>
                <w:sz w:val="20"/>
              </w:rPr>
              <w:t> </w:t>
            </w:r>
            <w:r>
              <w:rPr>
                <w:rFonts w:ascii="Arial" w:hAnsi="Arial"/>
                <w:color w:val="000000"/>
                <w:sz w:val="20"/>
              </w:rPr>
              <w:t>and 74,312,608</w:t>
            </w:r>
            <w:r>
              <w:rPr>
                <w:rFonts w:ascii="Times New Roman" w:hAnsi="Times New Roman"/>
                <w:color w:val="000000"/>
                <w:sz w:val="20"/>
              </w:rPr>
              <w:t> </w:t>
            </w:r>
            <w:r>
              <w:rPr>
                <w:rFonts w:ascii="Arial" w:hAnsi="Arial"/>
                <w:color w:val="000000"/>
                <w:sz w:val="20"/>
              </w:rPr>
              <w:t>shares issued as of March 31, 2025 and December 31, 2024, respectively; 68,333,065</w:t>
            </w:r>
            <w:r>
              <w:rPr>
                <w:rFonts w:ascii="Times New Roman" w:hAnsi="Times New Roman"/>
                <w:color w:val="000000"/>
                <w:sz w:val="20"/>
              </w:rPr>
              <w:t> </w:t>
            </w:r>
            <w:r>
              <w:rPr>
                <w:rFonts w:ascii="Arial" w:hAnsi="Arial"/>
                <w:color w:val="000000"/>
                <w:sz w:val="20"/>
              </w:rPr>
              <w:t>and 74,312,608</w:t>
            </w:r>
            <w:r>
              <w:rPr>
                <w:rFonts w:ascii="Times New Roman" w:hAnsi="Times New Roman"/>
                <w:color w:val="000000"/>
                <w:sz w:val="20"/>
              </w:rPr>
              <w:t> </w:t>
            </w:r>
            <w:r>
              <w:rPr>
                <w:rFonts w:ascii="Arial" w:hAnsi="Arial"/>
                <w:color w:val="000000"/>
                <w:sz w:val="20"/>
              </w:rPr>
              <w:t>shares outstanding as of March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848,520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843,920</w:t>
            </w:r>
          </w:p>
        </w:tc>
        <w:tc>
          <w:tcPr>
            <w:tcW w:w="7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2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w:t>
            </w:r>
          </w:p>
        </w:tc>
        <w:tc>
          <w:tcPr>
            <w:tcW w:w="7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82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(435,106</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82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408,964</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2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409,639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450,979</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Arial" w:hAnsi="Arial"/>
          <w:b/>
          <w:color w:val="000000"/>
          <w:sz w:val="20"/>
        </w:rPr>
      </w:pPr>
      <w:r>
        <w:rPr>
          <w:rFonts w:ascii="Arial" w:hAnsi="Arial"/>
          <w:b/>
          <w:color w:val="000000"/>
          <w:sz w:val="20"/>
        </w:rPr>
        <w:t>Condensed Consolidated Statements of Operations and Comprehensive Loss</w:t>
      </w:r>
    </w:p>
    <w:p>
      <w:pPr>
        <w:pStyle w:val="TextBody"/>
        <w:bidi w:val="0"/>
        <w:jc w:val="center"/>
        <w:rPr>
          <w:rFonts w:ascii="Times New Roman" w:hAnsi="Times New Roman"/>
          <w:sz w:val="20"/>
        </w:rPr>
      </w:pPr>
      <w:bookmarkStart w:id="6" w:name="condensedconsolidatedstatementsofoperati"/>
      <w:bookmarkEnd w:id="6"/>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(Amounts in thousands, except for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90"/>
        <w:gridCol w:w="146"/>
        <w:gridCol w:w="211"/>
        <w:gridCol w:w="146"/>
        <w:gridCol w:w="1066"/>
        <w:gridCol w:w="166"/>
        <w:gridCol w:w="146"/>
        <w:gridCol w:w="211"/>
        <w:gridCol w:w="146"/>
        <w:gridCol w:w="1066"/>
        <w:gridCol w:w="611"/>
      </w:tblGrid>
      <w:tr>
        <w:trPr/>
        <w:tc>
          <w:tcPr>
            <w:tcW w:w="6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9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5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2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29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9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6290"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34,339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(34,339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29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9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29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6290"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(30,970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9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shares used to compute net loss per share, basic and diluted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85,426,223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55,574,324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7959" w:type="dxa"/>
        <w:jc w:val="left"/>
        <w:tblInd w:w="0" w:type="dxa"/>
        <w:tblLayout w:type="fixed"/>
        <w:tblCellMar>
          <w:top w:w="28" w:type="dxa"/>
          <w:left w:w="28" w:type="dxa"/>
          <w:bottom w:w="28" w:type="dxa"/>
          <w:right w:w="28" w:type="dxa"/>
        </w:tblCellMar>
      </w:tblPr>
      <w:tblGrid>
        <w:gridCol w:w="4796"/>
        <w:gridCol w:w="146"/>
        <w:gridCol w:w="212"/>
        <w:gridCol w:w="147"/>
        <w:gridCol w:w="757"/>
        <w:gridCol w:w="167"/>
        <w:gridCol w:w="147"/>
        <w:gridCol w:w="212"/>
        <w:gridCol w:w="147"/>
        <w:gridCol w:w="757"/>
        <w:gridCol w:w="471"/>
      </w:tblGrid>
      <w:tr>
        <w:trPr/>
        <w:tc>
          <w:tcPr>
            <w:tcW w:w="4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7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46"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(30,389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(30,970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7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unrealized gain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comprehensive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(30,112</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(31,327</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40" w:after="283"/>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Times New Roman" w:hAnsi="Times New Roman"/>
          <w:sz w:val="20"/>
        </w:rPr>
      </w:pPr>
      <w:bookmarkStart w:id="7" w:name="condensedconsolidatedstatementsofconvert"/>
      <w:bookmarkEnd w:id="7"/>
      <w:r>
        <w:rPr>
          <w:rFonts w:ascii="Arial" w:hAnsi="Arial"/>
          <w:b/>
          <w:color w:val="000000"/>
          <w:sz w:val="20"/>
        </w:rPr>
        <w:t>Condensed Consolidated Statements of Stockholders’ Equity</w:t>
      </w:r>
      <w:r>
        <w:rPr>
          <w:rFonts w:ascii="Times New Roman" w:hAnsi="Times New Roman"/>
          <w:color w:val="000000"/>
          <w:sz w:val="20"/>
        </w:rPr>
        <w:t xml:space="preserve"> </w:t>
      </w:r>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(Amounts in thousands, except for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993"/>
        <w:gridCol w:w="146"/>
        <w:gridCol w:w="927"/>
        <w:gridCol w:w="146"/>
        <w:gridCol w:w="271"/>
        <w:gridCol w:w="480"/>
        <w:gridCol w:w="146"/>
        <w:gridCol w:w="205"/>
        <w:gridCol w:w="726"/>
        <w:gridCol w:w="146"/>
        <w:gridCol w:w="418"/>
        <w:gridCol w:w="933"/>
        <w:gridCol w:w="146"/>
        <w:gridCol w:w="188"/>
        <w:gridCol w:w="968"/>
        <w:gridCol w:w="146"/>
        <w:gridCol w:w="255"/>
        <w:gridCol w:w="965"/>
      </w:tblGrid>
      <w:tr>
        <w:trPr/>
        <w:tc>
          <w:tcPr>
            <w:tcW w:w="2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27"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1"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80"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05"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2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351"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88"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68"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20" w:type="dxa"/>
            <w:gridSpan w:val="2"/>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r>
      <w:tr>
        <w:trPr/>
        <w:tc>
          <w:tcPr>
            <w:tcW w:w="29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74,312,608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843,920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(435,106)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408,964</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Exchange of common stock shares for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9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4,195</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w:t>
            </w:r>
          </w:p>
        </w:tc>
      </w:tr>
      <w:tr>
        <w:trPr/>
        <w:tc>
          <w:tcPr>
            <w:tcW w:w="29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Employee stock purchase plan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costs for the shares issued under equity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r>
      <w:tr>
        <w:trPr/>
        <w:tc>
          <w:tcPr>
            <w:tcW w:w="29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277</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(30,389)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(30,389)</w:t>
            </w:r>
          </w:p>
        </w:tc>
      </w:tr>
      <w:tr>
        <w:trPr/>
        <w:tc>
          <w:tcPr>
            <w:tcW w:w="29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68,333,065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848,520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(465,495)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383,452</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9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r>
      <w:tr>
        <w:trPr/>
        <w:tc>
          <w:tcPr>
            <w:tcW w:w="29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54,992,784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559,176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(305,632)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253,895</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at-the-market offering, net of issuance costs of $166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546,326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7,901</w:t>
            </w:r>
          </w:p>
        </w:tc>
      </w:tr>
      <w:tr>
        <w:trPr/>
        <w:tc>
          <w:tcPr>
            <w:tcW w:w="29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4,704</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288,402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940</w:t>
            </w:r>
          </w:p>
        </w:tc>
      </w:tr>
      <w:tr>
        <w:trPr/>
        <w:tc>
          <w:tcPr>
            <w:tcW w:w="29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Employee stock purchase plan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Vesting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9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(357)</w:t>
            </w:r>
          </w:p>
        </w:tc>
      </w:tr>
      <w:tr>
        <w:trPr/>
        <w:tc>
          <w:tcPr>
            <w:tcW w:w="29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(30,970)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(30,970)</w:t>
            </w:r>
          </w:p>
        </w:tc>
      </w:tr>
      <w:tr>
        <w:trPr/>
        <w:tc>
          <w:tcPr>
            <w:tcW w:w="2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Balances at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55,867,863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572,926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(336,602)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236,318</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spacing w:before="0" w:after="24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Arial" w:hAnsi="Arial"/>
          <w:b/>
          <w:color w:val="000000"/>
          <w:sz w:val="20"/>
        </w:rPr>
      </w:pPr>
      <w:r>
        <w:rPr>
          <w:rFonts w:ascii="Arial" w:hAnsi="Arial"/>
          <w:b/>
          <w:color w:val="000000"/>
          <w:sz w:val="20"/>
        </w:rPr>
        <w:t>Condensed Consolidated Statements of Cash Flows</w:t>
      </w:r>
    </w:p>
    <w:p>
      <w:pPr>
        <w:pStyle w:val="TextBody"/>
        <w:bidi w:val="0"/>
        <w:jc w:val="center"/>
        <w:rPr>
          <w:rFonts w:ascii="Arial" w:hAnsi="Arial"/>
          <w:b/>
          <w:color w:val="000000"/>
          <w:sz w:val="20"/>
        </w:rPr>
      </w:pPr>
      <w:bookmarkStart w:id="8" w:name="condensedconsolidatedstatementsofcashflo"/>
      <w:bookmarkEnd w:id="8"/>
      <w:r>
        <w:rPr>
          <w:rFonts w:ascii="Arial" w:hAnsi="Arial"/>
          <w:b/>
          <w:color w:val="000000"/>
          <w:sz w:val="20"/>
        </w:rPr>
        <w:t>(unaudited)</w:t>
      </w:r>
    </w:p>
    <w:p>
      <w:pPr>
        <w:pStyle w:val="TextBody"/>
        <w:bidi w:val="0"/>
        <w:jc w:val="center"/>
        <w:rPr>
          <w:rFonts w:ascii="Arial" w:hAnsi="Arial"/>
          <w:color w:val="000000"/>
          <w:sz w:val="20"/>
        </w:rPr>
      </w:pPr>
      <w:r>
        <w:rPr>
          <w:rFonts w:ascii="Arial" w:hAnsi="Arial"/>
          <w:color w:val="000000"/>
          <w:sz w:val="20"/>
        </w:rPr>
        <w:t>(Amounts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55"/>
        <w:gridCol w:w="146"/>
        <w:gridCol w:w="211"/>
        <w:gridCol w:w="146"/>
        <w:gridCol w:w="856"/>
        <w:gridCol w:w="166"/>
        <w:gridCol w:w="146"/>
        <w:gridCol w:w="211"/>
        <w:gridCol w:w="146"/>
        <w:gridCol w:w="751"/>
        <w:gridCol w:w="771"/>
      </w:tblGrid>
      <w:tr>
        <w:trPr/>
        <w:tc>
          <w:tcPr>
            <w:tcW w:w="6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665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633"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7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(30,970</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righ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Non-cash interest income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(2,355</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Stock-based compensation expense, including employee stock purchase plan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4,909</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1,593</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assets and long-term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(1,343</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4,958</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(23,496</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97,772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56,100</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(142,855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(76,091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(20,144</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shares under at-the-market offering, net of issuance costs of $166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7,901</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costs for shares issued under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920</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8,821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(34,819</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68,539</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end of period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50,640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33,720</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 of non-cash financing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Exchange of common stock for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40"/>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0" w:after="240"/>
        <w:jc w:val="center"/>
        <w:rPr>
          <w:rFonts w:ascii="Arial" w:hAnsi="Arial"/>
          <w:b/>
          <w:color w:val="000000"/>
          <w:sz w:val="20"/>
        </w:rPr>
      </w:pPr>
      <w:bookmarkStart w:id="9" w:name="notestocondensedconsolidatedfinancialsta"/>
      <w:bookmarkEnd w:id="9"/>
      <w:r>
        <w:rPr>
          <w:rFonts w:ascii="Arial" w:hAnsi="Arial"/>
          <w:b/>
          <w:color w:val="000000"/>
          <w:sz w:val="20"/>
        </w:rPr>
        <w:t>Notes to condensed consolidated financial statements</w:t>
      </w:r>
    </w:p>
    <w:p>
      <w:pPr>
        <w:pStyle w:val="TextBody"/>
        <w:bidi w:val="0"/>
        <w:spacing w:before="0" w:after="240"/>
        <w:jc w:val="center"/>
        <w:rPr>
          <w:rFonts w:ascii="Arial" w:hAnsi="Arial"/>
          <w:b/>
          <w:color w:val="000000"/>
          <w:sz w:val="20"/>
        </w:rPr>
      </w:pPr>
      <w:r>
        <w:rPr>
          <w:rFonts w:ascii="Arial" w:hAnsi="Arial"/>
          <w:b/>
          <w:color w:val="000000"/>
          <w:sz w:val="20"/>
        </w:rPr>
        <w:t>(Unaudited)</w:t>
      </w:r>
    </w:p>
    <w:p>
      <w:pPr>
        <w:pStyle w:val="TextBody"/>
        <w:bidi w:val="0"/>
        <w:spacing w:before="0" w:after="0"/>
        <w:jc w:val="both"/>
        <w:rPr>
          <w:rFonts w:ascii="Arial" w:hAnsi="Arial"/>
          <w:color w:val="000000"/>
          <w:sz w:val="20"/>
        </w:rPr>
      </w:pPr>
      <w:r>
        <w:rPr>
          <w:rFonts w:ascii="Arial" w:hAnsi="Arial"/>
          <w:color w:val="000000"/>
          <w:sz w:val="20"/>
        </w:rPr>
        <w:t>1.</w:t>
      </w:r>
    </w:p>
    <w:p>
      <w:pPr>
        <w:pStyle w:val="TextBody"/>
        <w:bidi w:val="0"/>
        <w:jc w:val="both"/>
        <w:rPr>
          <w:rFonts w:ascii="Arial" w:hAnsi="Arial"/>
          <w:color w:val="000000"/>
          <w:sz w:val="20"/>
        </w:rPr>
      </w:pPr>
      <w:r>
        <w:rPr>
          <w:rFonts w:ascii="Arial" w:hAnsi="Arial"/>
          <w:color w:val="000000"/>
          <w:sz w:val="20"/>
        </w:rPr>
        <w:t>Nature of the Business and Basis of Presentation</w:t>
      </w:r>
    </w:p>
    <w:p>
      <w:pPr>
        <w:pStyle w:val="TextBody"/>
        <w:bidi w:val="0"/>
        <w:spacing w:before="240" w:after="283"/>
        <w:jc w:val="both"/>
        <w:rPr>
          <w:rFonts w:ascii="Times New Roman" w:hAnsi="Times New Roman"/>
          <w:sz w:val="20"/>
        </w:rPr>
      </w:pPr>
      <w:r>
        <w:rPr>
          <w:rFonts w:ascii="Arial" w:hAnsi="Arial"/>
          <w:color w:val="000000"/>
          <w:sz w:val="20"/>
        </w:rPr>
        <w:t>Olema Pharmaceuticals, Inc. (“Olema” or the “Company”) is a clinical-stage biopharmaceutical company focused on the discovery, development and commercialization of next-generation targeted therapies for women’s cancers. The Company is advancing a pipeline of novel therapies by leveraging its deep understanding of endocrine-driven cancers, nuclear receptors, and mechanisms of acquired resistance. The Company's wholly-owned, lead product candidate, palazestrant (OP-1250), is a novel, orally-available small molecule with dual activity as both a complete estrogen receptor ("ER") antagonist ("CERAN") and selective ER degrader ("SERD"). In addition to its lead product candidate, Olema is developing a potent KAT6 inhibitor (OP-3136).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it has operations in Cambridge, Massachusetts. Olema Oncology Australia Pty Ltd was incorporated on January 6, 2021, and is a wholly-owned subsidiary of the Company (collectively with Olema Pharmaceuticals, Inc., referred to as “Olema” or the “Company” herein). It operates in one</w:t>
      </w:r>
      <w:r>
        <w:rPr>
          <w:rFonts w:ascii="Times New Roman" w:hAnsi="Times New Roman"/>
          <w:color w:val="000000"/>
          <w:sz w:val="20"/>
        </w:rPr>
        <w:t xml:space="preserve"> </w:t>
      </w:r>
      <w:r>
        <w:rPr>
          <w:rFonts w:ascii="Arial" w:hAnsi="Arial"/>
          <w:color w:val="000000"/>
          <w:sz w:val="20"/>
        </w:rPr>
        <w:t>business segment and therefore has only one</w:t>
      </w:r>
      <w:r>
        <w:rPr>
          <w:rFonts w:ascii="Times New Roman" w:hAnsi="Times New Roman"/>
          <w:color w:val="000000"/>
          <w:sz w:val="20"/>
        </w:rPr>
        <w:t xml:space="preserve"> </w:t>
      </w:r>
      <w:r>
        <w:rPr>
          <w:rFonts w:ascii="Arial" w:hAnsi="Arial"/>
          <w:color w:val="000000"/>
          <w:sz w:val="20"/>
        </w:rPr>
        <w:t>reportable segment. The Company is subject to risks and uncertainties common to late-stage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geopolitical and macroeconomic events discussed in further detail below, the ability to secure additional capital to fund operations and commercial success of its product candidates. Palazestrant, OP-3136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pStyle w:val="Heading2"/>
        <w:bidi w:val="0"/>
        <w:spacing w:before="240" w:after="283"/>
        <w:jc w:val="left"/>
        <w:rPr>
          <w:rFonts w:ascii="Arial" w:hAnsi="Arial"/>
          <w:i/>
          <w:color w:val="000000"/>
          <w:sz w:val="20"/>
        </w:rPr>
      </w:pPr>
      <w:r>
        <w:rPr>
          <w:rFonts w:ascii="Arial" w:hAnsi="Arial"/>
          <w:i/>
          <w:color w:val="000000"/>
          <w:sz w:val="20"/>
        </w:rPr>
        <w:t>Liquidity</w:t>
      </w:r>
    </w:p>
    <w:p>
      <w:pPr>
        <w:pStyle w:val="TextBody"/>
        <w:bidi w:val="0"/>
        <w:spacing w:before="240" w:after="283"/>
        <w:jc w:val="both"/>
        <w:rPr>
          <w:rFonts w:ascii="Times New Roman" w:hAnsi="Times New Roman"/>
          <w:sz w:val="20"/>
        </w:rPr>
      </w:pPr>
      <w:r>
        <w:rPr>
          <w:rFonts w:ascii="Arial" w:hAnsi="Arial"/>
          <w:color w:val="000000"/>
          <w:sz w:val="20"/>
        </w:rPr>
        <w:t>The Company had $392.7</w:t>
      </w:r>
      <w:r>
        <w:rPr>
          <w:rFonts w:ascii="Times New Roman" w:hAnsi="Times New Roman"/>
          <w:color w:val="000000"/>
          <w:sz w:val="20"/>
        </w:rPr>
        <w:t xml:space="preserve"> </w:t>
      </w:r>
      <w:r>
        <w:rPr>
          <w:rFonts w:ascii="Arial" w:hAnsi="Arial"/>
          <w:color w:val="000000"/>
          <w:sz w:val="20"/>
        </w:rPr>
        <w:t>million of cash, cash equivalents and marketable securities at March 31, 2025, in addition to an available balance of $25.0</w:t>
      </w:r>
      <w:r>
        <w:rPr>
          <w:rFonts w:ascii="Times New Roman" w:hAnsi="Times New Roman"/>
          <w:color w:val="000000"/>
          <w:sz w:val="20"/>
        </w:rPr>
        <w:t xml:space="preserve"> </w:t>
      </w:r>
      <w:r>
        <w:rPr>
          <w:rFonts w:ascii="Arial" w:hAnsi="Arial"/>
          <w:color w:val="000000"/>
          <w:sz w:val="20"/>
        </w:rPr>
        <w:t>million under the Loan and Security Agreement dated as of September 5, 2023 (the “Original Loan Agreement”), by and between the Company, as borrower, and Silicon Valley Bank, a division of First-Citizens Bank &amp; Trust Company (the “Bank”), as amended by the First Amendment to Loan and Security Agreement, dated June 28, 2024, by and between the Company and the Bank (the "Amendment," and the Original Loan Agreement as amended by the Amendment, the "Loan Agreement"). Refer to Note 10. Commitments and Contingencies for further details. Management believes that the Company’s cash, cash equivalents, marketable securities, and the amounts available under the Loan Agreement will be sufficient to fund the Company’s current operating plan for at least the next 12 months from the filing date of these condensed consolidated financial statements.</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At-The-Market Offering</w:t>
      </w:r>
    </w:p>
    <w:p>
      <w:pPr>
        <w:pStyle w:val="TextBody"/>
        <w:bidi w:val="0"/>
        <w:spacing w:before="240" w:after="283"/>
        <w:jc w:val="both"/>
        <w:rPr>
          <w:rFonts w:ascii="Times New Roman" w:hAnsi="Times New Roman"/>
          <w:sz w:val="20"/>
        </w:rPr>
      </w:pPr>
      <w:r>
        <w:rPr>
          <w:rFonts w:ascii="Arial" w:hAnsi="Arial"/>
          <w:color w:val="000000"/>
          <w:sz w:val="20"/>
        </w:rPr>
        <w:t>On January 6, 2025, the Company entered into a sales agreement (the "2025 Sales Agreement") with TD Securities (USA) LLC, ("TD Cowen") as sales agent, pursuant to which the Company may offer and sell, from time to time, shares of the Company's common stock, having an aggregate offering price of up to $150.0</w:t>
      </w:r>
      <w:r>
        <w:rPr>
          <w:rFonts w:ascii="Times New Roman" w:hAnsi="Times New Roman"/>
          <w:color w:val="000000"/>
          <w:sz w:val="20"/>
        </w:rPr>
        <w:t xml:space="preserve"> </w:t>
      </w:r>
      <w:r>
        <w:rPr>
          <w:rFonts w:ascii="Arial" w:hAnsi="Arial"/>
          <w:color w:val="000000"/>
          <w:sz w:val="20"/>
        </w:rPr>
        <w:t>million (the “2025 ATM Shares”). The 2025 Sales Agreement replaces the prior sales agreement entered into between the Company and Cowen and Company, LLC dated as of January 5, 2024 (the "2024 Sales Agreement"). During the year ended December 31, 2024, the Company issued 1,772,278</w:t>
      </w:r>
      <w:r>
        <w:rPr>
          <w:rFonts w:ascii="Times New Roman" w:hAnsi="Times New Roman"/>
          <w:color w:val="000000"/>
          <w:sz w:val="20"/>
        </w:rPr>
        <w:t xml:space="preserve"> </w:t>
      </w:r>
      <w:r>
        <w:rPr>
          <w:rFonts w:ascii="Arial" w:hAnsi="Arial"/>
          <w:color w:val="000000"/>
          <w:sz w:val="20"/>
        </w:rPr>
        <w:t>shares of its common stock under the 2024 Sales Agreement at a weighted average price of $13.19</w:t>
      </w:r>
      <w:r>
        <w:rPr>
          <w:rFonts w:ascii="Times New Roman" w:hAnsi="Times New Roman"/>
          <w:color w:val="000000"/>
          <w:sz w:val="20"/>
        </w:rPr>
        <w:t xml:space="preserve"> </w:t>
      </w:r>
      <w:r>
        <w:rPr>
          <w:rFonts w:ascii="Arial" w:hAnsi="Arial"/>
          <w:color w:val="000000"/>
          <w:sz w:val="20"/>
        </w:rPr>
        <w:t>for net proceeds of $22.8</w:t>
      </w:r>
      <w:r>
        <w:rPr>
          <w:rFonts w:ascii="Times New Roman" w:hAnsi="Times New Roman"/>
          <w:color w:val="000000"/>
          <w:sz w:val="20"/>
        </w:rPr>
        <w:t xml:space="preserve"> </w:t>
      </w:r>
      <w:r>
        <w:rPr>
          <w:rFonts w:ascii="Arial" w:hAnsi="Arial"/>
          <w:color w:val="000000"/>
          <w:sz w:val="20"/>
        </w:rPr>
        <w:t>million after deducting related issuance costs. The sales of the 2025 ATM Shares will be made by any method permitted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that is deemed to be an "at-the-market" equity offering as defined in Rule 415(a)(4) promulgated under the Securities Act, including sales made directly on or through the Nasdaq Global Select Market. The Company has agreed to pay TD Cowen a commission of up to 3.0% of the aggregate gross proceeds from any 2025 ATM Shares sold by TD Cowen. There were no</w:t>
      </w:r>
      <w:r>
        <w:rPr>
          <w:rFonts w:ascii="Times New Roman" w:hAnsi="Times New Roman"/>
          <w:color w:val="000000"/>
          <w:sz w:val="20"/>
        </w:rPr>
        <w:t xml:space="preserve"> </w:t>
      </w:r>
      <w:r>
        <w:rPr>
          <w:rFonts w:ascii="Arial" w:hAnsi="Arial"/>
          <w:color w:val="000000"/>
          <w:sz w:val="20"/>
        </w:rPr>
        <w:t>sales under the 2025 Sales Agreement during the three months ended March 31, 2025. As of March 31, 2025, $150.0</w:t>
      </w:r>
      <w:r>
        <w:rPr>
          <w:rFonts w:ascii="Times New Roman" w:hAnsi="Times New Roman"/>
          <w:color w:val="000000"/>
          <w:sz w:val="20"/>
        </w:rPr>
        <w:t xml:space="preserve"> </w:t>
      </w:r>
      <w:r>
        <w:rPr>
          <w:rFonts w:ascii="Arial" w:hAnsi="Arial"/>
          <w:color w:val="000000"/>
          <w:sz w:val="20"/>
        </w:rPr>
        <w:t>million remained available for issuance under the 2025 Sales Agreement.</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Private Placement</w:t>
      </w:r>
    </w:p>
    <w:p>
      <w:pPr>
        <w:pStyle w:val="TextBody"/>
        <w:bidi w:val="0"/>
        <w:spacing w:before="240" w:after="283"/>
        <w:jc w:val="both"/>
        <w:rPr>
          <w:rFonts w:ascii="Times New Roman" w:hAnsi="Times New Roman"/>
          <w:sz w:val="20"/>
        </w:rPr>
      </w:pPr>
      <w:r>
        <w:rPr>
          <w:rFonts w:ascii="Arial" w:hAnsi="Arial"/>
          <w:color w:val="000000"/>
          <w:sz w:val="20"/>
        </w:rPr>
        <w:t>On November 29, 2024, the Company entered into a securities purchase agreement for a private placement of (i) 19,928,875</w:t>
      </w:r>
      <w:r>
        <w:rPr>
          <w:rFonts w:ascii="Times New Roman" w:hAnsi="Times New Roman"/>
          <w:color w:val="000000"/>
          <w:sz w:val="20"/>
        </w:rPr>
        <w:t xml:space="preserve"> </w:t>
      </w:r>
      <w:r>
        <w:rPr>
          <w:rFonts w:ascii="Arial" w:hAnsi="Arial"/>
          <w:color w:val="000000"/>
          <w:sz w:val="20"/>
        </w:rPr>
        <w:t>shares of our common stock at a price of $9.08</w:t>
      </w:r>
      <w:r>
        <w:rPr>
          <w:rFonts w:ascii="Times New Roman" w:hAnsi="Times New Roman"/>
          <w:color w:val="000000"/>
          <w:sz w:val="20"/>
        </w:rPr>
        <w:t xml:space="preserve"> </w:t>
      </w:r>
      <w:r>
        <w:rPr>
          <w:rFonts w:ascii="Arial" w:hAnsi="Arial"/>
          <w:color w:val="000000"/>
          <w:sz w:val="20"/>
        </w:rPr>
        <w:t>per share and (ii) pre-funded warrants to purchase up to an aggregate of 7,604,163</w:t>
      </w:r>
      <w:r>
        <w:rPr>
          <w:rFonts w:ascii="Times New Roman" w:hAnsi="Times New Roman"/>
          <w:color w:val="000000"/>
          <w:sz w:val="20"/>
        </w:rPr>
        <w:t xml:space="preserve"> </w:t>
      </w:r>
      <w:r>
        <w:rPr>
          <w:rFonts w:ascii="Arial" w:hAnsi="Arial"/>
          <w:color w:val="000000"/>
          <w:sz w:val="20"/>
        </w:rPr>
        <w:t>shares of our common stock at a price of $9.0799</w:t>
      </w:r>
      <w:r>
        <w:rPr>
          <w:rFonts w:ascii="Times New Roman" w:hAnsi="Times New Roman"/>
          <w:color w:val="000000"/>
          <w:sz w:val="20"/>
        </w:rPr>
        <w:t xml:space="preserve"> </w:t>
      </w:r>
      <w:r>
        <w:rPr>
          <w:rFonts w:ascii="Arial" w:hAnsi="Arial"/>
          <w:color w:val="000000"/>
          <w:sz w:val="20"/>
        </w:rPr>
        <w:t>per pre-funded warrant, which represents the per share purchase price of the common stock sold in the private placement less the $0.0001</w:t>
      </w:r>
      <w:r>
        <w:rPr>
          <w:rFonts w:ascii="Times New Roman" w:hAnsi="Times New Roman"/>
          <w:color w:val="000000"/>
          <w:sz w:val="20"/>
        </w:rPr>
        <w:t xml:space="preserve"> </w:t>
      </w:r>
      <w:r>
        <w:rPr>
          <w:rFonts w:ascii="Arial" w:hAnsi="Arial"/>
          <w:color w:val="000000"/>
          <w:sz w:val="20"/>
        </w:rPr>
        <w:t>per share exercise price for each pre-funded warrant to selected institutional and accredited investors (the 2024 Private Placement). The aggregate gross proceeds for the 2024 Private Placement were approximately $250.0</w:t>
      </w:r>
      <w:r>
        <w:rPr>
          <w:rFonts w:ascii="Times New Roman" w:hAnsi="Times New Roman"/>
          <w:color w:val="000000"/>
          <w:sz w:val="20"/>
        </w:rPr>
        <w:t xml:space="preserve"> </w:t>
      </w:r>
      <w:r>
        <w:rPr>
          <w:rFonts w:ascii="Arial" w:hAnsi="Arial"/>
          <w:color w:val="000000"/>
          <w:sz w:val="20"/>
        </w:rPr>
        <w:t>million. After deducting offering expenses related to the 2024 Private Placement of approximately $13.0</w:t>
      </w:r>
      <w:r>
        <w:rPr>
          <w:rFonts w:ascii="Times New Roman" w:hAnsi="Times New Roman"/>
          <w:color w:val="000000"/>
          <w:sz w:val="20"/>
        </w:rPr>
        <w:t xml:space="preserve"> </w:t>
      </w:r>
      <w:r>
        <w:rPr>
          <w:rFonts w:ascii="Arial" w:hAnsi="Arial"/>
          <w:color w:val="000000"/>
          <w:sz w:val="20"/>
        </w:rPr>
        <w:t>million, the net proceeds to us from the 2024 Private Placement were approximately $237.0</w:t>
      </w:r>
      <w:r>
        <w:rPr>
          <w:rFonts w:ascii="Times New Roman" w:hAnsi="Times New Roman"/>
          <w:color w:val="000000"/>
          <w:sz w:val="20"/>
        </w:rPr>
        <w:t xml:space="preserve"> </w:t>
      </w:r>
      <w:r>
        <w:rPr>
          <w:rFonts w:ascii="Arial" w:hAnsi="Arial"/>
          <w:color w:val="000000"/>
          <w:sz w:val="20"/>
        </w:rPr>
        <w:t>million.</w:t>
      </w:r>
    </w:p>
    <w:p>
      <w:pPr>
        <w:pStyle w:val="TextBody"/>
        <w:bidi w:val="0"/>
        <w:spacing w:before="240" w:after="283"/>
        <w:jc w:val="both"/>
        <w:rPr>
          <w:rFonts w:ascii="Arial" w:hAnsi="Arial"/>
          <w:color w:val="000000"/>
          <w:sz w:val="20"/>
        </w:rPr>
      </w:pPr>
      <w:r>
        <w:rPr>
          <w:rFonts w:ascii="Arial" w:hAnsi="Arial"/>
          <w:color w:val="000000"/>
          <w:sz w:val="20"/>
        </w:rPr>
        <w:t>Warrant Exchanges</w:t>
      </w:r>
    </w:p>
    <w:p>
      <w:pPr>
        <w:pStyle w:val="TextBody"/>
        <w:bidi w:val="0"/>
        <w:spacing w:before="240" w:after="283"/>
        <w:jc w:val="both"/>
        <w:rPr>
          <w:rFonts w:ascii="Times New Roman" w:hAnsi="Times New Roman"/>
          <w:sz w:val="20"/>
        </w:rPr>
      </w:pPr>
      <w:r>
        <w:rPr>
          <w:rFonts w:ascii="Arial" w:hAnsi="Arial"/>
          <w:color w:val="000000"/>
          <w:sz w:val="20"/>
        </w:rPr>
        <w:t>On November 29, 2024 and January 10, 2025, the Company entered into exchange agreements with certain investors and issued to such investors pre-funded warrants to purchase up to 3,420,000</w:t>
      </w:r>
      <w:r>
        <w:rPr>
          <w:rFonts w:ascii="Times New Roman" w:hAnsi="Times New Roman"/>
          <w:color w:val="000000"/>
          <w:sz w:val="20"/>
        </w:rPr>
        <w:t xml:space="preserve"> </w:t>
      </w:r>
      <w:r>
        <w:rPr>
          <w:rFonts w:ascii="Arial" w:hAnsi="Arial"/>
          <w:color w:val="000000"/>
          <w:sz w:val="20"/>
        </w:rPr>
        <w:t>and 6,070,000</w:t>
      </w:r>
      <w:r>
        <w:rPr>
          <w:rFonts w:ascii="Times New Roman" w:hAnsi="Times New Roman"/>
          <w:color w:val="000000"/>
          <w:sz w:val="20"/>
        </w:rPr>
        <w:t xml:space="preserve"> </w:t>
      </w:r>
      <w:r>
        <w:rPr>
          <w:rFonts w:ascii="Arial" w:hAnsi="Arial"/>
          <w:color w:val="000000"/>
          <w:sz w:val="20"/>
        </w:rPr>
        <w:t>shares of the Company's common stock, respectively, in exchange for an equivalent number of shares of the Company's common stock previously outstanding and held by such investors. The pre-funded warrants were issued without registration under the Securities Act of 1933, as amended (the “Securities Act”), in reliance on the exemption from registration contained in Section 3(a)(9) of the Securities Act. Refer to Note 11. Pre-Funded Warrants for further details.</w:t>
      </w:r>
    </w:p>
    <w:p>
      <w:pPr>
        <w:pStyle w:val="Heading2"/>
        <w:bidi w:val="0"/>
        <w:spacing w:before="240" w:after="283"/>
        <w:jc w:val="left"/>
        <w:rPr>
          <w:rFonts w:ascii="Arial" w:hAnsi="Arial"/>
          <w:i/>
          <w:color w:val="000000"/>
          <w:sz w:val="20"/>
        </w:rPr>
      </w:pPr>
      <w:r>
        <w:rPr>
          <w:rFonts w:ascii="Arial" w:hAnsi="Arial"/>
          <w:i/>
          <w:color w:val="000000"/>
          <w:sz w:val="20"/>
        </w:rPr>
        <w:t>Impact of Geopolitical and Macroeconomic Events</w:t>
      </w:r>
    </w:p>
    <w:p>
      <w:pPr>
        <w:pStyle w:val="TextBody"/>
        <w:bidi w:val="0"/>
        <w:spacing w:before="240" w:after="283"/>
        <w:jc w:val="both"/>
        <w:rPr>
          <w:rFonts w:ascii="Arial" w:hAnsi="Arial"/>
          <w:color w:val="000000"/>
          <w:sz w:val="20"/>
        </w:rPr>
      </w:pPr>
      <w:r>
        <w:rPr>
          <w:rFonts w:ascii="Arial" w:hAnsi="Arial"/>
          <w:color w:val="000000"/>
          <w:sz w:val="20"/>
        </w:rPr>
        <w:t>Global economic and business activities continue to face widespread uncertainty related to the geopolitical and macroeconomic environment, generally, including economic uncertainty, market volatility, labor shortages, recent and changing tariff policy announcements, tariffs, trade tensions and retaliatory measures by other countries, supply chain disruptions, the ongoing conflicts between Ukraine and Russia and in the Middle East, as well as any related political or economic responses and counter-responses or otherwise by various global actors, inflationary pressures, monetary supply shifts, increased recession risk, and related financial instability. The extent of the impact of these factors on the Company’s operational and financial performance, including its ability to execute its business strategies and initiatives in the expected time frame, will depend on future developments, which are uncertain and cannot be predicted. Any continued or renewed disruption resulting from these factors could negatively impact the Company’s business. The Company continues to monitor the impact of these geopolitical and macroeconomic factors on its results of operations, financial condition and cash flows.</w:t>
      </w:r>
    </w:p>
    <w:p>
      <w:pPr>
        <w:pStyle w:val="TextBody"/>
        <w:bidi w:val="0"/>
        <w:spacing w:before="240" w:after="283"/>
        <w:jc w:val="both"/>
        <w:rPr>
          <w:rFonts w:ascii="Arial" w:hAnsi="Arial"/>
          <w:color w:val="000000"/>
          <w:sz w:val="20"/>
        </w:rPr>
      </w:pPr>
      <w:r>
        <w:rPr>
          <w:rFonts w:ascii="Arial" w:hAnsi="Arial"/>
          <w:color w:val="000000"/>
          <w:sz w:val="20"/>
        </w:rPr>
        <w:t>2.</w:t>
      </w:r>
    </w:p>
    <w:p>
      <w:pPr>
        <w:pStyle w:val="TextBody"/>
        <w:bidi w:val="0"/>
        <w:spacing w:before="240" w:after="283"/>
        <w:jc w:val="both"/>
        <w:rPr>
          <w:rFonts w:ascii="Arial" w:hAnsi="Arial"/>
          <w:color w:val="000000"/>
          <w:sz w:val="20"/>
        </w:rPr>
      </w:pPr>
      <w:r>
        <w:rPr>
          <w:rFonts w:ascii="Arial" w:hAnsi="Arial"/>
          <w:color w:val="000000"/>
          <w:sz w:val="20"/>
        </w:rPr>
        <w:t>Summary of Significant Accounting Policies</w:t>
      </w:r>
    </w:p>
    <w:p>
      <w:pPr>
        <w:pStyle w:val="TextBody"/>
        <w:bidi w:val="0"/>
        <w:spacing w:before="240" w:after="283"/>
        <w:jc w:val="left"/>
        <w:rPr>
          <w:rFonts w:ascii="Arial" w:hAnsi="Arial"/>
          <w:i/>
          <w:color w:val="000000"/>
          <w:sz w:val="20"/>
        </w:rPr>
      </w:pPr>
      <w:r>
        <w:rPr>
          <w:rFonts w:ascii="Arial" w:hAnsi="Arial"/>
          <w:i/>
          <w:color w:val="000000"/>
          <w:sz w:val="20"/>
        </w:rPr>
        <w:t>Basis of Presentation and Consolidation</w:t>
      </w:r>
    </w:p>
    <w:p>
      <w:pPr>
        <w:pStyle w:val="TextBody"/>
        <w:bidi w:val="0"/>
        <w:spacing w:before="240" w:after="283"/>
        <w:jc w:val="both"/>
        <w:rPr>
          <w:rFonts w:ascii="Arial" w:hAnsi="Arial"/>
          <w:color w:val="000000"/>
          <w:sz w:val="20"/>
        </w:rPr>
      </w:pPr>
      <w:r>
        <w:rPr>
          <w:rFonts w:ascii="Arial" w:hAnsi="Arial"/>
          <w:color w:val="000000"/>
          <w:sz w:val="20"/>
        </w:rPr>
        <w:t>The accompanying interim unaudited condensed consolidated financial statements have been prepared in accordance with generally accepted accounting principles in the United States (“GAAP”) and applicable rules and regulations of the Securities and Exchange Commission (the “SEC”) regarding interim financial reporting, and the instructions to Form 10</w:t>
        <w:noBreakHyphen/>
        <w:t>Q and Article 10 of Regulation S-X. Accordingly, they do not include all of the information and footnotes required by GAAP for complete financial statements. These condensed consolidated financial statements include the accounts of Olema Pharmaceuticals, Inc. and its wholly-owned subsidiary, Olema Oncology Australia Pty Ltd. All intercompany balances and transactions have been eliminated upon consolidation.</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left"/>
        <w:rPr>
          <w:rFonts w:ascii="Arial" w:hAnsi="Arial"/>
          <w:i/>
          <w:color w:val="000000"/>
          <w:sz w:val="20"/>
        </w:rPr>
      </w:pPr>
      <w:r>
        <w:rPr>
          <w:rFonts w:ascii="Arial" w:hAnsi="Arial"/>
          <w:i/>
          <w:color w:val="000000"/>
          <w:sz w:val="20"/>
        </w:rPr>
        <w:t>Unaudited Interim Financial Information</w:t>
      </w:r>
    </w:p>
    <w:p>
      <w:pPr>
        <w:pStyle w:val="TextBody"/>
        <w:bidi w:val="0"/>
        <w:spacing w:before="240" w:after="283"/>
        <w:jc w:val="both"/>
        <w:rPr>
          <w:rFonts w:ascii="Arial" w:hAnsi="Arial"/>
          <w:color w:val="000000"/>
          <w:sz w:val="20"/>
        </w:rPr>
      </w:pPr>
      <w:r>
        <w:rPr>
          <w:rFonts w:ascii="Arial" w:hAnsi="Arial"/>
          <w:color w:val="000000"/>
          <w:sz w:val="20"/>
        </w:rPr>
        <w:t>The interim condensed consolidated balance sheet as of March 31, 2025, and the statements of operations and comprehensive loss, stockholders’ equity and cash flows for the three months ended March 31, 2025 and 2024 are unaudited. The unaudited interim condensed consolidated financial statements have been prepared on the same basis as the annual financial statements and reflect, in the opinion of management, all adjustments of a normal and recurring nature that are necessary for the fair presentation of the Company’s condensed consolidated financial statements included in this report. The financial data and the other information disclosed in these notes to the condensed consolidated financial statements related to the three-month period are also unaudited. The results of operations presented in these unaudited condensed consolidated financial statements are not necessarily indicative of the results to be expected for the year ending December 31, 2025, or for any other future annual or interim period. The condensed consolidated balance sheet as of December 31, 2024 included herein was derived from the audited financial statements as of that date. These interim condensed consolidated financial statements should be read in conjunction with the Company’s audited consolidated financial statements included in the Company’s Form 10</w:t>
        <w:noBreakHyphen/>
        <w:t>K as filed with the SEC on March 18, 2025 (the “Annual Report”).</w:t>
      </w:r>
    </w:p>
    <w:p>
      <w:pPr>
        <w:pStyle w:val="TextBody"/>
        <w:bidi w:val="0"/>
        <w:spacing w:before="240" w:after="283"/>
        <w:jc w:val="left"/>
        <w:rPr>
          <w:rFonts w:ascii="Arial" w:hAnsi="Arial"/>
          <w:i/>
          <w:color w:val="000000"/>
          <w:sz w:val="20"/>
        </w:rPr>
      </w:pPr>
      <w:r>
        <w:rPr>
          <w:rFonts w:ascii="Arial" w:hAnsi="Arial"/>
          <w:i/>
          <w:color w:val="000000"/>
          <w:sz w:val="20"/>
        </w:rPr>
        <w:t>Use of Estimates</w:t>
      </w:r>
    </w:p>
    <w:p>
      <w:pPr>
        <w:pStyle w:val="TextBody"/>
        <w:bidi w:val="0"/>
        <w:spacing w:before="240" w:after="283"/>
        <w:jc w:val="both"/>
        <w:rPr>
          <w:rFonts w:ascii="Arial" w:hAnsi="Arial"/>
          <w:color w:val="000000"/>
          <w:sz w:val="20"/>
        </w:rPr>
      </w:pPr>
      <w:r>
        <w:rPr>
          <w:rFonts w:ascii="Arial" w:hAnsi="Arial"/>
          <w:color w:val="000000"/>
          <w:sz w:val="20"/>
        </w:rPr>
        <w:t>The accompanying condensed consolidated financial statements are prepared in accordance with GAAP. The preparation of the condensed consolidated financial statements in conformity with GAAP requires management to make estimates and assumptions that affect the reported amounts of assets and liabilities at the date of the condensed consolidated financial statements and reported amounts of expenses during the reporting period. Significant areas that require management’s estimates include accruals of research and development expenses, including accrual of research contract costs, stock-based compensation assumptions, including the fair value of common stock.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pStyle w:val="Heading2"/>
        <w:bidi w:val="0"/>
        <w:spacing w:before="240" w:after="283"/>
        <w:jc w:val="left"/>
        <w:rPr>
          <w:rFonts w:ascii="Arial" w:hAnsi="Arial"/>
          <w:i/>
          <w:color w:val="000000"/>
          <w:sz w:val="20"/>
        </w:rPr>
      </w:pPr>
      <w:r>
        <w:rPr>
          <w:rFonts w:ascii="Arial" w:hAnsi="Arial"/>
          <w:i/>
          <w:color w:val="000000"/>
          <w:sz w:val="20"/>
        </w:rPr>
        <w:t>Cash and Cash Equivalents</w:t>
      </w:r>
    </w:p>
    <w:p>
      <w:pPr>
        <w:pStyle w:val="TextBody"/>
        <w:bidi w:val="0"/>
        <w:spacing w:before="240" w:after="283"/>
        <w:jc w:val="both"/>
        <w:rPr>
          <w:rFonts w:ascii="Arial" w:hAnsi="Arial"/>
          <w:color w:val="000000"/>
          <w:sz w:val="20"/>
        </w:rPr>
      </w:pPr>
      <w:r>
        <w:rPr>
          <w:rFonts w:ascii="Arial" w:hAnsi="Arial"/>
          <w:color w:val="000000"/>
          <w:sz w:val="20"/>
        </w:rPr>
        <w:t>Cash and cash equivalents are defined as short-term, highly liquid investments with original maturities of 90 days or fewer at the date of purchase. Cash deposits are all in reputable financial institutions in the United States as of March 31, 2025, and December 31, 2024. Cash and cash equivalents consisted of cash on deposit with U.S. banks, including the Company’s bank account for its Australia subsidiary, denominated in U.S. dollars and Australian dollars and investments in interest bearing money market funds.</w:t>
      </w:r>
    </w:p>
    <w:p>
      <w:pPr>
        <w:pStyle w:val="Heading2"/>
        <w:bidi w:val="0"/>
        <w:spacing w:before="240" w:after="283"/>
        <w:jc w:val="left"/>
        <w:rPr>
          <w:rFonts w:ascii="Arial" w:hAnsi="Arial"/>
          <w:i/>
          <w:color w:val="000000"/>
          <w:sz w:val="20"/>
        </w:rPr>
      </w:pPr>
      <w:r>
        <w:rPr>
          <w:rFonts w:ascii="Arial" w:hAnsi="Arial"/>
          <w:i/>
          <w:color w:val="000000"/>
          <w:sz w:val="20"/>
        </w:rPr>
        <w:t>Marketable Securities</w:t>
      </w:r>
    </w:p>
    <w:p>
      <w:pPr>
        <w:pStyle w:val="TextBody"/>
        <w:bidi w:val="0"/>
        <w:spacing w:before="240" w:after="283"/>
        <w:jc w:val="both"/>
        <w:rPr>
          <w:rFonts w:ascii="Times New Roman" w:hAnsi="Times New Roman"/>
          <w:sz w:val="20"/>
        </w:rPr>
      </w:pPr>
      <w:r>
        <w:rPr>
          <w:rFonts w:ascii="Arial" w:hAnsi="Arial"/>
          <w:color w:val="000000"/>
          <w:sz w:val="20"/>
        </w:rPr>
        <w:t>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net loss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pStyle w:val="TextBody"/>
        <w:bidi w:val="0"/>
        <w:spacing w:before="240" w:after="283"/>
        <w:jc w:val="both"/>
        <w:rPr>
          <w:rFonts w:ascii="Times New Roman" w:hAnsi="Times New Roman"/>
          <w:sz w:val="20"/>
        </w:rPr>
      </w:pPr>
      <w:r>
        <w:rPr>
          <w:rFonts w:ascii="Arial" w:hAnsi="Arial"/>
          <w:color w:val="000000"/>
          <w:sz w:val="20"/>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pStyle w:val="Heading2"/>
        <w:bidi w:val="0"/>
        <w:spacing w:before="240" w:after="283"/>
        <w:jc w:val="left"/>
        <w:rPr>
          <w:rFonts w:ascii="Arial" w:hAnsi="Arial"/>
          <w:i/>
          <w:color w:val="000000"/>
          <w:sz w:val="20"/>
        </w:rPr>
      </w:pPr>
      <w:r>
        <w:rPr>
          <w:rFonts w:ascii="Arial" w:hAnsi="Arial"/>
          <w:i/>
          <w:color w:val="000000"/>
          <w:sz w:val="20"/>
        </w:rPr>
        <w:t>Concentration of Credit Risk and Other Risks and Uncertainties</w:t>
      </w:r>
    </w:p>
    <w:p>
      <w:pPr>
        <w:pStyle w:val="TextBody"/>
        <w:bidi w:val="0"/>
        <w:spacing w:before="240" w:after="283"/>
        <w:jc w:val="both"/>
        <w:rPr>
          <w:rFonts w:ascii="Arial" w:hAnsi="Arial"/>
          <w:color w:val="000000"/>
          <w:sz w:val="20"/>
        </w:rPr>
      </w:pPr>
      <w:r>
        <w:rPr>
          <w:rFonts w:ascii="Arial" w:hAnsi="Arial"/>
          <w:color w:val="000000"/>
          <w:sz w:val="20"/>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(“FDIC”); however, the Company has not experienced any losses on such deposits.</w:t>
      </w:r>
    </w:p>
    <w:p>
      <w:pPr>
        <w:pStyle w:val="TextBody"/>
        <w:bidi w:val="0"/>
        <w:spacing w:before="240" w:after="283"/>
        <w:jc w:val="both"/>
        <w:rPr>
          <w:rFonts w:ascii="Arial" w:hAnsi="Arial"/>
          <w:color w:val="000000"/>
          <w:sz w:val="20"/>
        </w:rPr>
      </w:pPr>
      <w:r>
        <w:rPr>
          <w:rFonts w:ascii="Arial" w:hAnsi="Arial"/>
          <w:color w:val="000000"/>
          <w:sz w:val="20"/>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dependence on key individuals or sole-source suppliers, and geopolitical and macroeconomic factors.</w:t>
      </w:r>
    </w:p>
    <w:p>
      <w:pPr>
        <w:pStyle w:val="Heading2"/>
        <w:bidi w:val="0"/>
        <w:spacing w:before="240" w:after="283"/>
        <w:jc w:val="both"/>
        <w:rPr>
          <w:rFonts w:ascii="Arial" w:hAnsi="Arial"/>
          <w:color w:val="000000"/>
          <w:sz w:val="20"/>
        </w:rPr>
      </w:pPr>
      <w:r>
        <w:rPr>
          <w:rFonts w:ascii="Arial" w:hAnsi="Arial"/>
          <w:color w:val="000000"/>
          <w:sz w:val="20"/>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pStyle w:val="Heading2"/>
        <w:bidi w:val="0"/>
        <w:spacing w:before="240" w:after="283"/>
        <w:jc w:val="left"/>
        <w:rPr>
          <w:rFonts w:ascii="Arial" w:hAnsi="Arial"/>
          <w:i/>
          <w:color w:val="000000"/>
          <w:sz w:val="20"/>
        </w:rPr>
      </w:pPr>
      <w:r>
        <w:rPr>
          <w:rFonts w:ascii="Arial" w:hAnsi="Arial"/>
          <w:i/>
          <w:color w:val="000000"/>
          <w:sz w:val="20"/>
        </w:rPr>
        <w:t>Leases</w:t>
      </w:r>
    </w:p>
    <w:p>
      <w:pPr>
        <w:pStyle w:val="TextBody"/>
        <w:bidi w:val="0"/>
        <w:spacing w:before="240" w:after="283"/>
        <w:jc w:val="both"/>
        <w:rPr>
          <w:rFonts w:ascii="Arial" w:hAnsi="Arial"/>
          <w:color w:val="000000"/>
          <w:sz w:val="20"/>
        </w:rPr>
      </w:pPr>
      <w:r>
        <w:rPr>
          <w:rFonts w:ascii="Arial" w:hAnsi="Arial"/>
          <w:color w:val="000000"/>
          <w:sz w:val="20"/>
        </w:rPr>
        <w:t>Under Accounting Standards Update ("ASU") 2026-12, Leases, Topic 842, ("Topic 842"), lessees are required to recognize for all leases (with the exception of short-term leases) at the commencement date: (1) a lease liability, which is a lessee’s obligation to make lease payments arising from a lease, measured on a discounted basis; and (2) a right-of-use (“ROU”) asset, which is an asset that represents the lessee’s right to use, or control the use of, a specified asset for the lease term. Leases will be classified as finance or operating, with classification affecting the pattern and classification of expense recognition in the condensed consolidated statements of operations and comprehensive loss.</w:t>
      </w:r>
    </w:p>
    <w:p>
      <w:pPr>
        <w:pStyle w:val="TextBody"/>
        <w:bidi w:val="0"/>
        <w:spacing w:before="240" w:after="283"/>
        <w:jc w:val="both"/>
        <w:rPr>
          <w:rFonts w:ascii="Arial" w:hAnsi="Arial"/>
          <w:color w:val="000000"/>
          <w:sz w:val="20"/>
        </w:rPr>
      </w:pPr>
      <w:r>
        <w:rPr>
          <w:rFonts w:ascii="Arial" w:hAnsi="Arial"/>
          <w:color w:val="000000"/>
          <w:sz w:val="20"/>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 (iii) 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pStyle w:val="TextBody"/>
        <w:bidi w:val="0"/>
        <w:spacing w:before="240" w:after="283"/>
        <w:jc w:val="both"/>
        <w:rPr>
          <w:rFonts w:ascii="Times New Roman" w:hAnsi="Times New Roman"/>
          <w:sz w:val="20"/>
        </w:rPr>
      </w:pPr>
      <w:r>
        <w:rPr>
          <w:rFonts w:ascii="Arial" w:hAnsi="Arial"/>
          <w:color w:val="000000"/>
          <w:sz w:val="20"/>
        </w:rPr>
        <w:t>Most leases include options to renew and, or terminate the lease, which can impact the lease term. The exercise of these options is at the Company’s discretion. The Company’s lease terms may include options to extend or terminate the lease when it is reasonably certain that the Company will exercise such options. For any lease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modification, the Company reassesses the lease classification, remeasures the related lease liability using an updated discount rate that reflects the modified lease term, and adjusts the related ROU asset under the lease modification guidance under Topic 842.</w:t>
      </w:r>
    </w:p>
    <w:p>
      <w:pPr>
        <w:pStyle w:val="TextBody"/>
        <w:bidi w:val="0"/>
        <w:spacing w:before="240" w:after="283"/>
        <w:jc w:val="both"/>
        <w:rPr>
          <w:rFonts w:ascii="Arial" w:hAnsi="Arial"/>
          <w:color w:val="000000"/>
          <w:sz w:val="20"/>
        </w:rPr>
      </w:pPr>
      <w:r>
        <w:rPr>
          <w:rFonts w:ascii="Arial" w:hAnsi="Arial"/>
          <w:color w:val="000000"/>
          <w:sz w:val="20"/>
        </w:rPr>
        <w:t>The Company has operating leases for its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condensed consolidated statements of operations and comprehensive loss.</w:t>
      </w:r>
    </w:p>
    <w:p>
      <w:pPr>
        <w:pStyle w:val="TextBody"/>
        <w:bidi w:val="0"/>
        <w:spacing w:before="240" w:after="283"/>
        <w:jc w:val="both"/>
        <w:rPr>
          <w:rFonts w:ascii="Arial" w:hAnsi="Arial"/>
          <w:color w:val="000000"/>
          <w:sz w:val="20"/>
        </w:rPr>
      </w:pPr>
      <w:r>
        <w:rPr>
          <w:rFonts w:ascii="Arial" w:hAnsi="Arial"/>
          <w:color w:val="000000"/>
          <w:sz w:val="20"/>
        </w:rPr>
        <w:t>The Company elected to not apply the recognition requirements of Topic 842 to short-term leases with terms of 12 months or less. Refer to Note 9. Lease for further details.</w:t>
      </w:r>
    </w:p>
    <w:p>
      <w:pPr>
        <w:pStyle w:val="Heading2"/>
        <w:bidi w:val="0"/>
        <w:spacing w:before="240" w:after="283"/>
        <w:jc w:val="left"/>
        <w:rPr>
          <w:rFonts w:ascii="Arial" w:hAnsi="Arial"/>
          <w:i/>
          <w:color w:val="000000"/>
          <w:sz w:val="20"/>
        </w:rPr>
      </w:pPr>
      <w:r>
        <w:rPr>
          <w:rFonts w:ascii="Arial" w:hAnsi="Arial"/>
          <w:i/>
          <w:color w:val="000000"/>
          <w:sz w:val="20"/>
        </w:rPr>
        <w:t>Research and Development Costs</w:t>
      </w:r>
    </w:p>
    <w:p>
      <w:pPr>
        <w:pStyle w:val="TextBody"/>
        <w:bidi w:val="0"/>
        <w:spacing w:before="240" w:after="283"/>
        <w:jc w:val="both"/>
        <w:rPr>
          <w:rFonts w:ascii="Arial" w:hAnsi="Arial"/>
          <w:color w:val="000000"/>
          <w:sz w:val="20"/>
        </w:rPr>
      </w:pPr>
      <w:r>
        <w:rPr>
          <w:rFonts w:ascii="Arial" w:hAnsi="Arial"/>
          <w:color w:val="000000"/>
          <w:sz w:val="20"/>
        </w:rPr>
        <w:t>Research and development costs are expensed as incurred. Research and development expenses consist of costs incurred to discover, research and develop product candidates. These costs are recorded within research and development expenses in the condensed consolidated statements of operations and include personnel expenses, stock-based compensation expenses, allocated general and administrative expenses, and external costs including fees paid to consultants and contract research organizations (“CROs”) and contract manufacturing organizations (“CMOs”), in connection with non-clinical studies and clinical trials, and other 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prepaid expenses and other current assets. Such amounts are recognized as an expense as the goods are delivered or the related services are performed.</w:t>
      </w:r>
    </w:p>
    <w:p>
      <w:pPr>
        <w:pStyle w:val="Heading2"/>
        <w:bidi w:val="0"/>
        <w:spacing w:before="240" w:after="283"/>
        <w:jc w:val="both"/>
        <w:rPr>
          <w:rFonts w:ascii="Arial" w:hAnsi="Arial"/>
          <w:color w:val="000000"/>
          <w:sz w:val="20"/>
        </w:rPr>
      </w:pPr>
      <w:r>
        <w:rPr>
          <w:rFonts w:ascii="Arial" w:hAnsi="Arial"/>
          <w:color w:val="000000"/>
          <w:sz w:val="20"/>
        </w:rPr>
        <w:t>Costs incurred in obtaining technology licenses that do not meet the definition of a business are charged immediately to research and development expense if the technology licensed has not reached technological feasibility and has no alternative future uses.</w:t>
      </w:r>
    </w:p>
    <w:p>
      <w:pPr>
        <w:pStyle w:val="Heading2"/>
        <w:bidi w:val="0"/>
        <w:spacing w:before="240" w:after="283"/>
        <w:jc w:val="left"/>
        <w:rPr>
          <w:rFonts w:ascii="Arial" w:hAnsi="Arial"/>
          <w:i/>
          <w:color w:val="000000"/>
          <w:sz w:val="20"/>
        </w:rPr>
      </w:pPr>
      <w:r>
        <w:rPr>
          <w:rFonts w:ascii="Arial" w:hAnsi="Arial"/>
          <w:i/>
          <w:color w:val="000000"/>
          <w:sz w:val="20"/>
        </w:rPr>
        <w:t>Research Contract Costs and Accruals</w:t>
      </w:r>
    </w:p>
    <w:p>
      <w:pPr>
        <w:pStyle w:val="TextBody"/>
        <w:bidi w:val="0"/>
        <w:spacing w:before="240" w:after="283"/>
        <w:jc w:val="both"/>
        <w:rPr>
          <w:rFonts w:ascii="Arial" w:hAnsi="Arial"/>
          <w:color w:val="000000"/>
          <w:sz w:val="20"/>
        </w:rPr>
      </w:pPr>
      <w:r>
        <w:rPr>
          <w:rFonts w:ascii="Arial" w:hAnsi="Arial"/>
          <w:color w:val="000000"/>
          <w:sz w:val="20"/>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pStyle w:val="TextBody"/>
        <w:bidi w:val="0"/>
        <w:spacing w:before="240" w:after="283"/>
        <w:jc w:val="both"/>
        <w:rPr>
          <w:rFonts w:ascii="Arial" w:hAnsi="Arial"/>
          <w:color w:val="000000"/>
          <w:sz w:val="20"/>
        </w:rPr>
      </w:pPr>
      <w:r>
        <w:rPr>
          <w:rFonts w:ascii="Arial" w:hAnsi="Arial"/>
          <w:color w:val="000000"/>
          <w:sz w:val="20"/>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pStyle w:val="TextBody"/>
        <w:bidi w:val="0"/>
        <w:spacing w:before="240" w:after="283"/>
        <w:jc w:val="both"/>
        <w:rPr>
          <w:rFonts w:ascii="Times New Roman" w:hAnsi="Times New Roman"/>
          <w:sz w:val="20"/>
        </w:rPr>
      </w:pPr>
      <w:r>
        <w:rPr>
          <w:rFonts w:ascii="Arial" w:hAnsi="Arial"/>
          <w:i/>
          <w:color w:val="000000"/>
          <w:sz w:val="20"/>
        </w:rPr>
        <w:t>Internal-Use Software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capitalizes certain costs incurred for the development and implementation of computer software for internal-use. These costs generally relate to the implementation of the third-party developed software for the Company's regulatory and quality purposes. The Company capitalizes these costs when it is determined that it is probable that the project will be completed and the software will be used to perform the function intended, and the preliminary project stage is completed. Capitalized internal-use software development and implementation costs are included in Other assets and long-term deposits within the consolidated balance sheets. Capitalized implementation costs are amortized on a straight-line basis over the estimated useful lives of five years. Costs related to the preliminary project stage, post-implementation, training and maintenance are expensed as incurred.</w:t>
      </w:r>
    </w:p>
    <w:p>
      <w:pPr>
        <w:pStyle w:val="TextBody"/>
        <w:bidi w:val="0"/>
        <w:spacing w:before="240" w:after="283"/>
        <w:jc w:val="both"/>
        <w:rPr>
          <w:rFonts w:ascii="Times New Roman" w:hAnsi="Times New Roman"/>
          <w:sz w:val="20"/>
        </w:rPr>
      </w:pPr>
      <w:r>
        <w:rPr>
          <w:rFonts w:ascii="Arial" w:hAnsi="Arial"/>
          <w:i/>
          <w:color w:val="000000"/>
          <w:sz w:val="20"/>
        </w:rPr>
        <w:t>Comprehensive Loss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Comprehensive loss includes net loss and other comprehensive (loss) gain for each period presented. Other comprehensive (loss) gain represents net unrealized (loss) gain on marketable securities.</w:t>
      </w:r>
    </w:p>
    <w:p>
      <w:pPr>
        <w:pStyle w:val="Heading2"/>
        <w:bidi w:val="0"/>
        <w:spacing w:before="240" w:after="283"/>
        <w:jc w:val="left"/>
        <w:rPr>
          <w:rFonts w:ascii="Arial" w:hAnsi="Arial"/>
          <w:i/>
          <w:color w:val="000000"/>
          <w:sz w:val="20"/>
        </w:rPr>
      </w:pPr>
      <w:r>
        <w:rPr>
          <w:rFonts w:ascii="Arial" w:hAnsi="Arial"/>
          <w:i/>
          <w:color w:val="000000"/>
          <w:sz w:val="20"/>
        </w:rPr>
        <w:t>Stock-Based Compensation</w:t>
      </w:r>
    </w:p>
    <w:p>
      <w:pPr>
        <w:pStyle w:val="TextBody"/>
        <w:bidi w:val="0"/>
        <w:spacing w:before="240" w:after="283"/>
        <w:jc w:val="both"/>
        <w:rPr>
          <w:rFonts w:ascii="Times New Roman" w:hAnsi="Times New Roman"/>
          <w:sz w:val="20"/>
        </w:rPr>
      </w:pPr>
      <w:r>
        <w:rPr>
          <w:rFonts w:ascii="Arial" w:hAnsi="Arial"/>
          <w:color w:val="000000"/>
          <w:sz w:val="20"/>
        </w:rPr>
        <w:t xml:space="preserve">Stock-based compensation cost, including grants of stock options and restricted stock awards issued under the Company’s equity incentive plans and the Company's 2020 Employee Stock Purchase Plan (the "ESPP"), is measured at the grant date based on the estimated fair value of the award and is recognized as an expense on a straight-line basis over the requisite service period, which is generally the vesting period. Stock-based compensation cost for performance-based restricted stock unit awards issued under the Company’s equity incentive plan is measured at the grant date based on the estimated fair value of the award, which is based on the closing stock price on the grant date, and is recognized as an expense when the Company determines that it is probable that the performance goals will be achieved, which the Company assess on a quarterly basis. The Company recognizes stock compensation in accordance with Accounting Standards Codification 718, </w:t>
      </w:r>
      <w:r>
        <w:rPr>
          <w:rFonts w:ascii="Arial" w:hAnsi="Arial"/>
          <w:i/>
          <w:color w:val="000000"/>
          <w:sz w:val="20"/>
        </w:rPr>
        <w:t>Compensation — Stock Compensation</w:t>
      </w:r>
      <w:r>
        <w:rPr>
          <w:rFonts w:ascii="Times New Roman" w:hAnsi="Times New Roman"/>
          <w:color w:val="000000"/>
          <w:sz w:val="20"/>
        </w:rPr>
        <w:t xml:space="preserve"> </w:t>
      </w:r>
      <w:r>
        <w:rPr>
          <w:rFonts w:ascii="Arial" w:hAnsi="Arial"/>
          <w:color w:val="000000"/>
          <w:sz w:val="20"/>
        </w:rPr>
        <w:t>(“ASC 718”). The Company’s determination of the fair value of stock options with time-based vesting on the date of grant utilizes the Black-Scholes option-pricing model. The Company estimates volatility using stock prices of peer companies and its historical data, risk-free rates using the implied yield currently available on U.S. Treasury zero-coupon issues with a remaining term equal to the expected term, and dividend yield using the Company’s expectations and historical data. The Company uses the simplified method to calculate the expected term of employee stock option grants. Under the simplified method, the expected term is estimated to be the mid-point between the vesting date and the contractual term of the option. For awards with graded vesting, in which specified tranches of the options vest on different dates, the Company uses a single weighted average expected life to value the entire award, which is equal to the average of the weighted average vesting period of the award and the contractual term of the award. Equity instruments issued to nonemployees are recorded at their fair value on the grant date and without subsequent remeasurement. The amount of stock-based compensation expense recognized during a period is based on the value of the portion of the awards that are ultimately expected to vest, including awards with graded vesting. As part of the requirements of ASC 718, the Company has elected to account for forfeitures of stock option grants as they occur.</w:t>
      </w:r>
    </w:p>
    <w:p>
      <w:pPr>
        <w:pStyle w:val="TextBody"/>
        <w:bidi w:val="0"/>
        <w:spacing w:before="240" w:after="283"/>
        <w:jc w:val="both"/>
        <w:rPr>
          <w:rFonts w:ascii="Arial" w:hAnsi="Arial"/>
          <w:i/>
          <w:color w:val="000000"/>
          <w:sz w:val="20"/>
        </w:rPr>
      </w:pPr>
      <w:r>
        <w:rPr>
          <w:rFonts w:ascii="Arial" w:hAnsi="Arial"/>
          <w:i/>
          <w:color w:val="000000"/>
          <w:sz w:val="20"/>
        </w:rPr>
        <w:t>Foreign Currency Transactions</w:t>
      </w:r>
    </w:p>
    <w:p>
      <w:pPr>
        <w:pStyle w:val="TextBody"/>
        <w:bidi w:val="0"/>
        <w:spacing w:before="240" w:after="283"/>
        <w:jc w:val="both"/>
        <w:rPr>
          <w:rFonts w:ascii="Times New Roman" w:hAnsi="Times New Roman"/>
          <w:sz w:val="20"/>
        </w:rPr>
      </w:pPr>
      <w:r>
        <w:rPr>
          <w:rFonts w:ascii="Arial" w:hAnsi="Arial"/>
          <w:color w:val="000000"/>
          <w:sz w:val="20"/>
        </w:rPr>
        <w:t>The functional currency of Olema Oncology Australia Pty Ltd, the Company’s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on the consolidated statements of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is subject to foreign currency risk with respect to its clinical and manufacturing contracts denominated in currencies other than the U.S. dollar, predominantly the Australian dollar and the Euro. Payments on contracts denominated in foreign currencies are made at the spot rate on the day of payment. Changes in the exchange rate between billing dates and payment dates are recorded within other income (expense) on the condensed consolidated statements of operations.</w:t>
      </w:r>
    </w:p>
    <w:p>
      <w:pPr>
        <w:pStyle w:val="TextBody"/>
        <w:bidi w:val="0"/>
        <w:spacing w:before="240" w:after="283"/>
        <w:jc w:val="both"/>
        <w:rPr>
          <w:rFonts w:ascii="Times New Roman" w:hAnsi="Times New Roman"/>
          <w:sz w:val="20"/>
        </w:rPr>
      </w:pPr>
      <w:r>
        <w:rPr>
          <w:rFonts w:ascii="Arial" w:hAnsi="Arial"/>
          <w:i/>
          <w:color w:val="000000"/>
          <w:sz w:val="20"/>
        </w:rPr>
        <w:t>Pre-funded Warrants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issued pre-funded warrants in connection with an equity private placement in 2024 and exchange agreements in November 2024 and January 2025. The Company accounts for the pre-funded warrants as a freestanding equity-linked financial instrument that met the criteria for equity classification pursuant to Accounting Standards Codification 480, Distinguishing Liabilities from Equity ("ASC 480"), and ASC 815, Derivatives and Hedging ("ASC 815"). Accordingly, the Company recorded the pre-funded warrants as a component of stockholders' equity within additional paid-in capital. The Company valued the pre-funded warrants at issuance, concluding that their sales price approximated their fair value. Exercise of the pre-funded warrants is virtually assured because the underlying common shares will be issued for nominal cash consideration, or at an exercise price of $0.0001</w:t>
      </w:r>
      <w:r>
        <w:rPr>
          <w:rFonts w:ascii="Times New Roman" w:hAnsi="Times New Roman"/>
          <w:color w:val="000000"/>
          <w:sz w:val="20"/>
        </w:rPr>
        <w:t xml:space="preserve"> </w:t>
      </w:r>
      <w:r>
        <w:rPr>
          <w:rFonts w:ascii="Arial" w:hAnsi="Arial"/>
          <w:color w:val="000000"/>
          <w:sz w:val="20"/>
        </w:rPr>
        <w:t>per share. All necessary conditions for issuance of the underlying common shares were met when the pre-funded warrants were issued, and as such, related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pre-funded warrants shares were included in the denominator for both the basic and diluted earnings per share calculations. Refer to Note 11. Pre-Funded Warrants for further details.</w:t>
      </w:r>
      <w:r>
        <w:rPr>
          <w:rFonts w:ascii="Times New Roman" w:hAnsi="Times New Roman"/>
          <w:color w:val="000000"/>
          <w:sz w:val="20"/>
        </w:rPr>
        <w:t xml:space="preserve"> </w:t>
      </w:r>
    </w:p>
    <w:p>
      <w:pPr>
        <w:pStyle w:val="Heading2"/>
        <w:bidi w:val="0"/>
        <w:spacing w:before="240" w:after="283"/>
        <w:jc w:val="left"/>
        <w:rPr>
          <w:rFonts w:ascii="Arial" w:hAnsi="Arial"/>
          <w:i/>
          <w:color w:val="000000"/>
          <w:sz w:val="20"/>
        </w:rPr>
      </w:pPr>
      <w:r>
        <w:rPr>
          <w:rFonts w:ascii="Arial" w:hAnsi="Arial"/>
          <w:i/>
          <w:color w:val="000000"/>
          <w:sz w:val="20"/>
        </w:rPr>
        <w:t>Net Loss Per Common Share</w:t>
      </w:r>
    </w:p>
    <w:p>
      <w:pPr>
        <w:pStyle w:val="TextBody"/>
        <w:bidi w:val="0"/>
        <w:spacing w:before="240" w:after="283"/>
        <w:jc w:val="both"/>
        <w:rPr>
          <w:rFonts w:ascii="Arial" w:hAnsi="Arial"/>
          <w:color w:val="000000"/>
          <w:sz w:val="20"/>
        </w:rPr>
      </w:pPr>
      <w:r>
        <w:rPr>
          <w:rFonts w:ascii="Arial" w:hAnsi="Arial"/>
          <w:color w:val="000000"/>
          <w:sz w:val="20"/>
        </w:rPr>
        <w:t>Basic net loss per common share is computed by dividing the net loss per common share by the weighted average number of common shares outstanding for the period, including the pre-funded warrants shares.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the pre-funded warrants shares and potential dilutive common shares. For purpose of this calculation, outstanding stock options, including unvested early exercised options, unvested restricted stock awards, unvested performance-based restricted stock unit awards and contingently issuable common stock related to the ESPP are considered potential dilutive common shares. Since the Company was in a loss position for all periods presented, basic net loss per share is the same as diluted net loss per share for all periods as the inclusion of all potential common shares outstanding would have been anti-dilutive.</w:t>
      </w:r>
    </w:p>
    <w:p>
      <w:pPr>
        <w:pStyle w:val="TextBody"/>
        <w:bidi w:val="0"/>
        <w:spacing w:before="240" w:after="283"/>
        <w:jc w:val="both"/>
        <w:rPr>
          <w:rFonts w:ascii="Times New Roman" w:hAnsi="Times New Roman"/>
          <w:sz w:val="20"/>
        </w:rPr>
      </w:pPr>
      <w:r>
        <w:rPr>
          <w:rFonts w:ascii="Arial" w:hAnsi="Arial"/>
          <w:i/>
          <w:color w:val="000000"/>
          <w:sz w:val="20"/>
        </w:rPr>
        <w:t>Segment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Company's chief operating decision maker (“CODM”), the Chief Executive Officer, manages its business activities as a single operating and reportable segment at the consolidated level. Accordingly, the Company's CODM uses consolidated net loss to measure segment loss, allocate resources and assess performance.</w:t>
      </w:r>
      <w:r>
        <w:rPr>
          <w:rFonts w:ascii="Times New Roman" w:hAnsi="Times New Roman"/>
          <w:color w:val="000000"/>
          <w:sz w:val="20"/>
        </w:rPr>
        <w:t xml:space="preserve"> </w:t>
      </w:r>
      <w:r>
        <w:rPr>
          <w:rFonts w:ascii="Arial" w:hAnsi="Arial"/>
          <w:color w:val="000000"/>
          <w:sz w:val="20"/>
        </w:rPr>
        <w:t>Further, the CODM reviews and utilizes functional expenses (research and development, and general and administrative) at the consolidated level to manage the Company’s operations.</w:t>
      </w:r>
      <w:r>
        <w:rPr>
          <w:rFonts w:ascii="Times New Roman" w:hAnsi="Times New Roman"/>
          <w:color w:val="000000"/>
          <w:sz w:val="20"/>
        </w:rPr>
        <w:t xml:space="preserve"> </w:t>
      </w:r>
      <w:r>
        <w:rPr>
          <w:rFonts w:ascii="Arial" w:hAnsi="Arial"/>
          <w:color w:val="000000"/>
          <w:sz w:val="20"/>
        </w:rPr>
        <w:t>Other segment items included in consolidated net loss is interest income, which is reflected in the condensed consolidated statements of operations and comprehensive loss.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Recent Accounting Pronouncements Not Yet Adopted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December 2023, the Financial Accounting Standards Board ("FASB") issued a new income tax-related accounting guidance in Accounting Standards Update ("ASU") 2023-09, Improvements to Income Tax Disclosures. The standard requires disaggregated information about a reporting entity’s effective tax rate reconciliation as well as information on income taxes paid. For public business entities, the new requirements will be effective for annual periods beginning after December 15, 2024. The guidance will be applied on a prospective basis with the option to apply the standard retrospectively. Early adoption is permitted. The Company is currently evaluating the impact of the pending adoption of ASU 2023-09 on our consolidated financial statements and related disclosures.</w:t>
      </w:r>
    </w:p>
    <w:p>
      <w:pPr>
        <w:pStyle w:val="TextBody"/>
        <w:bidi w:val="0"/>
        <w:spacing w:before="240" w:after="283"/>
        <w:jc w:val="both"/>
        <w:rPr>
          <w:rFonts w:ascii="Arial" w:hAnsi="Arial"/>
          <w:color w:val="000000"/>
          <w:sz w:val="20"/>
        </w:rPr>
      </w:pPr>
      <w:r>
        <w:rPr>
          <w:rFonts w:ascii="Arial" w:hAnsi="Arial"/>
          <w:color w:val="000000"/>
          <w:sz w:val="20"/>
        </w:rPr>
        <w:t>3. Fair Value Measurement</w:t>
      </w:r>
    </w:p>
    <w:p>
      <w:pPr>
        <w:pStyle w:val="TextBody"/>
        <w:bidi w:val="0"/>
        <w:spacing w:before="240" w:after="283"/>
        <w:jc w:val="both"/>
        <w:rPr>
          <w:rFonts w:ascii="Times New Roman" w:hAnsi="Times New Roman"/>
          <w:sz w:val="20"/>
        </w:rPr>
      </w:pPr>
      <w:r>
        <w:rPr>
          <w:rFonts w:ascii="Arial" w:hAnsi="Arial"/>
          <w:color w:val="000000"/>
          <w:sz w:val="20"/>
        </w:rPr>
        <w:t xml:space="preserve">The Company assesses the fair value of financial instruments based on the provisions of ASC 820, </w:t>
      </w:r>
      <w:r>
        <w:rPr>
          <w:rFonts w:ascii="Arial" w:hAnsi="Arial"/>
          <w:i/>
          <w:color w:val="000000"/>
          <w:sz w:val="20"/>
        </w:rPr>
        <w:t>Fair Value Measurements</w:t>
      </w:r>
      <w:r>
        <w:rPr>
          <w:rFonts w:ascii="Arial" w:hAnsi="Arial"/>
          <w:color w:val="000000"/>
          <w:sz w:val="20"/>
        </w:rPr>
        <w: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Level 1 — Inputs are unadjusted quoted prices in active markets for identical assets or liabilities accessible to the reporting entity at the measurement date.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Level 3 — Unobservable inputs that are supported by little or no market activity that are significant to determining the fair value of the assets or liabilities, including pricing models, discounted cash flow methodologies and similar techniques.</w:t>
      </w:r>
    </w:p>
    <w:p>
      <w:pPr>
        <w:pStyle w:val="TextBody"/>
        <w:bidi w:val="0"/>
        <w:jc w:val="both"/>
        <w:rPr/>
      </w:pPr>
      <w:r>
        <w:rPr/>
        <w:t> </w:t>
      </w:r>
    </w:p>
    <w:tbl>
      <w:tblPr>
        <w:tblW w:w="9896" w:type="dxa"/>
        <w:jc w:val="left"/>
        <w:tblInd w:w="0" w:type="dxa"/>
        <w:tblLayout w:type="fixed"/>
        <w:tblCellMar>
          <w:top w:w="28" w:type="dxa"/>
          <w:left w:w="28" w:type="dxa"/>
          <w:bottom w:w="28" w:type="dxa"/>
          <w:right w:w="28" w:type="dxa"/>
        </w:tblCellMar>
      </w:tblPr>
      <w:tblGrid>
        <w:gridCol w:w="4241"/>
        <w:gridCol w:w="146"/>
        <w:gridCol w:w="211"/>
        <w:gridCol w:w="146"/>
        <w:gridCol w:w="796"/>
        <w:gridCol w:w="146"/>
        <w:gridCol w:w="146"/>
        <w:gridCol w:w="211"/>
        <w:gridCol w:w="146"/>
        <w:gridCol w:w="796"/>
        <w:gridCol w:w="146"/>
        <w:gridCol w:w="146"/>
        <w:gridCol w:w="211"/>
        <w:gridCol w:w="146"/>
        <w:gridCol w:w="346"/>
        <w:gridCol w:w="146"/>
        <w:gridCol w:w="146"/>
        <w:gridCol w:w="211"/>
        <w:gridCol w:w="146"/>
        <w:gridCol w:w="796"/>
        <w:gridCol w:w="471"/>
      </w:tblGrid>
      <w:tr>
        <w:trPr/>
        <w:tc>
          <w:tcPr>
            <w:tcW w:w="4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4827" w:type="dxa"/>
            <w:gridSpan w:val="1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2025</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5,167</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34,664</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103,263</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64,420</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173,690</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Government-sponsored enterprise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11,665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24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213,521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179,348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392,869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9896" w:type="dxa"/>
        <w:jc w:val="left"/>
        <w:tblInd w:w="0" w:type="dxa"/>
        <w:tblLayout w:type="fixed"/>
        <w:tblCellMar>
          <w:top w:w="28" w:type="dxa"/>
          <w:left w:w="28" w:type="dxa"/>
          <w:bottom w:w="28" w:type="dxa"/>
          <w:right w:w="28" w:type="dxa"/>
        </w:tblCellMar>
      </w:tblPr>
      <w:tblGrid>
        <w:gridCol w:w="4241"/>
        <w:gridCol w:w="146"/>
        <w:gridCol w:w="211"/>
        <w:gridCol w:w="146"/>
        <w:gridCol w:w="796"/>
        <w:gridCol w:w="146"/>
        <w:gridCol w:w="146"/>
        <w:gridCol w:w="211"/>
        <w:gridCol w:w="146"/>
        <w:gridCol w:w="796"/>
        <w:gridCol w:w="146"/>
        <w:gridCol w:w="146"/>
        <w:gridCol w:w="211"/>
        <w:gridCol w:w="146"/>
        <w:gridCol w:w="346"/>
        <w:gridCol w:w="146"/>
        <w:gridCol w:w="146"/>
        <w:gridCol w:w="211"/>
        <w:gridCol w:w="146"/>
        <w:gridCol w:w="796"/>
        <w:gridCol w:w="471"/>
      </w:tblGrid>
      <w:tr>
        <w:trPr/>
        <w:tc>
          <w:tcPr>
            <w:tcW w:w="4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4827" w:type="dxa"/>
            <w:gridSpan w:val="1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118,955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109,432</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43,409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144,741</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4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Government-sponsored enterprise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11,714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24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270,185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164,555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434,740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494"/>
        <w:gridCol w:w="146"/>
        <w:gridCol w:w="211"/>
        <w:gridCol w:w="146"/>
        <w:gridCol w:w="796"/>
        <w:gridCol w:w="146"/>
        <w:gridCol w:w="146"/>
        <w:gridCol w:w="256"/>
        <w:gridCol w:w="177"/>
        <w:gridCol w:w="513"/>
        <w:gridCol w:w="146"/>
        <w:gridCol w:w="146"/>
        <w:gridCol w:w="283"/>
        <w:gridCol w:w="196"/>
        <w:gridCol w:w="467"/>
        <w:gridCol w:w="166"/>
        <w:gridCol w:w="146"/>
        <w:gridCol w:w="211"/>
        <w:gridCol w:w="146"/>
        <w:gridCol w:w="796"/>
        <w:gridCol w:w="471"/>
      </w:tblGrid>
      <w:tr>
        <w:trPr/>
        <w:tc>
          <w:tcPr>
            <w:tcW w:w="4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094" w:type="dxa"/>
            <w:gridSpan w:val="1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2025</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50,802</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marketable securities (&lt;12 months to 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256,238</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Long-term marketable securities (&gt;12 months to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85,829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392,449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392,869</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494"/>
        <w:gridCol w:w="146"/>
        <w:gridCol w:w="211"/>
        <w:gridCol w:w="146"/>
        <w:gridCol w:w="796"/>
        <w:gridCol w:w="146"/>
        <w:gridCol w:w="146"/>
        <w:gridCol w:w="256"/>
        <w:gridCol w:w="177"/>
        <w:gridCol w:w="513"/>
        <w:gridCol w:w="146"/>
        <w:gridCol w:w="146"/>
        <w:gridCol w:w="272"/>
        <w:gridCol w:w="188"/>
        <w:gridCol w:w="486"/>
        <w:gridCol w:w="166"/>
        <w:gridCol w:w="146"/>
        <w:gridCol w:w="211"/>
        <w:gridCol w:w="146"/>
        <w:gridCol w:w="796"/>
        <w:gridCol w:w="471"/>
      </w:tblGrid>
      <w:tr>
        <w:trPr/>
        <w:tc>
          <w:tcPr>
            <w:tcW w:w="4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094" w:type="dxa"/>
            <w:gridSpan w:val="1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142,710</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9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marketable securities (&lt;12 months to 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219,190</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9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Long-term marketable securities (&gt;12 months to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72,840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434,597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434,740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Company periodically reviews its available-for-sale marketable securities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w:t>
      </w:r>
    </w:p>
    <w:p>
      <w:pPr>
        <w:pStyle w:val="TextBody"/>
        <w:bidi w:val="0"/>
        <w:spacing w:before="240" w:after="283"/>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marketable securities that had been in a consecutive loss position for more than 12 months as of March 31, 2025. During the three months ended March 31, 2025, the Company did not recognize any other-than-temporary impairment loss. As of March 31, 2025, there was no</w:t>
      </w:r>
      <w:r>
        <w:rPr>
          <w:rFonts w:ascii="Times New Roman" w:hAnsi="Times New Roman"/>
          <w:color w:val="000000"/>
          <w:sz w:val="20"/>
        </w:rPr>
        <w:t xml:space="preserve"> </w:t>
      </w:r>
      <w:r>
        <w:rPr>
          <w:rFonts w:ascii="Arial" w:hAnsi="Arial"/>
          <w:color w:val="000000"/>
          <w:sz w:val="20"/>
        </w:rPr>
        <w:t>allowance for losses on available-for-sale debt securities attributable to credit risk.</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March 31, 2025, all of the Company’s cash and cash equivalents consisted of cash on deposit with U.S. banks denominated in U. S. dollars and Australian dollars.</w:t>
      </w:r>
    </w:p>
    <w:p>
      <w:pPr>
        <w:pStyle w:val="TextBody"/>
        <w:bidi w:val="0"/>
        <w:spacing w:before="240" w:after="283"/>
        <w:jc w:val="both"/>
        <w:rPr>
          <w:rFonts w:ascii="Arial" w:hAnsi="Arial"/>
          <w:color w:val="000000"/>
          <w:sz w:val="20"/>
        </w:rPr>
      </w:pPr>
      <w:r>
        <w:rPr>
          <w:rFonts w:ascii="Arial" w:hAnsi="Arial"/>
          <w:color w:val="000000"/>
          <w:sz w:val="20"/>
        </w:rPr>
        <w:t>4.</w:t>
      </w:r>
    </w:p>
    <w:p>
      <w:pPr>
        <w:pStyle w:val="TextBody"/>
        <w:bidi w:val="0"/>
        <w:spacing w:before="240" w:after="283"/>
        <w:jc w:val="both"/>
        <w:rPr>
          <w:rFonts w:ascii="Arial" w:hAnsi="Arial"/>
          <w:color w:val="000000"/>
          <w:sz w:val="20"/>
        </w:rPr>
      </w:pPr>
      <w:r>
        <w:rPr>
          <w:rFonts w:ascii="Arial" w:hAnsi="Arial"/>
          <w:color w:val="000000"/>
          <w:sz w:val="20"/>
        </w:rPr>
        <w:t>Prepaid Expenses and Other Current Assets</w:t>
      </w:r>
    </w:p>
    <w:p>
      <w:pPr>
        <w:pStyle w:val="TextBody"/>
        <w:bidi w:val="0"/>
        <w:spacing w:before="240" w:after="283"/>
        <w:jc w:val="both"/>
        <w:rPr>
          <w:rFonts w:ascii="Arial" w:hAnsi="Arial"/>
          <w:color w:val="000000"/>
          <w:sz w:val="20"/>
        </w:rPr>
      </w:pPr>
      <w:r>
        <w:rPr>
          <w:rFonts w:ascii="Arial" w:hAnsi="Arial"/>
          <w:color w:val="000000"/>
          <w:sz w:val="20"/>
        </w:rPr>
        <w:t>Prepaid expenses and other current assets consisted of the following (in thousands):</w:t>
      </w:r>
    </w:p>
    <w:tbl>
      <w:tblPr>
        <w:tblW w:w="5893" w:type="dxa"/>
        <w:jc w:val="left"/>
        <w:tblInd w:w="0" w:type="dxa"/>
        <w:tblLayout w:type="fixed"/>
        <w:tblCellMar>
          <w:top w:w="28" w:type="dxa"/>
          <w:left w:w="28" w:type="dxa"/>
          <w:bottom w:w="28" w:type="dxa"/>
          <w:right w:w="28" w:type="dxa"/>
        </w:tblCellMar>
      </w:tblPr>
      <w:tblGrid>
        <w:gridCol w:w="3151"/>
        <w:gridCol w:w="146"/>
        <w:gridCol w:w="211"/>
        <w:gridCol w:w="146"/>
        <w:gridCol w:w="586"/>
        <w:gridCol w:w="146"/>
        <w:gridCol w:w="146"/>
        <w:gridCol w:w="262"/>
        <w:gridCol w:w="181"/>
        <w:gridCol w:w="727"/>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4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subscriptions and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clinical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center"/>
              <w:rPr/>
            </w:pPr>
            <w:r>
              <w:rPr/>
              <w:t> </w:t>
            </w:r>
          </w:p>
        </w:tc>
        <w:tc>
          <w:tcPr>
            <w:tcW w:w="262"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5.</w:t>
      </w:r>
    </w:p>
    <w:p>
      <w:pPr>
        <w:pStyle w:val="TextBody"/>
        <w:bidi w:val="0"/>
        <w:spacing w:before="40" w:after="283"/>
        <w:jc w:val="both"/>
        <w:rPr>
          <w:rFonts w:ascii="Arial" w:hAnsi="Arial"/>
          <w:color w:val="000000"/>
          <w:sz w:val="20"/>
        </w:rPr>
      </w:pPr>
      <w:r>
        <w:rPr>
          <w:rFonts w:ascii="Arial" w:hAnsi="Arial"/>
          <w:color w:val="000000"/>
          <w:sz w:val="20"/>
        </w:rPr>
        <w:t xml:space="preserve">Other Assets and Long-Term Deposits </w:t>
      </w:r>
    </w:p>
    <w:p>
      <w:pPr>
        <w:pStyle w:val="TextBody"/>
        <w:bidi w:val="0"/>
        <w:spacing w:before="240" w:after="283"/>
        <w:jc w:val="both"/>
        <w:rPr>
          <w:rFonts w:ascii="Arial" w:hAnsi="Arial"/>
          <w:color w:val="000000"/>
          <w:sz w:val="20"/>
        </w:rPr>
      </w:pPr>
      <w:r>
        <w:rPr>
          <w:rFonts w:ascii="Arial" w:hAnsi="Arial"/>
          <w:color w:val="000000"/>
          <w:sz w:val="20"/>
        </w:rPr>
        <w:t>Other assets and long-term deposits consisted of the following (in thousands):</w:t>
      </w:r>
    </w:p>
    <w:p>
      <w:pPr>
        <w:pStyle w:val="TextBody"/>
        <w:bidi w:val="0"/>
        <w:jc w:val="both"/>
        <w:rPr/>
      </w:pPr>
      <w:r>
        <w:rPr/>
        <w:t> </w:t>
      </w:r>
    </w:p>
    <w:tbl>
      <w:tblPr>
        <w:tblW w:w="6208" w:type="dxa"/>
        <w:jc w:val="left"/>
        <w:tblInd w:w="0" w:type="dxa"/>
        <w:tblLayout w:type="fixed"/>
        <w:tblCellMar>
          <w:top w:w="28" w:type="dxa"/>
          <w:left w:w="28" w:type="dxa"/>
          <w:bottom w:w="28" w:type="dxa"/>
          <w:right w:w="28" w:type="dxa"/>
        </w:tblCellMar>
      </w:tblPr>
      <w:tblGrid>
        <w:gridCol w:w="3361"/>
        <w:gridCol w:w="146"/>
        <w:gridCol w:w="211"/>
        <w:gridCol w:w="146"/>
        <w:gridCol w:w="691"/>
        <w:gridCol w:w="146"/>
        <w:gridCol w:w="146"/>
        <w:gridCol w:w="235"/>
        <w:gridCol w:w="163"/>
        <w:gridCol w:w="772"/>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4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Clinical development project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System implementation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Office lease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6.</w:t>
      </w:r>
    </w:p>
    <w:p>
      <w:pPr>
        <w:pStyle w:val="TextBody"/>
        <w:bidi w:val="0"/>
        <w:spacing w:before="40" w:after="283"/>
        <w:jc w:val="both"/>
        <w:rPr>
          <w:rFonts w:ascii="Arial" w:hAnsi="Arial"/>
          <w:color w:val="000000"/>
          <w:sz w:val="20"/>
        </w:rPr>
      </w:pPr>
      <w:r>
        <w:rPr>
          <w:rFonts w:ascii="Arial" w:hAnsi="Arial"/>
          <w:color w:val="000000"/>
          <w:sz w:val="20"/>
        </w:rPr>
        <w:t>Accrued and Other Current Liabilities</w:t>
      </w:r>
    </w:p>
    <w:p>
      <w:pPr>
        <w:pStyle w:val="TextBody"/>
        <w:bidi w:val="0"/>
        <w:spacing w:before="240" w:after="283"/>
        <w:jc w:val="both"/>
        <w:rPr>
          <w:rFonts w:ascii="Times New Roman" w:hAnsi="Times New Roman"/>
          <w:sz w:val="20"/>
        </w:rPr>
      </w:pPr>
      <w:r>
        <w:rPr>
          <w:rFonts w:ascii="Arial" w:hAnsi="Arial"/>
          <w:color w:val="000000"/>
          <w:sz w:val="20"/>
        </w:rPr>
        <w:t>Accrued and other current liabilities consisted of the following (in thousands):</w:t>
      </w:r>
      <w:r>
        <w:rPr>
          <w:rFonts w:ascii="Times New Roman" w:hAnsi="Times New Roman"/>
          <w:color w:val="000000"/>
          <w:sz w:val="20"/>
        </w:rPr>
        <w:t xml:space="preserve"> </w:t>
      </w:r>
    </w:p>
    <w:p>
      <w:pPr>
        <w:pStyle w:val="TextBody"/>
        <w:bidi w:val="0"/>
        <w:jc w:val="both"/>
        <w:rPr/>
      </w:pPr>
      <w:r>
        <w:rPr/>
        <w:t> </w:t>
      </w:r>
    </w:p>
    <w:tbl>
      <w:tblPr>
        <w:tblW w:w="7228" w:type="dxa"/>
        <w:jc w:val="left"/>
        <w:tblInd w:w="0" w:type="dxa"/>
        <w:tblLayout w:type="fixed"/>
        <w:tblCellMar>
          <w:top w:w="28" w:type="dxa"/>
          <w:left w:w="28" w:type="dxa"/>
          <w:bottom w:w="28" w:type="dxa"/>
          <w:right w:w="28" w:type="dxa"/>
        </w:tblCellMar>
      </w:tblPr>
      <w:tblGrid>
        <w:gridCol w:w="4381"/>
        <w:gridCol w:w="146"/>
        <w:gridCol w:w="211"/>
        <w:gridCol w:w="146"/>
        <w:gridCol w:w="691"/>
        <w:gridCol w:w="146"/>
        <w:gridCol w:w="146"/>
        <w:gridCol w:w="235"/>
        <w:gridCol w:w="163"/>
        <w:gridCol w:w="772"/>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4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research and development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employee bonuses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payroll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9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7.</w:t>
      </w:r>
    </w:p>
    <w:p>
      <w:pPr>
        <w:pStyle w:val="TextBody"/>
        <w:bidi w:val="0"/>
        <w:spacing w:before="40" w:after="283"/>
        <w:jc w:val="left"/>
        <w:rPr>
          <w:rFonts w:ascii="Arial" w:hAnsi="Arial"/>
          <w:color w:val="000000"/>
          <w:sz w:val="20"/>
        </w:rPr>
      </w:pPr>
      <w:r>
        <w:rPr>
          <w:rFonts w:ascii="Arial" w:hAnsi="Arial"/>
          <w:color w:val="000000"/>
          <w:sz w:val="20"/>
        </w:rPr>
        <w:t>Stock-Based Compensation</w:t>
      </w:r>
    </w:p>
    <w:p>
      <w:pPr>
        <w:pStyle w:val="TextBody"/>
        <w:bidi w:val="0"/>
        <w:spacing w:before="240" w:after="283"/>
        <w:jc w:val="both"/>
        <w:rPr>
          <w:rFonts w:ascii="Arial" w:hAnsi="Arial"/>
          <w:color w:val="000000"/>
          <w:sz w:val="20"/>
        </w:rPr>
      </w:pPr>
      <w:r>
        <w:rPr>
          <w:rFonts w:ascii="Arial" w:hAnsi="Arial"/>
          <w:color w:val="000000"/>
          <w:sz w:val="20"/>
        </w:rPr>
        <w:t>In 2014, the Company’s Board of Directors (the “Board”) and stockholders approved and adopted the Company’s 2014 Stock Plan (the “2014 Plan”). The 2014 Plan permitted the grant of options and restricted stock awards (including restricted stock purchase rights and restricted stock bonus awards). The 2014 Plan was terminated on the date the Company’s 2020 Equity Incentive Plan (the “2020 Plan”), which is described below, became effective, and since that date, no additional awards have been or will be made pursuant to the 2014 Plan. However, any outstanding awards granted under the 2014 Plan remains outstanding, subject to the terms of the 2014 Plan award agreements, until such outstanding options are exercised or until any awards terminate or expire by their terms.</w:t>
      </w:r>
    </w:p>
    <w:p>
      <w:pPr>
        <w:pStyle w:val="TextBody"/>
        <w:bidi w:val="0"/>
        <w:spacing w:before="240" w:after="283"/>
        <w:jc w:val="both"/>
        <w:rPr>
          <w:rFonts w:ascii="Times New Roman" w:hAnsi="Times New Roman"/>
          <w:sz w:val="20"/>
        </w:rPr>
      </w:pPr>
      <w:r>
        <w:rPr>
          <w:rFonts w:ascii="Arial" w:hAnsi="Arial"/>
          <w:color w:val="000000"/>
          <w:sz w:val="20"/>
        </w:rPr>
        <w:t>In 2020, the Board and the Company’s stockholders approved and adopted the 2020 Plan. The 2020 Plan permits the grant of options, restricted stock awards, stock appreciation rights, restricted stock unit awards, performance awards, and other awards. The maximum number of shares of common stock that were initially issuable under the 2020 Plan was a number not to exceed 6,494,510</w:t>
      </w:r>
      <w:r>
        <w:rPr>
          <w:rFonts w:ascii="Times New Roman" w:hAnsi="Times New Roman"/>
          <w:color w:val="000000"/>
          <w:sz w:val="20"/>
        </w:rPr>
        <w:t xml:space="preserve"> </w:t>
      </w:r>
      <w:r>
        <w:rPr>
          <w:rFonts w:ascii="Arial" w:hAnsi="Arial"/>
          <w:color w:val="000000"/>
          <w:sz w:val="20"/>
        </w:rPr>
        <w:t>shares of the Company’s common stock, which is the sum of (i) 2,152,080</w:t>
      </w:r>
      <w:r>
        <w:rPr>
          <w:rFonts w:ascii="Times New Roman" w:hAnsi="Times New Roman"/>
          <w:color w:val="000000"/>
          <w:sz w:val="20"/>
        </w:rPr>
        <w:t xml:space="preserve"> </w:t>
      </w:r>
      <w:r>
        <w:rPr>
          <w:rFonts w:ascii="Arial" w:hAnsi="Arial"/>
          <w:color w:val="000000"/>
          <w:sz w:val="20"/>
        </w:rPr>
        <w:t>new shares, plus (ii) an additional number of shares not to exceed 4,342,430</w:t>
      </w:r>
      <w:r>
        <w:rPr>
          <w:rFonts w:ascii="Times New Roman" w:hAnsi="Times New Roman"/>
          <w:color w:val="000000"/>
          <w:sz w:val="20"/>
        </w:rPr>
        <w:t xml:space="preserve"> </w:t>
      </w:r>
      <w:r>
        <w:rPr>
          <w:rFonts w:ascii="Arial" w:hAnsi="Arial"/>
          <w:color w:val="000000"/>
          <w:sz w:val="20"/>
        </w:rPr>
        <w:t>shares, consisting of any shares of the Company’s common stock subject to outstanding stock options or other stock awards granted under the 2014 Plan that, on or after the date on which the 2020 Plan became effective, terminated or expired prior to exercise or settlement; were not issued because the award was settled in cash; were forfeited because of the failure to vest; or were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Board no later than December 31 of the immediately preceding year.</w:t>
      </w:r>
    </w:p>
    <w:p>
      <w:pPr>
        <w:pStyle w:val="TextBody"/>
        <w:bidi w:val="0"/>
        <w:spacing w:before="240" w:after="283"/>
        <w:jc w:val="both"/>
        <w:rPr>
          <w:rFonts w:ascii="Times New Roman" w:hAnsi="Times New Roman"/>
          <w:sz w:val="20"/>
        </w:rPr>
      </w:pPr>
      <w:r>
        <w:rPr>
          <w:rFonts w:ascii="Arial" w:hAnsi="Arial"/>
          <w:color w:val="000000"/>
          <w:sz w:val="20"/>
        </w:rPr>
        <w:t>In 2022, the Board approved and adopted the Company’s 2022 Inducement Plan (the “2022 Inducement Plan”). Under the 2022 Inducement Plan, initially 2,000,000</w:t>
      </w:r>
      <w:r>
        <w:rPr>
          <w:rFonts w:ascii="Times New Roman" w:hAnsi="Times New Roman"/>
          <w:color w:val="000000"/>
          <w:sz w:val="20"/>
        </w:rPr>
        <w:t xml:space="preserve"> </w:t>
      </w:r>
      <w:r>
        <w:rPr>
          <w:rFonts w:ascii="Arial" w:hAnsi="Arial"/>
          <w:color w:val="000000"/>
          <w:sz w:val="20"/>
        </w:rPr>
        <w:t>shares of common stock were reserved for issuance. In December 2024, the Compensation Committee of the Board approved an increase of an additional 3,000,000</w:t>
      </w:r>
      <w:r>
        <w:rPr>
          <w:rFonts w:ascii="Times New Roman" w:hAnsi="Times New Roman"/>
          <w:color w:val="000000"/>
          <w:sz w:val="20"/>
        </w:rPr>
        <w:t xml:space="preserve"> </w:t>
      </w:r>
      <w:r>
        <w:rPr>
          <w:rFonts w:ascii="Arial" w:hAnsi="Arial"/>
          <w:color w:val="000000"/>
          <w:sz w:val="20"/>
        </w:rPr>
        <w:t>shares of common stock reserved for issuance under the 2022 Inducement Plan, which increase was made effective as of January 1, 2025. The 2022 Inducement Plan permits the grant of options, restricted stock awards, stock appreciation rights, restricted stock unit awards, performance awards, and other awards.</w:t>
      </w:r>
    </w:p>
    <w:p>
      <w:pPr>
        <w:pStyle w:val="TextBody"/>
        <w:bidi w:val="0"/>
        <w:spacing w:before="240" w:after="283"/>
        <w:jc w:val="both"/>
        <w:rPr>
          <w:rFonts w:ascii="Times New Roman" w:hAnsi="Times New Roman"/>
          <w:sz w:val="20"/>
        </w:rPr>
      </w:pPr>
      <w:r>
        <w:rPr>
          <w:rFonts w:ascii="Arial" w:hAnsi="Arial"/>
          <w:color w:val="000000"/>
          <w:sz w:val="20"/>
        </w:rPr>
        <w:t>The exercise price for each option and stock appreciation right shall be established at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plans generally expire ten years</w:t>
      </w:r>
      <w:r>
        <w:rPr>
          <w:rFonts w:ascii="Times New Roman" w:hAnsi="Times New Roman"/>
          <w:color w:val="000000"/>
          <w:sz w:val="20"/>
        </w:rPr>
        <w:t xml:space="preserve"> </w:t>
      </w:r>
      <w:r>
        <w:rPr>
          <w:rFonts w:ascii="Arial" w:hAnsi="Arial"/>
          <w:color w:val="000000"/>
          <w:sz w:val="20"/>
        </w:rPr>
        <w:t>after the date of grant.</w:t>
      </w:r>
    </w:p>
    <w:p>
      <w:pPr>
        <w:pStyle w:val="Heading2"/>
        <w:bidi w:val="0"/>
        <w:spacing w:before="240" w:after="283"/>
        <w:jc w:val="left"/>
        <w:rPr>
          <w:rFonts w:ascii="Arial" w:hAnsi="Arial"/>
          <w:i/>
          <w:color w:val="000000"/>
          <w:sz w:val="20"/>
        </w:rPr>
      </w:pPr>
      <w:r>
        <w:rPr>
          <w:rFonts w:ascii="Arial" w:hAnsi="Arial"/>
          <w:i/>
          <w:color w:val="000000"/>
          <w:sz w:val="20"/>
        </w:rPr>
        <w:t>Stock Option Valuation</w:t>
      </w:r>
    </w:p>
    <w:p>
      <w:pPr>
        <w:pStyle w:val="TextBody"/>
        <w:bidi w:val="0"/>
        <w:spacing w:before="240" w:after="283"/>
        <w:jc w:val="both"/>
        <w:rPr>
          <w:rFonts w:ascii="Arial" w:hAnsi="Arial"/>
          <w:color w:val="000000"/>
          <w:sz w:val="20"/>
        </w:rPr>
      </w:pPr>
      <w:r>
        <w:rPr>
          <w:rFonts w:ascii="Arial" w:hAnsi="Arial"/>
          <w:color w:val="000000"/>
          <w:sz w:val="20"/>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0% since the Company has never paid cash dividends and does not expect to pay any cash dividends in the foreseeable future.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assumptions that the Company used to determine the estimated grant-date fair value of stock options granted to employees and directors under the 2020 Plan and the 2022 Inducement Plan were as follows, presented as a weighted average:</w:t>
      </w:r>
    </w:p>
    <w:p>
      <w:pPr>
        <w:pStyle w:val="TextBody"/>
        <w:bidi w:val="0"/>
        <w:jc w:val="both"/>
        <w:rPr/>
      </w:pPr>
      <w:r>
        <w:rPr/>
        <w:t> </w:t>
      </w:r>
    </w:p>
    <w:tbl>
      <w:tblPr>
        <w:tblW w:w="4785" w:type="dxa"/>
        <w:jc w:val="left"/>
        <w:tblInd w:w="0" w:type="dxa"/>
        <w:tblLayout w:type="fixed"/>
        <w:tblCellMar>
          <w:top w:w="28" w:type="dxa"/>
          <w:left w:w="28" w:type="dxa"/>
          <w:bottom w:w="28" w:type="dxa"/>
          <w:right w:w="28" w:type="dxa"/>
        </w:tblCellMar>
      </w:tblPr>
      <w:tblGrid>
        <w:gridCol w:w="2266"/>
        <w:gridCol w:w="146"/>
        <w:gridCol w:w="146"/>
        <w:gridCol w:w="586"/>
        <w:gridCol w:w="286"/>
        <w:gridCol w:w="146"/>
        <w:gridCol w:w="146"/>
        <w:gridCol w:w="146"/>
        <w:gridCol w:w="586"/>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7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7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78.15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85.36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eading2"/>
        <w:bidi w:val="0"/>
        <w:spacing w:before="40" w:after="283"/>
        <w:jc w:val="left"/>
        <w:rPr>
          <w:rFonts w:ascii="Arial" w:hAnsi="Arial"/>
          <w:i/>
          <w:color w:val="000000"/>
          <w:sz w:val="20"/>
        </w:rPr>
      </w:pPr>
      <w:r>
        <w:rPr>
          <w:rFonts w:ascii="Arial" w:hAnsi="Arial"/>
          <w:i/>
          <w:color w:val="000000"/>
          <w:sz w:val="20"/>
        </w:rPr>
        <w:t>Stock Option Activity</w:t>
      </w:r>
    </w:p>
    <w:p>
      <w:pPr>
        <w:pStyle w:val="TextBody"/>
        <w:bidi w:val="0"/>
        <w:spacing w:before="240" w:after="283"/>
        <w:jc w:val="both"/>
        <w:rPr>
          <w:rFonts w:ascii="Arial" w:hAnsi="Arial"/>
          <w:color w:val="000000"/>
          <w:sz w:val="20"/>
        </w:rPr>
      </w:pPr>
      <w:r>
        <w:rPr>
          <w:rFonts w:ascii="Arial" w:hAnsi="Arial"/>
          <w:color w:val="000000"/>
          <w:sz w:val="20"/>
        </w:rPr>
        <w:t>The following table summarizes the stock option activity under the 2020 Plan and the 2022 Inducement Plan: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70"/>
        <w:gridCol w:w="146"/>
        <w:gridCol w:w="146"/>
        <w:gridCol w:w="1066"/>
        <w:gridCol w:w="166"/>
        <w:gridCol w:w="146"/>
        <w:gridCol w:w="211"/>
        <w:gridCol w:w="146"/>
        <w:gridCol w:w="586"/>
        <w:gridCol w:w="146"/>
        <w:gridCol w:w="146"/>
        <w:gridCol w:w="240"/>
        <w:gridCol w:w="796"/>
        <w:gridCol w:w="146"/>
        <w:gridCol w:w="146"/>
        <w:gridCol w:w="274"/>
        <w:gridCol w:w="189"/>
        <w:gridCol w:w="765"/>
        <w:gridCol w:w="474"/>
      </w:tblGrid>
      <w:tr>
        <w:trPr/>
        <w:tc>
          <w:tcPr>
            <w:tcW w:w="42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42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1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3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54"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7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Intrinsic</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Value</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11,353,057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7,519</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3,486,660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14,636,148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1,320</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vested and exercisable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7,262,071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1,183</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expected to vest as of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7,374,077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240" w:after="283"/>
        <w:jc w:val="both"/>
        <w:rPr>
          <w:rFonts w:ascii="Arial" w:hAnsi="Arial"/>
          <w:i/>
          <w:color w:val="000000"/>
          <w:sz w:val="20"/>
        </w:rPr>
      </w:pPr>
      <w:r>
        <w:rPr>
          <w:rFonts w:ascii="Arial" w:hAnsi="Arial"/>
          <w:i/>
          <w:color w:val="000000"/>
          <w:sz w:val="20"/>
        </w:rPr>
        <w:t>2020 Employee Stock Purchase Plan</w:t>
      </w:r>
    </w:p>
    <w:p>
      <w:pPr>
        <w:pStyle w:val="TextBody"/>
        <w:bidi w:val="0"/>
        <w:spacing w:before="240" w:after="283"/>
        <w:jc w:val="both"/>
        <w:rPr>
          <w:rFonts w:ascii="Times New Roman" w:hAnsi="Times New Roman"/>
          <w:sz w:val="20"/>
        </w:rPr>
      </w:pPr>
      <w:r>
        <w:rPr>
          <w:rFonts w:ascii="Arial" w:hAnsi="Arial"/>
          <w:color w:val="000000"/>
          <w:sz w:val="20"/>
        </w:rPr>
        <w:t>In 2020, the Board and the Company’s stockholders approved and adopted the ESPP.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w:t>
      </w:r>
      <w:r>
        <w:rPr>
          <w:rFonts w:ascii="Times New Roman" w:hAnsi="Times New Roman"/>
          <w:color w:val="000000"/>
          <w:sz w:val="20"/>
        </w:rPr>
        <w:t xml:space="preserve"> </w:t>
      </w:r>
      <w:r>
        <w:rPr>
          <w:rFonts w:ascii="Arial" w:hAnsi="Arial"/>
          <w:color w:val="000000"/>
          <w:sz w:val="20"/>
        </w:rPr>
        <w:t>and will include one or more purchase periods (each a “Purchase Period”) as approved by the Board in the offering. A total of 430,416</w:t>
      </w:r>
      <w:r>
        <w:rPr>
          <w:rFonts w:ascii="Times New Roman" w:hAnsi="Times New Roman"/>
          <w:color w:val="000000"/>
          <w:sz w:val="20"/>
        </w:rPr>
        <w:t xml:space="preserve"> </w:t>
      </w:r>
      <w:r>
        <w:rPr>
          <w:rFonts w:ascii="Arial" w:hAnsi="Arial"/>
          <w:color w:val="000000"/>
          <w:sz w:val="20"/>
        </w:rPr>
        <w:t>shares of common stock were initially reserved for issuance pursuant to the ESPP. Subsequently, the number of shares of the Company’s common stock reserved for issuance under the ESPP automatically increases on January 1 of each year for a period of up to ten years, commencing on January 1, 2021 and continuing through January 1, 2030, in amount equal to the lesser of (i) 1% of the total number of shares of the Company’s common stock outstanding on December 31 of the preceding calendar year, (ii) 860,832</w:t>
      </w:r>
      <w:r>
        <w:rPr>
          <w:rFonts w:ascii="Times New Roman" w:hAnsi="Times New Roman"/>
          <w:color w:val="000000"/>
          <w:sz w:val="20"/>
        </w:rPr>
        <w:t xml:space="preserve"> </w:t>
      </w:r>
      <w:r>
        <w:rPr>
          <w:rFonts w:ascii="Arial" w:hAnsi="Arial"/>
          <w:color w:val="000000"/>
          <w:sz w:val="20"/>
        </w:rPr>
        <w:t>shares of common stock, or (iii) a lesser number of shares determined by the Board no later than December 31 of the preceding calendar year.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ESPP is a compensatory plan as defined by the authoritative guidance for stock-based compensation. The Company uses the Black-Scholes option-pricing model to estimate the fair value of stock offered under the ESPP. Stock-based compensation expense related to the ESPP was $0.2</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for the three months ended March 31, 2025 and 2024, respectively.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2"/>
        <w:bidi w:val="0"/>
        <w:spacing w:before="240" w:after="283"/>
        <w:jc w:val="both"/>
        <w:rPr>
          <w:rFonts w:ascii="Arial" w:hAnsi="Arial"/>
          <w:i/>
          <w:color w:val="000000"/>
          <w:sz w:val="20"/>
        </w:rPr>
      </w:pPr>
      <w:r>
        <w:rPr>
          <w:rFonts w:ascii="Arial" w:hAnsi="Arial"/>
          <w:i/>
          <w:color w:val="000000"/>
          <w:sz w:val="20"/>
        </w:rPr>
        <w:t>Stock-Based Compensation Expense</w:t>
      </w:r>
    </w:p>
    <w:p>
      <w:pPr>
        <w:pStyle w:val="TextBody"/>
        <w:bidi w:val="0"/>
        <w:spacing w:before="240" w:after="283"/>
        <w:jc w:val="both"/>
        <w:rPr>
          <w:rFonts w:ascii="Arial" w:hAnsi="Arial"/>
          <w:color w:val="000000"/>
          <w:sz w:val="20"/>
        </w:rPr>
      </w:pPr>
      <w:r>
        <w:rPr>
          <w:rFonts w:ascii="Arial" w:hAnsi="Arial"/>
          <w:color w:val="000000"/>
          <w:sz w:val="20"/>
        </w:rPr>
        <w:t>Stock-based compensation expense related to awards granted under the 2014 Plan, the 2020 Plan, the ESPP and the 2022 Inducement Plan was classified in the condensed consolidated statements of operations and comprehensive loss as follows (in thousands):</w:t>
      </w:r>
    </w:p>
    <w:p>
      <w:pPr>
        <w:pStyle w:val="TextBody"/>
        <w:bidi w:val="0"/>
        <w:jc w:val="both"/>
        <w:rPr/>
      </w:pPr>
      <w:r>
        <w:rPr/>
        <w:t> </w:t>
      </w:r>
    </w:p>
    <w:tbl>
      <w:tblPr>
        <w:tblW w:w="5378" w:type="dxa"/>
        <w:jc w:val="left"/>
        <w:tblInd w:w="0" w:type="dxa"/>
        <w:tblLayout w:type="fixed"/>
        <w:tblCellMar>
          <w:top w:w="28" w:type="dxa"/>
          <w:left w:w="28" w:type="dxa"/>
          <w:bottom w:w="28" w:type="dxa"/>
          <w:right w:w="28" w:type="dxa"/>
        </w:tblCellMar>
      </w:tblPr>
      <w:tblGrid>
        <w:gridCol w:w="2491"/>
        <w:gridCol w:w="146"/>
        <w:gridCol w:w="247"/>
        <w:gridCol w:w="171"/>
        <w:gridCol w:w="686"/>
        <w:gridCol w:w="171"/>
        <w:gridCol w:w="171"/>
        <w:gridCol w:w="247"/>
        <w:gridCol w:w="171"/>
        <w:gridCol w:w="686"/>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50"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1,077</w:t>
            </w:r>
          </w:p>
        </w:tc>
        <w:tc>
          <w:tcPr>
            <w:tcW w:w="1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1,497</w:t>
            </w:r>
          </w:p>
        </w:tc>
        <w:tc>
          <w:tcPr>
            <w:tcW w:w="1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4,378</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8.</w:t>
      </w:r>
    </w:p>
    <w:p>
      <w:pPr>
        <w:pStyle w:val="TextBody"/>
        <w:bidi w:val="0"/>
        <w:spacing w:before="40" w:after="283"/>
        <w:jc w:val="both"/>
        <w:rPr>
          <w:rFonts w:ascii="Arial" w:hAnsi="Arial"/>
          <w:color w:val="000000"/>
          <w:sz w:val="20"/>
        </w:rPr>
      </w:pPr>
      <w:r>
        <w:rPr>
          <w:rFonts w:ascii="Arial" w:hAnsi="Arial"/>
          <w:color w:val="000000"/>
          <w:sz w:val="20"/>
        </w:rPr>
        <w:t>Net Loss Per Common Share</w:t>
      </w:r>
    </w:p>
    <w:p>
      <w:pPr>
        <w:pStyle w:val="Heading2"/>
        <w:bidi w:val="0"/>
        <w:spacing w:before="240" w:after="283"/>
        <w:jc w:val="both"/>
        <w:rPr>
          <w:rFonts w:ascii="Arial" w:hAnsi="Arial"/>
          <w:i/>
          <w:color w:val="000000"/>
          <w:sz w:val="20"/>
        </w:rPr>
      </w:pPr>
      <w:r>
        <w:rPr>
          <w:rFonts w:ascii="Arial" w:hAnsi="Arial"/>
          <w:i/>
          <w:color w:val="000000"/>
          <w:sz w:val="20"/>
        </w:rPr>
        <w:t>Net Loss Per Common Share</w:t>
      </w:r>
    </w:p>
    <w:p>
      <w:pPr>
        <w:pStyle w:val="TextBody"/>
        <w:bidi w:val="0"/>
        <w:spacing w:before="240" w:after="283"/>
        <w:jc w:val="both"/>
        <w:rPr>
          <w:rFonts w:ascii="Arial" w:hAnsi="Arial"/>
          <w:color w:val="000000"/>
          <w:sz w:val="20"/>
        </w:rPr>
      </w:pPr>
      <w:r>
        <w:rPr>
          <w:rFonts w:ascii="Arial" w:hAnsi="Arial"/>
          <w:color w:val="000000"/>
          <w:sz w:val="20"/>
        </w:rPr>
        <w:t>Basic and diluted net loss per common share was calculated as follows (in thousands, except share and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197"/>
        <w:gridCol w:w="151"/>
        <w:gridCol w:w="219"/>
        <w:gridCol w:w="1109"/>
        <w:gridCol w:w="151"/>
        <w:gridCol w:w="219"/>
        <w:gridCol w:w="1159"/>
      </w:tblGrid>
      <w:tr>
        <w:trPr/>
        <w:tc>
          <w:tcPr>
            <w:tcW w:w="719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719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857"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Numerator:</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loss</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(30,970)</w:t>
            </w:r>
          </w:p>
        </w:tc>
      </w:tr>
      <w:tr>
        <w:trPr/>
        <w:tc>
          <w:tcPr>
            <w:tcW w:w="7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Denominator:</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Weighted average shares used to compute net loss per share, basic and diluted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85,426,223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55,574,324</w:t>
            </w:r>
          </w:p>
        </w:tc>
      </w:tr>
      <w:tr>
        <w:trPr/>
        <w:tc>
          <w:tcPr>
            <w:tcW w:w="7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(0.56)</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205" w:type="dxa"/>
            <w:gridSpan w:val="7"/>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Reflects the weighted average effect of the pre-funded warrants on the calculation of basic and diluted net loss per share.</w:t>
            </w:r>
          </w:p>
        </w:tc>
      </w:tr>
      <w:tr>
        <w:trPr/>
        <w:tc>
          <w:tcPr>
            <w:tcW w:w="7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both"/>
        <w:rPr>
          <w:rFonts w:ascii="Arial" w:hAnsi="Arial"/>
          <w:color w:val="000000"/>
          <w:sz w:val="20"/>
        </w:rPr>
      </w:pPr>
      <w:r>
        <w:rPr>
          <w:rFonts w:ascii="Arial" w:hAnsi="Arial"/>
          <w:color w:val="000000"/>
          <w:sz w:val="20"/>
        </w:rPr>
        <w:t>The potentially dilutive shares that were excluded from the calculation of diluted net loss per share because their effect would have been anti-dilutive for the periods presented are as follows:</w:t>
      </w:r>
    </w:p>
    <w:p>
      <w:pPr>
        <w:pStyle w:val="TextBody"/>
        <w:bidi w:val="0"/>
        <w:jc w:val="both"/>
        <w:rPr/>
      </w:pPr>
      <w:r>
        <w:rPr/>
        <w:t> </w:t>
      </w:r>
    </w:p>
    <w:tbl>
      <w:tblPr>
        <w:tblW w:w="8184" w:type="dxa"/>
        <w:jc w:val="left"/>
        <w:tblInd w:w="0" w:type="dxa"/>
        <w:tblLayout w:type="fixed"/>
        <w:tblCellMar>
          <w:top w:w="28" w:type="dxa"/>
          <w:left w:w="28" w:type="dxa"/>
          <w:bottom w:w="28" w:type="dxa"/>
          <w:right w:w="28" w:type="dxa"/>
        </w:tblCellMar>
      </w:tblPr>
      <w:tblGrid>
        <w:gridCol w:w="5131"/>
        <w:gridCol w:w="146"/>
        <w:gridCol w:w="146"/>
        <w:gridCol w:w="1066"/>
        <w:gridCol w:w="146"/>
        <w:gridCol w:w="146"/>
        <w:gridCol w:w="146"/>
        <w:gridCol w:w="1066"/>
        <w:gridCol w:w="19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1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14,636,148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10,786,902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performance-based restricted stock unit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 contingently issuable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90,166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14,862,308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11,320,420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40" w:after="240"/>
        <w:jc w:val="both"/>
        <w:rPr>
          <w:rFonts w:ascii="Arial" w:hAnsi="Arial"/>
          <w:color w:val="000000"/>
          <w:sz w:val="20"/>
        </w:rPr>
      </w:pPr>
      <w:r>
        <w:rPr>
          <w:rFonts w:ascii="Arial" w:hAnsi="Arial"/>
          <w:color w:val="000000"/>
          <w:sz w:val="20"/>
        </w:rPr>
        <w:t>9.</w:t>
      </w:r>
    </w:p>
    <w:p>
      <w:pPr>
        <w:pStyle w:val="TextBody"/>
        <w:bidi w:val="0"/>
        <w:spacing w:before="40" w:after="240"/>
        <w:jc w:val="both"/>
        <w:rPr>
          <w:rFonts w:ascii="Arial" w:hAnsi="Arial"/>
          <w:color w:val="000000"/>
          <w:sz w:val="20"/>
        </w:rPr>
      </w:pPr>
      <w:r>
        <w:rPr>
          <w:rFonts w:ascii="Arial" w:hAnsi="Arial"/>
          <w:color w:val="000000"/>
          <w:sz w:val="20"/>
        </w:rPr>
        <w:t>Lease</w:t>
      </w:r>
    </w:p>
    <w:p>
      <w:pPr>
        <w:pStyle w:val="TextBody"/>
        <w:bidi w:val="0"/>
        <w:spacing w:before="0" w:after="240"/>
        <w:jc w:val="both"/>
        <w:rPr>
          <w:rFonts w:ascii="Times New Roman" w:hAnsi="Times New Roman"/>
          <w:sz w:val="20"/>
        </w:rPr>
      </w:pPr>
      <w:r>
        <w:rPr>
          <w:rFonts w:ascii="Arial" w:hAnsi="Arial"/>
          <w:color w:val="000000"/>
          <w:sz w:val="20"/>
        </w:rPr>
        <w:t>The Company leases certain of its facilities under non-cancellable operating leases expiring at various dates through 2026.</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On December 15, 2020, the Company entered into a lease agreement with Tennieh LLC to lease approximately 9,800</w:t>
      </w:r>
      <w:r>
        <w:rPr>
          <w:rFonts w:ascii="Times New Roman" w:hAnsi="Times New Roman"/>
          <w:color w:val="000000"/>
          <w:sz w:val="20"/>
        </w:rPr>
        <w:t xml:space="preserve"> </w:t>
      </w:r>
      <w:r>
        <w:rPr>
          <w:rFonts w:ascii="Arial" w:hAnsi="Arial"/>
          <w:color w:val="000000"/>
          <w:sz w:val="20"/>
        </w:rPr>
        <w:t>square feet of office and lab space in San Francisco, California (the “Laboratory Lease Agreement”). The Laboratory Lease Agreement is for a period of five years</w:t>
      </w:r>
      <w:r>
        <w:rPr>
          <w:rFonts w:ascii="Times New Roman" w:hAnsi="Times New Roman"/>
          <w:color w:val="000000"/>
          <w:sz w:val="20"/>
        </w:rPr>
        <w:t xml:space="preserve"> </w:t>
      </w:r>
      <w:r>
        <w:rPr>
          <w:rFonts w:ascii="Arial" w:hAnsi="Arial"/>
          <w:color w:val="000000"/>
          <w:sz w:val="20"/>
        </w:rPr>
        <w:t>commencing approximately February 1, 2021 and ending January 31, 2026. According to the terms of the Laboratory Lease Agreement, the Company paid a $0.4</w:t>
      </w:r>
      <w:r>
        <w:rPr>
          <w:rFonts w:ascii="Times New Roman" w:hAnsi="Times New Roman"/>
          <w:color w:val="000000"/>
          <w:sz w:val="20"/>
        </w:rPr>
        <w:t xml:space="preserve"> </w:t>
      </w:r>
      <w:r>
        <w:rPr>
          <w:rFonts w:ascii="Arial" w:hAnsi="Arial"/>
          <w:color w:val="000000"/>
          <w:sz w:val="20"/>
        </w:rPr>
        <w:t>million security deposit and is required to pay monthly rent and common area charges.</w:t>
      </w:r>
    </w:p>
    <w:p>
      <w:pPr>
        <w:pStyle w:val="TextBody"/>
        <w:bidi w:val="0"/>
        <w:spacing w:before="0" w:after="240"/>
        <w:jc w:val="both"/>
        <w:rPr>
          <w:rFonts w:ascii="Times New Roman" w:hAnsi="Times New Roman"/>
          <w:sz w:val="20"/>
        </w:rPr>
      </w:pPr>
      <w:r>
        <w:rPr>
          <w:rFonts w:ascii="Arial" w:hAnsi="Arial"/>
          <w:color w:val="000000"/>
          <w:sz w:val="20"/>
        </w:rPr>
        <w:t>On August 17, 2023, the Company entered into a sublease agreement with Dropbox, Inc. to sublease approximately 6,713</w:t>
      </w:r>
      <w:r>
        <w:rPr>
          <w:rFonts w:ascii="Times New Roman" w:hAnsi="Times New Roman"/>
          <w:color w:val="000000"/>
          <w:sz w:val="20"/>
        </w:rPr>
        <w:t xml:space="preserve"> </w:t>
      </w:r>
      <w:r>
        <w:rPr>
          <w:rFonts w:ascii="Arial" w:hAnsi="Arial"/>
          <w:color w:val="000000"/>
          <w:sz w:val="20"/>
        </w:rPr>
        <w:t>square feet of office space in San Francisco, California (the “Dropbox Sublease Agreement”). The Dropbox Sublease Agreement is for a period of two years</w:t>
      </w:r>
      <w:r>
        <w:rPr>
          <w:rFonts w:ascii="Times New Roman" w:hAnsi="Times New Roman"/>
          <w:color w:val="000000"/>
          <w:sz w:val="20"/>
        </w:rPr>
        <w:t xml:space="preserve"> </w:t>
      </w:r>
      <w:r>
        <w:rPr>
          <w:rFonts w:ascii="Arial" w:hAnsi="Arial"/>
          <w:color w:val="000000"/>
          <w:sz w:val="20"/>
        </w:rPr>
        <w:t>commencing on September 5, 2023 and ending December 31, 2025. According to the terms of the Dropbox Sublease Agreement, the Company paid a $0.1</w:t>
      </w:r>
      <w:r>
        <w:rPr>
          <w:rFonts w:ascii="Times New Roman" w:hAnsi="Times New Roman"/>
          <w:color w:val="000000"/>
          <w:sz w:val="20"/>
        </w:rPr>
        <w:t xml:space="preserve"> </w:t>
      </w:r>
      <w:r>
        <w:rPr>
          <w:rFonts w:ascii="Arial" w:hAnsi="Arial"/>
          <w:color w:val="000000"/>
          <w:sz w:val="20"/>
        </w:rPr>
        <w:t>million security deposit and is required to pay monthly rent and common area charges. The sublease was accounted for under Topic 842 and the Company recorded ROU asset and lease liability of $0.2</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respectively, in the accompanying condensed consolidated financial statements.</w:t>
      </w:r>
    </w:p>
    <w:p>
      <w:pPr>
        <w:pStyle w:val="TextBody"/>
        <w:bidi w:val="0"/>
        <w:spacing w:before="0" w:after="240"/>
        <w:jc w:val="both"/>
        <w:rPr>
          <w:rFonts w:ascii="Times New Roman" w:hAnsi="Times New Roman"/>
          <w:sz w:val="20"/>
        </w:rPr>
      </w:pPr>
      <w:r>
        <w:rPr>
          <w:rFonts w:ascii="Arial" w:hAnsi="Arial"/>
          <w:color w:val="000000"/>
          <w:sz w:val="20"/>
        </w:rPr>
        <w:t>On August 23, 2023, the Company entered into a lease agreement with The Cambridge Redevelopment Authority to lease approximately 4,020</w:t>
      </w:r>
      <w:r>
        <w:rPr>
          <w:rFonts w:ascii="Times New Roman" w:hAnsi="Times New Roman"/>
          <w:color w:val="000000"/>
          <w:sz w:val="20"/>
        </w:rPr>
        <w:t xml:space="preserve"> </w:t>
      </w:r>
      <w:r>
        <w:rPr>
          <w:rFonts w:ascii="Arial" w:hAnsi="Arial"/>
          <w:color w:val="000000"/>
          <w:sz w:val="20"/>
        </w:rPr>
        <w:t>square feet of office space in Cambridge, Massachusetts (the “Cambridge Lease Agreement”). The Cambridge Lease Agreement is for a period of three years</w:t>
      </w:r>
      <w:r>
        <w:rPr>
          <w:rFonts w:ascii="Times New Roman" w:hAnsi="Times New Roman"/>
          <w:color w:val="000000"/>
          <w:sz w:val="20"/>
        </w:rPr>
        <w:t xml:space="preserve"> </w:t>
      </w:r>
      <w:r>
        <w:rPr>
          <w:rFonts w:ascii="Arial" w:hAnsi="Arial"/>
          <w:color w:val="000000"/>
          <w:sz w:val="20"/>
        </w:rPr>
        <w:t>commencing on September 15, 2023 and ending September 14, 2026. According to the terms of the Cambridge Lease Agreement, the Company paid a less than $0.1</w:t>
      </w:r>
      <w:r>
        <w:rPr>
          <w:rFonts w:ascii="Times New Roman" w:hAnsi="Times New Roman"/>
          <w:color w:val="000000"/>
          <w:sz w:val="20"/>
        </w:rPr>
        <w:t xml:space="preserve"> </w:t>
      </w:r>
      <w:r>
        <w:rPr>
          <w:rFonts w:ascii="Arial" w:hAnsi="Arial"/>
          <w:color w:val="000000"/>
          <w:sz w:val="20"/>
        </w:rPr>
        <w:t>million security deposit and is required to pay monthly rent and common area charges. The lease was accounted for under Topic 842 and the Company recorded ROU asset and lease liability of $0.7</w:t>
      </w:r>
      <w:r>
        <w:rPr>
          <w:rFonts w:ascii="Times New Roman" w:hAnsi="Times New Roman"/>
          <w:color w:val="000000"/>
          <w:sz w:val="20"/>
        </w:rPr>
        <w:t xml:space="preserve"> </w:t>
      </w:r>
      <w:r>
        <w:rPr>
          <w:rFonts w:ascii="Arial" w:hAnsi="Arial"/>
          <w:color w:val="000000"/>
          <w:sz w:val="20"/>
        </w:rPr>
        <w:t>million and $0.7</w:t>
      </w:r>
      <w:r>
        <w:rPr>
          <w:rFonts w:ascii="Times New Roman" w:hAnsi="Times New Roman"/>
          <w:color w:val="000000"/>
          <w:sz w:val="20"/>
        </w:rPr>
        <w:t xml:space="preserve"> </w:t>
      </w:r>
      <w:r>
        <w:rPr>
          <w:rFonts w:ascii="Arial" w:hAnsi="Arial"/>
          <w:color w:val="000000"/>
          <w:sz w:val="20"/>
        </w:rPr>
        <w:t>million, respectively, in the accompanying condensed consolidated financial statements.</w:t>
      </w:r>
    </w:p>
    <w:p>
      <w:pPr>
        <w:pStyle w:val="TextBody"/>
        <w:bidi w:val="0"/>
        <w:jc w:val="both"/>
        <w:rPr>
          <w:rFonts w:ascii="Arial" w:hAnsi="Arial"/>
          <w:color w:val="000000"/>
          <w:sz w:val="20"/>
        </w:rPr>
      </w:pPr>
      <w:r>
        <w:rPr>
          <w:rFonts w:ascii="Arial" w:hAnsi="Arial"/>
          <w:color w:val="000000"/>
          <w:sz w:val="20"/>
        </w:rPr>
        <w:t>The following table summarizes total lease expense during the three months ended March 31, 2025 and 2024 (in thousands):</w:t>
      </w:r>
    </w:p>
    <w:p>
      <w:pPr>
        <w:pStyle w:val="TextBody"/>
        <w:bidi w:val="0"/>
        <w:jc w:val="both"/>
        <w:rPr/>
      </w:pPr>
      <w:r>
        <w:rPr/>
        <w:t> </w:t>
      </w:r>
    </w:p>
    <w:tbl>
      <w:tblPr>
        <w:tblW w:w="6216" w:type="dxa"/>
        <w:jc w:val="left"/>
        <w:tblInd w:w="0" w:type="dxa"/>
        <w:tblLayout w:type="fixed"/>
        <w:tblCellMar>
          <w:top w:w="28" w:type="dxa"/>
          <w:left w:w="28" w:type="dxa"/>
          <w:bottom w:w="28" w:type="dxa"/>
          <w:right w:w="28" w:type="dxa"/>
        </w:tblCellMar>
      </w:tblPr>
      <w:tblGrid>
        <w:gridCol w:w="3331"/>
        <w:gridCol w:w="146"/>
        <w:gridCol w:w="291"/>
        <w:gridCol w:w="201"/>
        <w:gridCol w:w="581"/>
        <w:gridCol w:w="201"/>
        <w:gridCol w:w="201"/>
        <w:gridCol w:w="291"/>
        <w:gridCol w:w="201"/>
        <w:gridCol w:w="581"/>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48"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7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Straight-line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lease expense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following table summarizes supplemental cash flow information during the three months ended March 31, 2025 and 2024 (in thousands):</w:t>
      </w:r>
    </w:p>
    <w:p>
      <w:pPr>
        <w:pStyle w:val="TextBody"/>
        <w:bidi w:val="0"/>
        <w:jc w:val="both"/>
        <w:rPr/>
      </w:pPr>
      <w:r>
        <w:rPr/>
        <w:t> </w:t>
      </w:r>
    </w:p>
    <w:tbl>
      <w:tblPr>
        <w:tblW w:w="8896" w:type="dxa"/>
        <w:jc w:val="left"/>
        <w:tblInd w:w="0" w:type="dxa"/>
        <w:tblLayout w:type="fixed"/>
        <w:tblCellMar>
          <w:top w:w="28" w:type="dxa"/>
          <w:left w:w="28" w:type="dxa"/>
          <w:bottom w:w="28" w:type="dxa"/>
          <w:right w:w="28" w:type="dxa"/>
        </w:tblCellMar>
      </w:tblPr>
      <w:tblGrid>
        <w:gridCol w:w="5731"/>
        <w:gridCol w:w="146"/>
        <w:gridCol w:w="291"/>
        <w:gridCol w:w="201"/>
        <w:gridCol w:w="581"/>
        <w:gridCol w:w="201"/>
        <w:gridCol w:w="201"/>
        <w:gridCol w:w="291"/>
        <w:gridCol w:w="201"/>
        <w:gridCol w:w="581"/>
        <w:gridCol w:w="471"/>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7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48"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7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amounts included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573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cash flows from operating leases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following table summarizes the Company’s future minimum lease payments and reconciliation of lease liabilities as of March 31, 2025 (in thousands):</w:t>
      </w:r>
    </w:p>
    <w:p>
      <w:pPr>
        <w:pStyle w:val="TextBody"/>
        <w:bidi w:val="0"/>
        <w:jc w:val="both"/>
        <w:rPr/>
      </w:pPr>
      <w:r>
        <w:rPr/>
        <w:t> </w:t>
      </w:r>
    </w:p>
    <w:tbl>
      <w:tblPr>
        <w:tblW w:w="4706" w:type="dxa"/>
        <w:jc w:val="left"/>
        <w:tblInd w:w="0" w:type="dxa"/>
        <w:tblLayout w:type="fixed"/>
        <w:tblCellMar>
          <w:top w:w="28" w:type="dxa"/>
          <w:left w:w="28" w:type="dxa"/>
          <w:bottom w:w="28" w:type="dxa"/>
          <w:right w:w="28" w:type="dxa"/>
        </w:tblCellMar>
      </w:tblPr>
      <w:tblGrid>
        <w:gridCol w:w="3406"/>
        <w:gridCol w:w="146"/>
        <w:gridCol w:w="211"/>
        <w:gridCol w:w="146"/>
        <w:gridCol w:w="586"/>
        <w:gridCol w:w="2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Years Ending</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7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2025 (from April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liabilities at present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non-current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following table summarizes lease term and discount rate as of March 31, 2025:</w:t>
      </w:r>
    </w:p>
    <w:p>
      <w:pPr>
        <w:pStyle w:val="TextBody"/>
        <w:bidi w:val="0"/>
        <w:jc w:val="both"/>
        <w:rPr/>
      </w:pPr>
      <w:r>
        <w:rPr/>
        <w:t> </w:t>
      </w:r>
    </w:p>
    <w:tbl>
      <w:tblPr>
        <w:tblW w:w="7239" w:type="dxa"/>
        <w:jc w:val="left"/>
        <w:tblInd w:w="0" w:type="dxa"/>
        <w:tblLayout w:type="fixed"/>
        <w:tblCellMar>
          <w:top w:w="28" w:type="dxa"/>
          <w:left w:w="28" w:type="dxa"/>
          <w:bottom w:w="28" w:type="dxa"/>
          <w:right w:w="28" w:type="dxa"/>
        </w:tblCellMar>
      </w:tblPr>
      <w:tblGrid>
        <w:gridCol w:w="4216"/>
        <w:gridCol w:w="146"/>
        <w:gridCol w:w="220"/>
        <w:gridCol w:w="727"/>
        <w:gridCol w:w="432"/>
        <w:gridCol w:w="220"/>
        <w:gridCol w:w="220"/>
        <w:gridCol w:w="727"/>
        <w:gridCol w:w="33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4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discount rate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10.</w:t>
      </w:r>
    </w:p>
    <w:p>
      <w:pPr>
        <w:pStyle w:val="TextBody"/>
        <w:bidi w:val="0"/>
        <w:spacing w:before="40" w:after="283"/>
        <w:jc w:val="both"/>
        <w:rPr>
          <w:rFonts w:ascii="Arial" w:hAnsi="Arial"/>
          <w:color w:val="000000"/>
          <w:sz w:val="20"/>
        </w:rPr>
      </w:pPr>
      <w:r>
        <w:rPr>
          <w:rFonts w:ascii="Arial" w:hAnsi="Arial"/>
          <w:color w:val="000000"/>
          <w:sz w:val="20"/>
        </w:rPr>
        <w:t>Commitments and Contingencies</w:t>
      </w:r>
    </w:p>
    <w:p>
      <w:pPr>
        <w:pStyle w:val="TextBody"/>
        <w:bidi w:val="0"/>
        <w:spacing w:before="240" w:after="283"/>
        <w:jc w:val="both"/>
        <w:rPr>
          <w:rFonts w:ascii="Arial" w:hAnsi="Arial"/>
          <w:i/>
          <w:color w:val="000000"/>
          <w:sz w:val="20"/>
        </w:rPr>
      </w:pPr>
      <w:r>
        <w:rPr>
          <w:rFonts w:ascii="Arial" w:hAnsi="Arial"/>
          <w:i/>
          <w:color w:val="000000"/>
          <w:sz w:val="20"/>
        </w:rPr>
        <w:t>Clinical Trial Collaboration and Supply Agreement with Novartis</w:t>
      </w:r>
    </w:p>
    <w:p>
      <w:pPr>
        <w:pStyle w:val="TextBody"/>
        <w:bidi w:val="0"/>
        <w:spacing w:before="240" w:after="283"/>
        <w:jc w:val="both"/>
        <w:rPr>
          <w:rFonts w:ascii="Arial" w:hAnsi="Arial"/>
          <w:color w:val="000000"/>
          <w:sz w:val="20"/>
        </w:rPr>
      </w:pPr>
      <w:r>
        <w:rPr>
          <w:rFonts w:ascii="Arial" w:hAnsi="Arial"/>
          <w:color w:val="000000"/>
          <w:sz w:val="20"/>
        </w:rPr>
        <w:t>On November 29, 2024, the Company entered into a Clinical Trial Collaboration and Supply Agreement (the "Novartis Pharma Agreement") with Novartis Pharma AG (collectively, with affiliated entities, "Novartis"). Pursuant to the Agreement, Novartis will provide the Company with ribociclib drug supply for the Company’s planned Phase 3 OPERA-02 trial of palazestrant in combination with ribociclib in ER+/HER2- frontline advanced or metastatic breast cancer (the "OPERA-02 trial").</w:t>
      </w:r>
    </w:p>
    <w:p>
      <w:pPr>
        <w:pStyle w:val="TextBody"/>
        <w:bidi w:val="0"/>
        <w:spacing w:before="240" w:after="283"/>
        <w:jc w:val="both"/>
        <w:rPr>
          <w:rFonts w:ascii="Arial" w:hAnsi="Arial"/>
          <w:color w:val="000000"/>
          <w:sz w:val="20"/>
        </w:rPr>
      </w:pPr>
      <w:r>
        <w:rPr>
          <w:rFonts w:ascii="Arial" w:hAnsi="Arial"/>
          <w:color w:val="000000"/>
          <w:sz w:val="20"/>
        </w:rPr>
        <w:t>Under the Novartis Pharma Agreement, the Company will supply (including manufacturing, packaging and labeling) palazestrant and letrozole for the OPERA-02 trial. Novartis will manufacture and supply (including primary packaging) the Company with a specified amount of ribociclib, which amount is expected to be sufficient for the OPERA-02 trial.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Any inventions developed in the performance of the clinical studies for the combined therapies (other than those specific to each component study drug) are jointly owned by the parties. Except as otherwise specified below, the Novartis Pharma Agreement does not grant any right of first negotiation to participate in future clinical trials, and each party retains all rights and ability to evaluate their respective compounds in any studies or clinical trials, either as a monotherapy or in combination with any other product or compound, in any therapeutic area. The parties retain their independent rights to commercialize their respective therapies both alone and with third parties.</w:t>
      </w:r>
    </w:p>
    <w:p>
      <w:pPr>
        <w:pStyle w:val="TextBody"/>
        <w:bidi w:val="0"/>
        <w:spacing w:before="240" w:after="283"/>
        <w:jc w:val="both"/>
        <w:rPr>
          <w:rFonts w:ascii="Times New Roman" w:hAnsi="Times New Roman"/>
          <w:sz w:val="20"/>
        </w:rPr>
      </w:pPr>
      <w:r>
        <w:rPr>
          <w:rFonts w:ascii="Arial" w:hAnsi="Arial"/>
          <w:color w:val="000000"/>
          <w:sz w:val="20"/>
        </w:rPr>
        <w:t>The Company granted Novartis a right of first negotiation with respect to (a) the grant to any person or entity any right, license or sublicense to exploit palazestrant, in any field or territory, other than to third party service providers, or (b) the sale or other transfer to any person or entity of palazestrant and any related assets (each referred to herein as an "Olema Compound Transaction"). If the Company desires to or does, at any time, (a) solicit or entertain any third party proposal or indication of interest with respect to an Olema Compound Transaction, or (b) negotiate (including in response to any proposal or indication of interest received by the Company), enter into or perform under, in each case, any written definitive agreement with a third party with respect to or that contemplates an Olema Compound Transaction, then the Company must provide written notice to Novartis regarding such Olema Compound Transaction, along with certain other specified information. Novartis will have 30 days</w:t>
      </w:r>
      <w:r>
        <w:rPr>
          <w:rFonts w:ascii="Times New Roman" w:hAnsi="Times New Roman"/>
          <w:color w:val="000000"/>
          <w:sz w:val="20"/>
        </w:rPr>
        <w:t xml:space="preserve"> </w:t>
      </w:r>
      <w:r>
        <w:rPr>
          <w:rFonts w:ascii="Arial" w:hAnsi="Arial"/>
          <w:color w:val="000000"/>
          <w:sz w:val="20"/>
        </w:rPr>
        <w:t>after receipt of such notice to elect to enter into exclusive good faith negotiations with respect to such Olema Compound Transaction for a period of up to 120 days.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the Company’s board of directors (or a duly authorized board committee) determines that the Company should pursue or explore a change of control of the Company or sale of all or substantially all of its assets (an "Olema Change of Control"), other than in response to an unsolicited bona fide acquisition proposal (a "Proposed Sale"), the Company must promptly notify Novartis of such determination. In the event Novartis elects to engage in negotiations with the Company in respect of such Proposed Sale, then from the date such notice is given until 45 days</w:t>
      </w:r>
      <w:r>
        <w:rPr>
          <w:rFonts w:ascii="Times New Roman" w:hAnsi="Times New Roman"/>
          <w:color w:val="000000"/>
          <w:sz w:val="20"/>
        </w:rPr>
        <w:t xml:space="preserve"> </w:t>
      </w:r>
      <w:r>
        <w:rPr>
          <w:rFonts w:ascii="Arial" w:hAnsi="Arial"/>
          <w:color w:val="000000"/>
          <w:sz w:val="20"/>
        </w:rPr>
        <w:t>after the later of (a) the date on which the foregoing notice is given to Novartis, (b) the date on which Novartis is given notice that a data room has been populated as required by the Novartis Pharma Agreement, and (c) entry by the Company and Novartis into a customary nondisclosure agreement, Novartis will have the exclusive right (but no obligation) to conduct due diligence on the Company and its business and negotiate with the Company and its representatives the definitive terms and conditions of the Proposed Sale.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If the Company or its affiliates receive an unsolicited bona fide acquisition proposal from a third party, the Company must promptly notify its board of directors (or a duly authorized board committee) of the receipt thereof and request that they consider the merits of such acquisition proposal. If, after such consideration, the Company’s board of directors (or authorized committee) authorizes the Company to engage in negotiations with regard to such acquisition proposal, then the Company must notify Novartis in writing within 24 hours of receipt of such authorization. To the extent possible in light of any confidentiality obligations, such notice must include a summary of the key structural, non-financial terms of such acquisition proposal.</w:t>
      </w:r>
    </w:p>
    <w:p>
      <w:pPr>
        <w:pStyle w:val="TextBody"/>
        <w:bidi w:val="0"/>
        <w:spacing w:before="240" w:after="283"/>
        <w:jc w:val="both"/>
        <w:rPr>
          <w:rFonts w:ascii="Times New Roman" w:hAnsi="Times New Roman"/>
          <w:sz w:val="20"/>
        </w:rPr>
      </w:pPr>
      <w:r>
        <w:rPr>
          <w:rFonts w:ascii="Arial" w:hAnsi="Arial"/>
          <w:color w:val="000000"/>
          <w:sz w:val="20"/>
        </w:rPr>
        <w:t>In the event of an Olema Compound Transaction or Olema Change of Control involving a third party other than Novartis (the first to occur, a "Repayment Trigger Event"), the Company must promptly pay, or procure the payment of, the Repayment Amount (as defined below) to Novartis. Notwithstanding the foregoing, if the Novartis Pharma Agreement is terminated as a result of certain patient safety issues, lack of product efficacy, regulatory issues or clinical hold issues prior to the consummation of the Olema Compound Transaction or Olema Change of Control, then the Company shall not be obligated to pay the Repayment Amount unless (a) the Olema Change of Control or Olema Compound Transaction occurs after such termination and (b) prior to the fifth anniversary of such Olema Change of Control or Olema Compound Transaction (as applicable), the Company or its affiliates (or the applicable acquirer, successor, licensee or optionholder of the Company or its affiliates) enrolls a subject in any clinical study involving the combination of palazestrant and ribociclib (the "Olema Combination") or submits any filing with any regulatory authority relating to the Olema Combination. The “Repayment Amount” is the proportion of approximately $275</w:t>
      </w:r>
      <w:r>
        <w:rPr>
          <w:rFonts w:ascii="Times New Roman" w:hAnsi="Times New Roman"/>
          <w:color w:val="000000"/>
          <w:sz w:val="20"/>
        </w:rPr>
        <w:t xml:space="preserve"> </w:t>
      </w:r>
      <w:r>
        <w:rPr>
          <w:rFonts w:ascii="Arial" w:hAnsi="Arial"/>
          <w:color w:val="000000"/>
          <w:sz w:val="20"/>
        </w:rPr>
        <w:t>million that is represented by the number of units of ribociclib actually supplied to the Company under the Supply Agreement as of immediately prior to the Repayment Trigger Event as compared to the total number of units that could be supplied under the Novartis Pharma Agreement.</w:t>
      </w:r>
    </w:p>
    <w:p>
      <w:pPr>
        <w:pStyle w:val="TextBody"/>
        <w:bidi w:val="0"/>
        <w:spacing w:before="240" w:after="283"/>
        <w:jc w:val="both"/>
        <w:rPr>
          <w:rFonts w:ascii="Arial" w:hAnsi="Arial"/>
          <w:color w:val="000000"/>
          <w:sz w:val="20"/>
        </w:rPr>
      </w:pPr>
      <w:r>
        <w:rPr>
          <w:rFonts w:ascii="Arial" w:hAnsi="Arial"/>
          <w:color w:val="000000"/>
          <w:sz w:val="20"/>
        </w:rPr>
        <w:t>The foregoing rights of first negotiation, first offer and notice and repayment obligations remain in effect until the first to occur of: (a) the date that is 120 days after filing of the New Drug Application for the Olema Combination, (b) one year after any expiration or termination of the Novartis Pharma Agreement, and (c) such time as the Novartis Pharma Agreement is terminated by the Company due to Novartis’ material breach. However, in the event the Novartis Pharma Agreement is terminated due to certain patient safety issues, lack of product efficacy, regulatory issues or clinical hold issues prior to the consummation of an Olema Change of Control or Olema Compound Transaction, then the Repayment Obligation shall survive until the fifth anniversary of such Olema Change of Control or Olema Compound Transaction (as applicable) or, if payment of the Repayment Amount is required, until the next business day after the Repayment Amount has been received by Novartis.</w:t>
      </w:r>
    </w:p>
    <w:p>
      <w:pPr>
        <w:pStyle w:val="TextBody"/>
        <w:bidi w:val="0"/>
        <w:spacing w:before="240" w:after="283"/>
        <w:jc w:val="both"/>
        <w:rPr>
          <w:rFonts w:ascii="Times New Roman" w:hAnsi="Times New Roman"/>
          <w:sz w:val="20"/>
        </w:rPr>
      </w:pPr>
      <w:r>
        <w:rPr>
          <w:rFonts w:ascii="Arial" w:hAnsi="Arial"/>
          <w:color w:val="000000"/>
          <w:sz w:val="20"/>
        </w:rPr>
        <w:t>The Novartis Pharma Agreement will terminate on the fifth anniversary of the date on which the first dose of palazestrant is administered to the first study subject. Either party may terminate the Novartis Pharma Agreement for the uncured material breach or insolvency of the other party, for failure to comply with certain anti-corruption obligations, in the event of a change of control of the other party, if it reasonably deems it necessary in order to protect the safety, health or welfare of subjects enrolled in the clinical studies for the combined therapies due to the existence of a material safety issue, if the parties jointly decide that the Olema Combination is not achieving sufficiently superior levels of efficacy, if any regulatory authority action prevents a party (or the Letrozole supplier) from supplying its product, in the event of an unresolved force majeure event, or in certain circumstances for an unresolved clinical hold with respect to ribociclib, palazestrant or letrozole (or the combination of ribociclib and palazestrant or ribociclib and letrozole). In addition, Novartis may terminate the Novartis Pharma Agreement if the Company has failed to commence the OPERA-02 trial on or prior to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March 31, 2026 or if the Company consummates an Olema Compound Transaction, and the Company may terminate the Novartis Pharma Agreement if the Company terminates the OPERA-02 trial other than due to a material safety issue, efficacy issue, regulatory action or upon a clinical hold. Costs incurred in connection to the Novartis Pharma Agreement are included in the research and development expense in the accompanying condensed consolidated statements of operations and comprehensive loss for the three months ended March 31, 2025.</w:t>
      </w:r>
    </w:p>
    <w:p>
      <w:pPr>
        <w:pStyle w:val="TextBody"/>
        <w:bidi w:val="0"/>
        <w:spacing w:before="240" w:after="283"/>
        <w:jc w:val="both"/>
        <w:rPr>
          <w:rFonts w:ascii="Arial" w:hAnsi="Arial"/>
          <w:i/>
          <w:color w:val="000000"/>
          <w:sz w:val="20"/>
        </w:rPr>
      </w:pPr>
      <w:r>
        <w:rPr>
          <w:rFonts w:ascii="Arial" w:hAnsi="Arial"/>
          <w:i/>
          <w:color w:val="000000"/>
          <w:sz w:val="20"/>
        </w:rPr>
        <w:t>Loan Agreement</w:t>
      </w:r>
    </w:p>
    <w:p>
      <w:pPr>
        <w:pStyle w:val="TextBody"/>
        <w:bidi w:val="0"/>
        <w:spacing w:before="240" w:after="283"/>
        <w:jc w:val="both"/>
        <w:rPr>
          <w:rFonts w:ascii="Times New Roman" w:hAnsi="Times New Roman"/>
          <w:sz w:val="20"/>
        </w:rPr>
      </w:pPr>
      <w:r>
        <w:rPr>
          <w:rFonts w:ascii="Arial" w:hAnsi="Arial"/>
          <w:color w:val="000000"/>
          <w:sz w:val="20"/>
        </w:rPr>
        <w:t>On September 5, 2023, the Company entered into the Original Loan Agreement by and between the Company and the Bank. The Original Loan Agreement provided for a four-year</w:t>
      </w:r>
      <w:r>
        <w:rPr>
          <w:rFonts w:ascii="Times New Roman" w:hAnsi="Times New Roman"/>
          <w:color w:val="000000"/>
          <w:sz w:val="20"/>
        </w:rPr>
        <w:t xml:space="preserve"> </w:t>
      </w:r>
      <w:r>
        <w:rPr>
          <w:rFonts w:ascii="Arial" w:hAnsi="Arial"/>
          <w:color w:val="000000"/>
          <w:sz w:val="20"/>
        </w:rPr>
        <w:t>senior secured credit facility in an aggregate principal amount of up to $50.0</w:t>
      </w:r>
      <w:r>
        <w:rPr>
          <w:rFonts w:ascii="Times New Roman" w:hAnsi="Times New Roman"/>
          <w:color w:val="000000"/>
          <w:sz w:val="20"/>
        </w:rPr>
        <w:t xml:space="preserve"> </w:t>
      </w:r>
      <w:r>
        <w:rPr>
          <w:rFonts w:ascii="Arial" w:hAnsi="Arial"/>
          <w:color w:val="000000"/>
          <w:sz w:val="20"/>
        </w:rPr>
        <w:t>million (the "Original Credit Facility"), of which $25.0</w:t>
      </w:r>
      <w:r>
        <w:rPr>
          <w:rFonts w:ascii="Times New Roman" w:hAnsi="Times New Roman"/>
          <w:color w:val="000000"/>
          <w:sz w:val="20"/>
        </w:rPr>
        <w:t xml:space="preserve"> </w:t>
      </w:r>
      <w:r>
        <w:rPr>
          <w:rFonts w:ascii="Arial" w:hAnsi="Arial"/>
          <w:color w:val="000000"/>
          <w:sz w:val="20"/>
        </w:rPr>
        <w:t>million became available upon the closing of a private placement of our common stock to selected institutional and accredited investors pursuant to a securities purchase agreement in September 2023, and the remaining $25.0</w:t>
      </w:r>
      <w:r>
        <w:rPr>
          <w:rFonts w:ascii="Times New Roman" w:hAnsi="Times New Roman"/>
          <w:color w:val="000000"/>
          <w:sz w:val="20"/>
        </w:rPr>
        <w:t xml:space="preserve"> </w:t>
      </w:r>
      <w:r>
        <w:rPr>
          <w:rFonts w:ascii="Arial" w:hAnsi="Arial"/>
          <w:color w:val="000000"/>
          <w:sz w:val="20"/>
        </w:rPr>
        <w:t>million could have been made available upon approval of the Bank in its discretion. The Original Credit Facility was to mature on August 1, 2027</w:t>
      </w:r>
      <w:r>
        <w:rPr>
          <w:rFonts w:ascii="Times New Roman" w:hAnsi="Times New Roman"/>
          <w:color w:val="000000"/>
          <w:sz w:val="20"/>
        </w:rPr>
        <w:t xml:space="preserve"> </w:t>
      </w:r>
      <w:r>
        <w:rPr>
          <w:rFonts w:ascii="Arial" w:hAnsi="Arial"/>
          <w:color w:val="000000"/>
          <w:sz w:val="20"/>
        </w:rPr>
        <w:t>(the "Original Maturity 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June 28, 2024, the Company entered into a First Amendment to Loan and Security Agreement (the "Amendment"), by and between the Company and the Bank, which amends the terms of the Original Loan Agreement (the Original Loan Agreement, as amended, the "Loan Agreement"), in order to, among other things, (i) increase the aggregate principal amount of the Original Credit Facility from up to $50</w:t>
      </w:r>
      <w:r>
        <w:rPr>
          <w:rFonts w:ascii="Times New Roman" w:hAnsi="Times New Roman"/>
          <w:color w:val="000000"/>
          <w:sz w:val="20"/>
        </w:rPr>
        <w:t xml:space="preserve"> </w:t>
      </w:r>
      <w:r>
        <w:rPr>
          <w:rFonts w:ascii="Arial" w:hAnsi="Arial"/>
          <w:color w:val="000000"/>
          <w:sz w:val="20"/>
        </w:rPr>
        <w:t>million to up to $100</w:t>
      </w:r>
      <w:r>
        <w:rPr>
          <w:rFonts w:ascii="Times New Roman" w:hAnsi="Times New Roman"/>
          <w:color w:val="000000"/>
          <w:sz w:val="20"/>
        </w:rPr>
        <w:t xml:space="preserve"> </w:t>
      </w:r>
      <w:r>
        <w:rPr>
          <w:rFonts w:ascii="Arial" w:hAnsi="Arial"/>
          <w:color w:val="000000"/>
          <w:sz w:val="20"/>
        </w:rPr>
        <w:t>million, of which $25</w:t>
      </w:r>
      <w:r>
        <w:rPr>
          <w:rFonts w:ascii="Times New Roman" w:hAnsi="Times New Roman"/>
          <w:color w:val="000000"/>
          <w:sz w:val="20"/>
        </w:rPr>
        <w:t xml:space="preserve"> </w:t>
      </w:r>
      <w:r>
        <w:rPr>
          <w:rFonts w:ascii="Arial" w:hAnsi="Arial"/>
          <w:color w:val="000000"/>
          <w:sz w:val="20"/>
        </w:rPr>
        <w:t>million is currently available, an additional $25</w:t>
      </w:r>
      <w:r>
        <w:rPr>
          <w:rFonts w:ascii="Times New Roman" w:hAnsi="Times New Roman"/>
          <w:color w:val="000000"/>
          <w:sz w:val="20"/>
        </w:rPr>
        <w:t xml:space="preserve"> </w:t>
      </w:r>
      <w:r>
        <w:rPr>
          <w:rFonts w:ascii="Arial" w:hAnsi="Arial"/>
          <w:color w:val="000000"/>
          <w:sz w:val="20"/>
        </w:rPr>
        <w:t>million will become available upon the Company achieving certain milestones related to execution of a first line pivotal Phase 3 clinical trial of palazestrant in combination with ribociclib, and an additional $50</w:t>
      </w:r>
      <w:r>
        <w:rPr>
          <w:rFonts w:ascii="Times New Roman" w:hAnsi="Times New Roman"/>
          <w:color w:val="000000"/>
          <w:sz w:val="20"/>
        </w:rPr>
        <w:t xml:space="preserve"> </w:t>
      </w:r>
      <w:r>
        <w:rPr>
          <w:rFonts w:ascii="Arial" w:hAnsi="Arial"/>
          <w:color w:val="000000"/>
          <w:sz w:val="20"/>
        </w:rPr>
        <w:t>million which may be made available upon approval of the Bank (the Original Credit Facility, as amended, the "Credit Facility"), and (ii) extend the Original Maturity Date to July 1, 2028. As of March 31, 2025, the Company had not drawn down from the Credit Facility.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obligations under the Loan Agreement are secured by substantially all of the assets of the Company, subject to limited exceptions.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During the term of the Credit Facility, interest will accrue on any outstanding balance due under the Credit Facility at a floating rate per annum equal to the higher of (i) 8.0% and (ii) the prime rate. During an event of default, any outstanding amount under the Credit Facility will bear interest at a rate of 3.0% in excess of the otherwise applicable rate of interest. The Company will pay certain fees with respect to the Credit Facility, including a prepayment fee on any amount advanced under the Credit Facility to the extent paid prior to the Maturity Date, a final payment fee on the amount advanced under the Credit Facility, and an unused commitment fee of 1.5% on the portion of Credit Facility that remains undrawn as of June 30, 2025, as well as certain other fees and expenses of the Bank.</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Loan Agreement contains customary events of default, including, but not limited to, nonpayment of principal, interest, fees or other amounts; material inaccuracy of a representation or warranty; failure to perform or observe covenants; cross-defaults with certain other indebtedness; bankruptcy and insolvency events; material monetary judgment defaults; material adverse change occurs; delisting; and a material impairment in the Bank’s security interest. Upon the occurrence of an event of default (subject, in certain cases, to notice and grace periods), obligations under the Loan Agreement may be accelerated.</w:t>
      </w:r>
    </w:p>
    <w:p>
      <w:pPr>
        <w:pStyle w:val="TextBody"/>
        <w:bidi w:val="0"/>
        <w:spacing w:before="240" w:after="283"/>
        <w:jc w:val="both"/>
        <w:rPr>
          <w:rFonts w:ascii="Arial" w:hAnsi="Arial"/>
          <w:color w:val="000000"/>
          <w:sz w:val="20"/>
        </w:rPr>
      </w:pPr>
      <w:r>
        <w:rPr>
          <w:rFonts w:ascii="Arial" w:hAnsi="Arial"/>
          <w:color w:val="000000"/>
          <w:sz w:val="20"/>
        </w:rPr>
        <w:t>The Loan Agreement also contains a number of customary representations, warranties and covenants that, among other things, limit the ability of the Company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its capital stock; amend certain material documents; redeem or repurchase certain debt; make payments on subordinated debt; and engage in certain transactions with affiliates.</w:t>
      </w:r>
    </w:p>
    <w:p>
      <w:pPr>
        <w:pStyle w:val="TextBody"/>
        <w:bidi w:val="0"/>
        <w:spacing w:before="240" w:after="283"/>
        <w:jc w:val="both"/>
        <w:rPr>
          <w:rFonts w:ascii="Times New Roman" w:hAnsi="Times New Roman"/>
          <w:sz w:val="20"/>
        </w:rPr>
      </w:pPr>
      <w:r>
        <w:rPr>
          <w:rFonts w:ascii="Arial" w:hAnsi="Arial"/>
          <w:i/>
          <w:color w:val="000000"/>
          <w:sz w:val="20"/>
        </w:rPr>
        <w:t>Clinical Collaboration and Supply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July 22, 2020, the Company entered into a non-exclusive clinical collaboration and supply agreement with Novartis Institutes for BioMedical Research, Inc. On January 13, 2022, the Company entered into an amended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and restated clinical collaboration and supply agreement with Novartis, and on October 9, 2023, the Company and Novartis entered into the amendment no. 1 (the "Novartis Amendment") to the amended and restated clinical collaboration and supply agreement (as amended, the "Novartis Agreement"). The collaboration is focused on the evaluation of the safety, tolerability and efficacy of palazestrant in combination with Novartis’ proprietary CDK4/6 inhibitor Kisqali® (ribociclib) and/or Novartis’ proprietary phosphatidylinositol 3-kinase ("PI3Ka") Inhibitor Piqray® (alpelisib) (collectively the "Novartis Study Drugs") as part of the Company’s Phase 1b/2 clinical study of palazestrant in patients with metastatic estrogen receptor-positive breast cancer. The Novartis Amendment, among other things, expanded the Company's clinical collaboration with Novartis, increasing the size of the ongoing Phase 1/2 clinical study testing palazestrant in combination with ribociclib to approximately 60</w:t>
      </w:r>
      <w:r>
        <w:rPr>
          <w:rFonts w:ascii="Times New Roman" w:hAnsi="Times New Roman"/>
          <w:color w:val="000000"/>
          <w:sz w:val="20"/>
        </w:rPr>
        <w:t xml:space="preserve"> </w:t>
      </w:r>
      <w:r>
        <w:rPr>
          <w:rFonts w:ascii="Arial" w:hAnsi="Arial"/>
          <w:color w:val="000000"/>
          <w:sz w:val="20"/>
        </w:rPr>
        <w:t>patients. The Company will be responsible for the conduct of the clinical trials for the combined therapies in accordance with a mutually agreed development plan. As part of the collaboration,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pStyle w:val="TextBody"/>
        <w:bidi w:val="0"/>
        <w:spacing w:before="240" w:after="283"/>
        <w:jc w:val="both"/>
        <w:rPr>
          <w:rFonts w:ascii="Arial" w:hAnsi="Arial"/>
          <w:color w:val="000000"/>
          <w:sz w:val="20"/>
        </w:rPr>
      </w:pPr>
      <w:r>
        <w:rPr>
          <w:rFonts w:ascii="Arial" w:hAnsi="Arial"/>
          <w:color w:val="000000"/>
          <w:sz w:val="20"/>
        </w:rPr>
        <w:t>The Company is responsible for manufacturing, packaging and labeling palazestrant,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pStyle w:val="TextBody"/>
        <w:bidi w:val="0"/>
        <w:spacing w:before="240" w:after="283"/>
        <w:jc w:val="both"/>
        <w:rPr>
          <w:rFonts w:ascii="Arial" w:hAnsi="Arial"/>
          <w:color w:val="000000"/>
          <w:sz w:val="20"/>
        </w:rPr>
      </w:pPr>
      <w:r>
        <w:rPr>
          <w:rFonts w:ascii="Arial" w:hAnsi="Arial"/>
          <w:color w:val="000000"/>
          <w:sz w:val="20"/>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palazestrant. In addition, Novartis may terminate the Novartis Agreement if certain disputes between the parties are not resolved after following the applicable dispute resolution procedures, and the Company may terminate the Novartis Agreement in the event the Company terminates all clinical trials of the combined therapies other than due to a material safety issue or upon a clinical hold.</w:t>
      </w:r>
    </w:p>
    <w:p>
      <w:pPr>
        <w:pStyle w:val="TextBody"/>
        <w:bidi w:val="0"/>
        <w:spacing w:before="240" w:after="283"/>
        <w:jc w:val="both"/>
        <w:rPr>
          <w:rFonts w:ascii="Times New Roman" w:hAnsi="Times New Roman"/>
          <w:sz w:val="20"/>
        </w:rPr>
      </w:pPr>
      <w:r>
        <w:rPr>
          <w:rFonts w:ascii="Arial" w:hAnsi="Arial"/>
          <w:color w:val="000000"/>
          <w:sz w:val="20"/>
        </w:rPr>
        <w:t>Costs associated with research activities performed under the agreement are included in research and development expenses in the accompanying condensed consolidated financial statements, with any reimbursable costs from Novartis reflected as a reduction of such expenses. The Company had previously incurred the full agreed-upon reimbursement amount.</w:t>
      </w:r>
      <w:r>
        <w:rPr>
          <w:rFonts w:ascii="Times New Roman" w:hAnsi="Times New Roman"/>
          <w:color w:val="000000"/>
          <w:sz w:val="20"/>
        </w:rPr>
        <w:t xml:space="preserve"> </w:t>
      </w:r>
    </w:p>
    <w:p>
      <w:pPr>
        <w:pStyle w:val="Heading2"/>
        <w:bidi w:val="0"/>
        <w:spacing w:before="240" w:after="283"/>
        <w:jc w:val="both"/>
        <w:rPr>
          <w:rFonts w:ascii="Arial" w:hAnsi="Arial"/>
          <w:i/>
          <w:color w:val="000000"/>
          <w:sz w:val="20"/>
        </w:rPr>
      </w:pPr>
      <w:r>
        <w:rPr>
          <w:rFonts w:ascii="Arial" w:hAnsi="Arial"/>
          <w:i/>
          <w:color w:val="000000"/>
          <w:sz w:val="20"/>
        </w:rPr>
        <w:t>Clinical Trial Agreement</w:t>
      </w:r>
    </w:p>
    <w:p>
      <w:pPr>
        <w:pStyle w:val="TextBody"/>
        <w:bidi w:val="0"/>
        <w:spacing w:before="240" w:after="283"/>
        <w:jc w:val="both"/>
        <w:rPr>
          <w:rFonts w:ascii="Arial" w:hAnsi="Arial"/>
          <w:color w:val="000000"/>
          <w:sz w:val="20"/>
        </w:rPr>
      </w:pPr>
      <w:r>
        <w:rPr>
          <w:rFonts w:ascii="Arial" w:hAnsi="Arial"/>
          <w:color w:val="000000"/>
          <w:sz w:val="20"/>
        </w:rPr>
        <w:t>In November 2020, the Company entered into a non-exclusive clinical trial agreement with Pfizer Inc. (“Pfizer”) (the “Pfizer Agreement”), to evaluate the safety and tolerability of palazestrant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 As part of the collaboration, the parties granted to each other a non-exclusive, royalty-free license under certain of the parties’ respective patent rights in the combination of IBRANCE®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pStyle w:val="TextBody"/>
        <w:bidi w:val="0"/>
        <w:spacing w:before="240" w:after="283"/>
        <w:jc w:val="both"/>
        <w:rPr>
          <w:rFonts w:ascii="Times New Roman" w:hAnsi="Times New Roman"/>
          <w:sz w:val="20"/>
        </w:rPr>
      </w:pPr>
      <w:r>
        <w:rPr>
          <w:rFonts w:ascii="Arial" w:hAnsi="Arial"/>
          <w:color w:val="000000"/>
          <w:sz w:val="20"/>
        </w:rPr>
        <w:t>The Company is responsible for manufacturing, packaging and labeling palazestrant, and for packaging and labeling all drugs used in the clinical trials for the combined therapies (other than IBRANCE®). Pfizer is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responsible for manufacturing and delivering to us IBRANCE® in such quantities as reasonably needed for the clinical trials for the combined therapies.</w:t>
      </w:r>
    </w:p>
    <w:p>
      <w:pPr>
        <w:pStyle w:val="TextBody"/>
        <w:bidi w:val="0"/>
        <w:spacing w:before="240" w:after="283"/>
        <w:jc w:val="both"/>
        <w:rPr>
          <w:rFonts w:ascii="Arial" w:hAnsi="Arial"/>
          <w:color w:val="000000"/>
          <w:sz w:val="20"/>
        </w:rPr>
      </w:pPr>
      <w:r>
        <w:rPr>
          <w:rFonts w:ascii="Arial" w:hAnsi="Arial"/>
          <w:color w:val="000000"/>
          <w:sz w:val="20"/>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IBRANCE® or palazestrant.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pStyle w:val="TextBody"/>
        <w:bidi w:val="0"/>
        <w:spacing w:before="240" w:after="283"/>
        <w:jc w:val="both"/>
        <w:rPr>
          <w:rFonts w:ascii="Arial" w:hAnsi="Arial"/>
          <w:color w:val="000000"/>
          <w:sz w:val="20"/>
        </w:rPr>
      </w:pPr>
      <w:r>
        <w:rPr>
          <w:rFonts w:ascii="Arial" w:hAnsi="Arial"/>
          <w:color w:val="000000"/>
          <w:sz w:val="20"/>
        </w:rPr>
        <w:t>The Pfizer Agreement does not grant any right of first negotiation to participate in future clinical trials, and each of the parties retains all rights and ability to evaluate their respective compounds. Costs incurred in connection to the Pfizer Agreement are included in the research and development expense in the accompanying condensed consolidated statements of operations and comprehensive loss for the three months ended March 31, 2025, and 2024.</w:t>
      </w:r>
    </w:p>
    <w:p>
      <w:pPr>
        <w:pStyle w:val="TextBody"/>
        <w:bidi w:val="0"/>
        <w:spacing w:before="240" w:after="283"/>
        <w:jc w:val="both"/>
        <w:rPr>
          <w:rFonts w:ascii="Arial" w:hAnsi="Arial"/>
          <w:i/>
          <w:color w:val="000000"/>
          <w:sz w:val="20"/>
        </w:rPr>
      </w:pPr>
      <w:r>
        <w:rPr>
          <w:rFonts w:ascii="Arial" w:hAnsi="Arial"/>
          <w:i/>
          <w:color w:val="000000"/>
          <w:sz w:val="20"/>
        </w:rPr>
        <w:t>License Agreement</w:t>
      </w:r>
    </w:p>
    <w:p>
      <w:pPr>
        <w:pStyle w:val="TextBody"/>
        <w:bidi w:val="0"/>
        <w:spacing w:before="240" w:after="283"/>
        <w:jc w:val="both"/>
        <w:rPr>
          <w:rFonts w:ascii="Arial" w:hAnsi="Arial"/>
          <w:color w:val="000000"/>
          <w:sz w:val="20"/>
        </w:rPr>
      </w:pPr>
      <w:r>
        <w:rPr>
          <w:rFonts w:ascii="Arial" w:hAnsi="Arial"/>
          <w:color w:val="000000"/>
          <w:sz w:val="20"/>
        </w:rPr>
        <w:t>In June 2022, the Company entered into an exclusive global license agreement with Aurigene Discovery Technologies Limited (“Aurigene”) to research, develop and commercialize novel small molecule inhibitors of an undisclosed oncology target (“the Aurigene Agreement”).</w:t>
      </w:r>
    </w:p>
    <w:p>
      <w:pPr>
        <w:pStyle w:val="TextBody"/>
        <w:bidi w:val="0"/>
        <w:spacing w:before="240" w:after="283"/>
        <w:jc w:val="both"/>
        <w:rPr>
          <w:rFonts w:ascii="Times New Roman" w:hAnsi="Times New Roman"/>
          <w:sz w:val="20"/>
        </w:rPr>
      </w:pPr>
      <w:r>
        <w:rPr>
          <w:rFonts w:ascii="Arial" w:hAnsi="Arial"/>
          <w:color w:val="000000"/>
          <w:sz w:val="20"/>
        </w:rPr>
        <w:t>Under the terms of the Aurigene Agreement, Aurigene will provide to the Company an exclusive license to its portfolio of novel small molecule inhibitors of the target. Financial terms of the Aurigene Agreement include a $8.0</w:t>
      </w:r>
      <w:r>
        <w:rPr>
          <w:rFonts w:ascii="Times New Roman" w:hAnsi="Times New Roman"/>
          <w:color w:val="000000"/>
          <w:sz w:val="20"/>
        </w:rPr>
        <w:t xml:space="preserve"> </w:t>
      </w:r>
      <w:r>
        <w:rPr>
          <w:rFonts w:ascii="Arial" w:hAnsi="Arial"/>
          <w:color w:val="000000"/>
          <w:sz w:val="20"/>
        </w:rPr>
        <w:t>million upfront payment for rights to a pre-existing Aurigene program and potential future milestone payments of up to $60.0</w:t>
      </w:r>
      <w:r>
        <w:rPr>
          <w:rFonts w:ascii="Times New Roman" w:hAnsi="Times New Roman"/>
          <w:color w:val="000000"/>
          <w:sz w:val="20"/>
        </w:rPr>
        <w:t xml:space="preserve"> </w:t>
      </w:r>
      <w:r>
        <w:rPr>
          <w:rFonts w:ascii="Arial" w:hAnsi="Arial"/>
          <w:color w:val="000000"/>
          <w:sz w:val="20"/>
        </w:rPr>
        <w:t>million in clinical development and regulatory milestones, and up to $370.0</w:t>
      </w:r>
      <w:r>
        <w:rPr>
          <w:rFonts w:ascii="Times New Roman" w:hAnsi="Times New Roman"/>
          <w:color w:val="000000"/>
          <w:sz w:val="20"/>
        </w:rPr>
        <w:t xml:space="preserve"> </w:t>
      </w:r>
      <w:r>
        <w:rPr>
          <w:rFonts w:ascii="Arial" w:hAnsi="Arial"/>
          <w:color w:val="000000"/>
          <w:sz w:val="20"/>
        </w:rPr>
        <w:t>million in commercial milestones. Aurigene is also eligible to receive mid-single digits to the low double digits royalties as percentages of product sales, if any. During the research term, the Company will contribute funding to Aurigene to facilitate Aurigene’s ongoing discovery efforts. The Company and Aurigene will jointly direct further preclinical work and, if successful, the Company will lead clinical development as well as regulatory and commercial activities. The Company and Aurigene jointly own collaboration compounds and rights to any inventions made during the research term.</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the Company for convenience, in its sole discretion, upon prior written notice to Aurigene, (b) by either the Company or Aurigene in connection with the other party’s uncured material breach or (c) by either the Company or Aurigene in connection with the insolvency of the other party.</w:t>
      </w:r>
    </w:p>
    <w:p>
      <w:pPr>
        <w:pStyle w:val="TextBody"/>
        <w:bidi w:val="0"/>
        <w:spacing w:before="240" w:after="283"/>
        <w:jc w:val="both"/>
        <w:rPr>
          <w:rFonts w:ascii="Times New Roman" w:hAnsi="Times New Roman"/>
          <w:sz w:val="20"/>
        </w:rPr>
      </w:pPr>
      <w:r>
        <w:rPr>
          <w:rFonts w:ascii="Arial" w:hAnsi="Arial"/>
          <w:color w:val="000000"/>
          <w:sz w:val="20"/>
        </w:rPr>
        <w:t>The $8.0</w:t>
      </w:r>
      <w:r>
        <w:rPr>
          <w:rFonts w:ascii="Times New Roman" w:hAnsi="Times New Roman"/>
          <w:color w:val="000000"/>
          <w:sz w:val="20"/>
        </w:rPr>
        <w:t xml:space="preserve"> </w:t>
      </w:r>
      <w:r>
        <w:rPr>
          <w:rFonts w:ascii="Arial" w:hAnsi="Arial"/>
          <w:color w:val="000000"/>
          <w:sz w:val="20"/>
        </w:rPr>
        <w:t>million upfront payment was incurred in June 2022. Costs incurred and milestones payments due to Aurigene prior to regulatory approval are recognized as research and development expenses in the period incurred. Payments due to Aurigene upon or subsequent to regulatory approval will be accrued as a provision to cost of sales in the period when achievement of respective milestone target is probable. The $5.0</w:t>
      </w:r>
      <w:r>
        <w:rPr>
          <w:rFonts w:ascii="Times New Roman" w:hAnsi="Times New Roman"/>
          <w:color w:val="000000"/>
          <w:sz w:val="20"/>
        </w:rPr>
        <w:t xml:space="preserve"> </w:t>
      </w:r>
      <w:r>
        <w:rPr>
          <w:rFonts w:ascii="Arial" w:hAnsi="Arial"/>
          <w:color w:val="000000"/>
          <w:sz w:val="20"/>
        </w:rPr>
        <w:t>million milestone payment related to initiation of the first IND-enabling safety study was incurred and recorded as research and development expenses in the accompanying condensed consolidated statement of operations and comprehensive loss during the three months ended March 31, 2024. There was no</w:t>
      </w:r>
      <w:r>
        <w:rPr>
          <w:rFonts w:ascii="Times New Roman" w:hAnsi="Times New Roman"/>
          <w:color w:val="000000"/>
          <w:sz w:val="20"/>
        </w:rPr>
        <w:t xml:space="preserve"> </w:t>
      </w:r>
      <w:r>
        <w:rPr>
          <w:rFonts w:ascii="Arial" w:hAnsi="Arial"/>
          <w:color w:val="000000"/>
          <w:sz w:val="20"/>
        </w:rPr>
        <w:t>milestone met during the three months ended March 31, 2025. In April 2025, a milestone for $10.0</w:t>
      </w:r>
      <w:r>
        <w:rPr>
          <w:rFonts w:ascii="Times New Roman" w:hAnsi="Times New Roman"/>
          <w:color w:val="000000"/>
          <w:sz w:val="20"/>
        </w:rPr>
        <w:t xml:space="preserve"> </w:t>
      </w:r>
      <w:r>
        <w:rPr>
          <w:rFonts w:ascii="Arial" w:hAnsi="Arial"/>
          <w:color w:val="000000"/>
          <w:sz w:val="20"/>
        </w:rPr>
        <w:t>million payment related to dosing of the fifth patient in the first Phase 1 trial was met.</w:t>
      </w:r>
    </w:p>
    <w:p>
      <w:pPr>
        <w:pStyle w:val="TextBody"/>
        <w:bidi w:val="0"/>
        <w:spacing w:before="240" w:after="283"/>
        <w:jc w:val="both"/>
        <w:rPr>
          <w:rFonts w:ascii="Arial" w:hAnsi="Arial"/>
          <w:i/>
          <w:color w:val="000000"/>
          <w:sz w:val="20"/>
        </w:rPr>
      </w:pPr>
      <w:r>
        <w:rPr>
          <w:rFonts w:ascii="Arial" w:hAnsi="Arial"/>
          <w:i/>
          <w:color w:val="000000"/>
          <w:sz w:val="20"/>
        </w:rPr>
        <w:t>Management Services Agreements</w:t>
      </w:r>
    </w:p>
    <w:p>
      <w:pPr>
        <w:pStyle w:val="TextBody"/>
        <w:bidi w:val="0"/>
        <w:spacing w:before="240" w:after="283"/>
        <w:jc w:val="both"/>
        <w:rPr>
          <w:rFonts w:ascii="Times New Roman" w:hAnsi="Times New Roman"/>
          <w:sz w:val="20"/>
        </w:rPr>
      </w:pPr>
      <w:r>
        <w:rPr>
          <w:rFonts w:ascii="Arial" w:hAnsi="Arial"/>
          <w:color w:val="000000"/>
          <w:sz w:val="20"/>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March 31, 2025, the Company did not have material contractual commitments with respect to these arrangements.</w:t>
      </w:r>
    </w:p>
    <w:p>
      <w:pPr>
        <w:pStyle w:val="TextBody"/>
        <w:bidi w:val="0"/>
        <w:spacing w:before="240" w:after="283"/>
        <w:jc w:val="both"/>
        <w:rPr>
          <w:rFonts w:ascii="Arial" w:hAnsi="Arial"/>
          <w:i/>
          <w:color w:val="000000"/>
          <w:sz w:val="20"/>
        </w:rPr>
      </w:pPr>
      <w:r>
        <w:rPr>
          <w:rFonts w:ascii="Arial" w:hAnsi="Arial"/>
          <w:i/>
          <w:color w:val="000000"/>
          <w:sz w:val="20"/>
        </w:rPr>
        <w:t>Contingencies</w:t>
      </w:r>
    </w:p>
    <w:p>
      <w:pPr>
        <w:pStyle w:val="TextBody"/>
        <w:bidi w:val="0"/>
        <w:spacing w:before="240" w:after="283"/>
        <w:jc w:val="both"/>
        <w:rPr>
          <w:rFonts w:ascii="Arial" w:hAnsi="Arial"/>
          <w:color w:val="000000"/>
          <w:sz w:val="20"/>
        </w:rPr>
      </w:pPr>
      <w:r>
        <w:rPr>
          <w:rFonts w:ascii="Arial" w:hAnsi="Arial"/>
          <w:color w:val="000000"/>
          <w:sz w:val="20"/>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pStyle w:val="TextBody"/>
        <w:bidi w:val="0"/>
        <w:spacing w:before="240" w:after="283"/>
        <w:jc w:val="both"/>
        <w:rPr>
          <w:rFonts w:ascii="Arial" w:hAnsi="Arial"/>
          <w:i/>
          <w:color w:val="000000"/>
          <w:sz w:val="20"/>
        </w:rPr>
      </w:pPr>
      <w:r>
        <w:rPr>
          <w:rFonts w:ascii="Arial" w:hAnsi="Arial"/>
          <w:i/>
          <w:color w:val="000000"/>
          <w:sz w:val="20"/>
        </w:rPr>
        <w:t>Indemnification Agreements</w:t>
      </w:r>
    </w:p>
    <w:p>
      <w:pPr>
        <w:pStyle w:val="TextBody"/>
        <w:bidi w:val="0"/>
        <w:spacing w:before="240" w:after="283"/>
        <w:jc w:val="both"/>
        <w:rPr>
          <w:rFonts w:ascii="Arial" w:hAnsi="Arial"/>
          <w:color w:val="000000"/>
          <w:sz w:val="20"/>
        </w:rPr>
      </w:pPr>
      <w:r>
        <w:rPr>
          <w:rFonts w:ascii="Arial" w:hAnsi="Arial"/>
          <w:color w:val="000000"/>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March 31, 2025, the Company had not incurred any material costs as a result of such indemnifications.</w:t>
      </w:r>
    </w:p>
    <w:p>
      <w:pPr>
        <w:pStyle w:val="TextBody"/>
        <w:bidi w:val="0"/>
        <w:spacing w:before="240" w:after="283"/>
        <w:jc w:val="left"/>
        <w:rPr>
          <w:rFonts w:ascii="Arial" w:hAnsi="Arial"/>
          <w:color w:val="000000"/>
          <w:sz w:val="20"/>
        </w:rPr>
      </w:pPr>
      <w:r>
        <w:rPr>
          <w:rFonts w:ascii="Arial" w:hAnsi="Arial"/>
          <w:color w:val="000000"/>
          <w:sz w:val="20"/>
        </w:rPr>
        <w:t>11.</w:t>
      </w:r>
    </w:p>
    <w:p>
      <w:pPr>
        <w:pStyle w:val="TextBody"/>
        <w:bidi w:val="0"/>
        <w:spacing w:before="240" w:after="283"/>
        <w:jc w:val="left"/>
        <w:rPr>
          <w:rFonts w:ascii="Arial" w:hAnsi="Arial"/>
          <w:color w:val="000000"/>
          <w:sz w:val="20"/>
        </w:rPr>
      </w:pPr>
      <w:r>
        <w:rPr>
          <w:rFonts w:ascii="Arial" w:hAnsi="Arial"/>
          <w:color w:val="000000"/>
          <w:sz w:val="20"/>
        </w:rPr>
        <w:t>Pre-Funded Warrants</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The Company accounts for the pre-funded warrants as a freestanding equity-linked financial instrument that met the criteria for equity classification pursuant to ASC 480 and ASC 815. Accordingly, the Company recorded the pre-funded warrants as a component of stockholders' equity within additional paid-in capital.</w:t>
      </w:r>
      <w:r>
        <w:rPr>
          <w:rFonts w:ascii="Times New Roman" w:hAnsi="Times New Roman"/>
          <w:color w:val="000000"/>
          <w:sz w:val="20"/>
        </w:rPr>
        <w:t xml:space="preserve"> </w:t>
      </w:r>
      <w:r>
        <w:rPr>
          <w:rFonts w:ascii="Arial" w:hAnsi="Arial"/>
          <w:color w:val="000000"/>
          <w:sz w:val="20"/>
        </w:rPr>
        <w:t>The following table summarizes the pre-funded warrants issued as of March 31, 2025:</w:t>
      </w:r>
    </w:p>
    <w:p>
      <w:pPr>
        <w:pStyle w:val="TextBody"/>
        <w:bidi w:val="0"/>
        <w:jc w:val="left"/>
        <w:rPr/>
      </w:pPr>
      <w:r>
        <w:rPr/>
        <w:t> </w:t>
      </w:r>
    </w:p>
    <w:tbl>
      <w:tblPr>
        <w:tblW w:w="9357" w:type="dxa"/>
        <w:jc w:val="left"/>
        <w:tblInd w:w="0" w:type="dxa"/>
        <w:tblLayout w:type="fixed"/>
        <w:tblCellMar>
          <w:top w:w="28" w:type="dxa"/>
          <w:left w:w="28" w:type="dxa"/>
          <w:bottom w:w="28" w:type="dxa"/>
          <w:right w:w="28" w:type="dxa"/>
        </w:tblCellMar>
      </w:tblPr>
      <w:tblGrid>
        <w:gridCol w:w="3316"/>
        <w:gridCol w:w="146"/>
        <w:gridCol w:w="1321"/>
        <w:gridCol w:w="146"/>
        <w:gridCol w:w="280"/>
        <w:gridCol w:w="920"/>
        <w:gridCol w:w="146"/>
        <w:gridCol w:w="146"/>
        <w:gridCol w:w="330"/>
        <w:gridCol w:w="2415"/>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3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0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4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Issued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Warrants Outstanding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2024</w:t>
            </w:r>
            <w:r>
              <w:rPr>
                <w:rFonts w:ascii="Times New Roman" w:hAnsi="Times New Roman"/>
                <w:color w:val="000000"/>
                <w:sz w:val="20"/>
              </w:rPr>
              <w:t> </w:t>
            </w:r>
            <w:r>
              <w:rPr>
                <w:rFonts w:ascii="Arial" w:hAnsi="Arial"/>
                <w:color w:val="000000"/>
                <w:sz w:val="20"/>
              </w:rPr>
              <w:t>(Private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7,604,163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2024</w:t>
            </w:r>
            <w:r>
              <w:rPr>
                <w:rFonts w:ascii="Times New Roman" w:hAnsi="Times New Roman"/>
                <w:color w:val="000000"/>
                <w:sz w:val="20"/>
              </w:rPr>
              <w:t> </w:t>
            </w:r>
            <w:r>
              <w:rPr>
                <w:rFonts w:ascii="Arial" w:hAnsi="Arial"/>
                <w:color w:val="000000"/>
                <w:sz w:val="20"/>
              </w:rPr>
              <w:t>(Warrant Exchange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2025</w:t>
            </w:r>
            <w:r>
              <w:rPr>
                <w:rFonts w:ascii="Times New Roman" w:hAnsi="Times New Roman"/>
                <w:color w:val="000000"/>
                <w:sz w:val="20"/>
              </w:rPr>
              <w:t> </w:t>
            </w:r>
            <w:r>
              <w:rPr>
                <w:rFonts w:ascii="Arial" w:hAnsi="Arial"/>
                <w:color w:val="000000"/>
                <w:sz w:val="20"/>
              </w:rPr>
              <w:t>(Warrant Exchange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6,070,000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17,094,163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1"/>
        <w:bidi w:val="0"/>
        <w:jc w:val="both"/>
        <w:rPr>
          <w:rFonts w:ascii="Arial" w:hAnsi="Arial"/>
          <w:b/>
          <w:color w:val="000000"/>
          <w:sz w:val="20"/>
        </w:rPr>
      </w:pPr>
      <w:bookmarkStart w:id="10" w:name="item2managementsdiscussionandanalysisoff"/>
      <w:bookmarkEnd w:id="10"/>
      <w:r>
        <w:rPr>
          <w:rFonts w:ascii="Arial" w:hAnsi="Arial"/>
          <w:b/>
          <w:color w:val="000000"/>
          <w:sz w:val="20"/>
        </w:rPr>
        <w:t>Item 2. Management’s Discussion and Analysis of Financial Condition and Results of Operations.</w:t>
      </w:r>
    </w:p>
    <w:p>
      <w:pPr>
        <w:pStyle w:val="TextBody"/>
        <w:bidi w:val="0"/>
        <w:spacing w:before="240" w:after="283"/>
        <w:jc w:val="both"/>
        <w:rPr>
          <w:rFonts w:ascii="Arial" w:hAnsi="Arial"/>
          <w:i/>
          <w:color w:val="000000"/>
          <w:sz w:val="20"/>
        </w:rPr>
      </w:pPr>
      <w:r>
        <w:rPr>
          <w:rFonts w:ascii="Arial" w:hAnsi="Arial"/>
          <w:i/>
          <w:color w:val="000000"/>
          <w:sz w:val="20"/>
        </w:rPr>
        <w:t>You should read the following discussion and analysis of our financial condition and results of operations together with the unaudited condensed consolidated financial statements and related notes that are included elsewhere in this Quarterly Report on Form 10</w:t>
        <w:noBreakHyphen/>
        <w:t>Q and the audited financial statements and related notes that are included in our Annual Report on Form 10</w:t>
        <w:noBreakHyphen/>
        <w:t>K for the fiscal year ended December 31, 2024, filed with the U.S. Securities and Exchange Commission, or the SEC, on March 18, 2025, or our Annual Report on Form 10</w:t>
        <w:noBreakHyphen/>
        <w:t>K.</w:t>
      </w:r>
    </w:p>
    <w:p>
      <w:pPr>
        <w:pStyle w:val="TextBody"/>
        <w:bidi w:val="0"/>
        <w:spacing w:before="240" w:after="283"/>
        <w:jc w:val="both"/>
        <w:rPr>
          <w:rFonts w:ascii="Times New Roman" w:hAnsi="Times New Roman"/>
          <w:sz w:val="20"/>
        </w:rPr>
      </w:pPr>
      <w:r>
        <w:rPr>
          <w:rFonts w:ascii="Arial" w:hAnsi="Arial"/>
          <w:i/>
          <w:color w:val="000000"/>
          <w:sz w:val="20"/>
        </w:rPr>
        <w:t>This Quarterly Report on Form 10-Q contains forward-looking statements within the meaning of Section 27A of the Securities Act of 1933, as amended, or the Securities Act, and Section 21E of the Securities Exchange Act of 1934, as amended, or the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In addition, statements that “we believe” and similar statements reflect our beliefs and opinions on the relevant subject, and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Overview</w:t>
      </w:r>
    </w:p>
    <w:p>
      <w:pPr>
        <w:pStyle w:val="TextBody"/>
        <w:bidi w:val="0"/>
        <w:spacing w:before="240" w:after="283"/>
        <w:jc w:val="both"/>
        <w:rPr>
          <w:rFonts w:ascii="Arial" w:hAnsi="Arial"/>
          <w:color w:val="000000"/>
          <w:sz w:val="20"/>
        </w:rPr>
      </w:pPr>
      <w:r>
        <w:rPr>
          <w:rFonts w:ascii="Arial" w:hAnsi="Arial"/>
          <w:color w:val="000000"/>
          <w:sz w:val="20"/>
        </w:rPr>
        <w:t>Olema is a clinical-stage biopharmaceutical company focused on the discovery, development, and commercialization of next generation targeted therapies for breast cancer and beyond. We are advancing our pipeline of novel therapies by leveraging our deep understanding of endocrine-driven cancers, nuclear receptors, and mechanisms of acquired resistance.</w:t>
      </w:r>
    </w:p>
    <w:p>
      <w:pPr>
        <w:pStyle w:val="TextBody"/>
        <w:bidi w:val="0"/>
        <w:spacing w:before="240" w:after="283"/>
        <w:jc w:val="both"/>
        <w:rPr>
          <w:rFonts w:ascii="Arial" w:hAnsi="Arial"/>
          <w:color w:val="000000"/>
          <w:sz w:val="20"/>
        </w:rPr>
      </w:pPr>
      <w:r>
        <w:rPr>
          <w:rFonts w:ascii="Arial" w:hAnsi="Arial"/>
          <w:color w:val="000000"/>
          <w:sz w:val="20"/>
        </w:rPr>
        <w:t>Our lead product candidate, palazestrant (OP-1250), is a novel, orally-available small molecule with dual activity as both a complete estrogen receptor (ER) antagonist (CERAN) and selective ER degrader (SERD), currently being investigated in patients with recurrent, locally advanced or metastatic ER positive (ER+), human epidermal growth factor receptor 2 negative (HER2-) breast cancer. In non-clinical models, palazestrant binds and completely blocks ER-driven transcriptional activity in both wild-type and mutant forms of metastatic ER+ breast cancer. In clinical studies across more than 400 patients, palazestrant has demonstrated strong anti-tumor activity, attractive pharmacokinetics and prolonged drug exposure, favorable tolerability, and combinability with CDK4/6 inhibitors with no significant drug-drug interaction. Based on the clinical results we have achieved to date, we are advancing palazestrant through late-stage clinical development both as a monotherapy and in combination with other targeted agents.</w:t>
      </w:r>
    </w:p>
    <w:p>
      <w:pPr>
        <w:pStyle w:val="TextBody"/>
        <w:bidi w:val="0"/>
        <w:spacing w:before="240" w:after="283"/>
        <w:jc w:val="both"/>
        <w:rPr>
          <w:rFonts w:ascii="Arial" w:hAnsi="Arial"/>
          <w:color w:val="000000"/>
          <w:sz w:val="20"/>
        </w:rPr>
      </w:pPr>
      <w:r>
        <w:rPr>
          <w:rFonts w:ascii="Arial" w:hAnsi="Arial"/>
          <w:color w:val="000000"/>
          <w:sz w:val="20"/>
        </w:rPr>
        <w:t>Our pivotal Phase 3 clinical trial of palazestrant as a monotherapy in second/third-line ER+/HER2- metastatic breast cancer, OPERA-01, is ongoing, and we anticipate top-line results in 2026.</w:t>
      </w:r>
    </w:p>
    <w:p>
      <w:pPr>
        <w:pStyle w:val="TextBody"/>
        <w:bidi w:val="0"/>
        <w:spacing w:before="240" w:after="283"/>
        <w:jc w:val="both"/>
        <w:rPr>
          <w:rFonts w:ascii="Times New Roman" w:hAnsi="Times New Roman"/>
          <w:sz w:val="20"/>
        </w:rPr>
      </w:pPr>
      <w:r>
        <w:rPr>
          <w:rFonts w:ascii="Arial" w:hAnsi="Arial"/>
          <w:color w:val="000000"/>
          <w:sz w:val="20"/>
        </w:rPr>
        <w:t>In combination, we are investigating palazestrant in multiple Phase 1/2 studies with CDK4/6 inhibitors (palbociclib or ribociclib), a phosphatidylinositol-3-kinase alpha (PI3Ka) inhibitor (alpelisib), and with an mTOR inhibitor (everolimus). In March 2024, we increased the size of the ongoing Phase 1/2 clinical study of palazestrant in combination with ribociclib by an additional 15 patients to explore 90 mg of palazestrant in combination with 600 mg of ribociclib. We also initiated our Phase 1b/2 clinical study of palazestrant 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combination with everolimus in the third quarter of 2024. Further, in October 2024, we presented new non-clinical data at the EORTC-NCI-AACR Symposium on Molecular Targets and Cancer Therapeutics (ENA) showing that the combination of palazestrant with both everolimus and capivasertib may be synergistic and have the potential to result in significant tumor regression.</w:t>
      </w:r>
    </w:p>
    <w:p>
      <w:pPr>
        <w:pStyle w:val="TextBody"/>
        <w:bidi w:val="0"/>
        <w:spacing w:before="240" w:after="283"/>
        <w:jc w:val="both"/>
        <w:rPr>
          <w:rFonts w:ascii="Arial" w:hAnsi="Arial"/>
          <w:color w:val="000000"/>
          <w:sz w:val="20"/>
        </w:rPr>
      </w:pPr>
      <w:r>
        <w:rPr>
          <w:rFonts w:ascii="Arial" w:hAnsi="Arial"/>
          <w:color w:val="000000"/>
          <w:sz w:val="20"/>
        </w:rPr>
        <w:t>We also presented updated results from the ongoing Phase 1b/2 clinical trial of palazestrant in combination with ribociclib in patients with ER+/HER2- advanced or metastatic breast cancer at the San Antonio Breast Cancer Symposium in December 2024. In March 2025, we disclosed updated median progression-free survival (mPFS) from this study at the TD Cowen 45th Annual Health Care Conference. As of a data cutoff date of February 18, 2025, the mPFS was 13.8 months in 56 patients treated with 120 mg of palazestrant and 600 mg of ribociclib daily. 40 of the 56 patients had received prior treatment of a CDK4/6i plus an ET; the mPFS in this population was 13.1 months. We believe these data further support our thesis that palazestrant possesses key characteristics to make it a potential backbone endocrine therapy of preference for ER+/HER2- breast cancer, while also providing the potential basis for a new pivotal Phase 3 clinical trial of palazestrant in combination with ribociclib in front-line ER+/HER2- metastatic breast cancer, called OPERA-02. The execution of OPERA-02 will be supported by our new clinical trial collaboration and supply agreement with Novartis Pharma AG (collectively, with affiliated entities, Novartis), which was announced in November 2024 (Novartis Pharma Agreement). Under the terms of the Novartis Pharma Agreement, Novartis will provide Olema with ribociclib drug supply for OPERA-02, which we expect to initiate in 2025.</w:t>
      </w:r>
    </w:p>
    <w:p>
      <w:pPr>
        <w:pStyle w:val="TextBody"/>
        <w:bidi w:val="0"/>
        <w:spacing w:before="240" w:after="283"/>
        <w:jc w:val="both"/>
        <w:rPr>
          <w:rFonts w:ascii="Arial" w:hAnsi="Arial"/>
          <w:color w:val="000000"/>
          <w:sz w:val="20"/>
        </w:rPr>
      </w:pPr>
      <w:r>
        <w:rPr>
          <w:rFonts w:ascii="Arial" w:hAnsi="Arial"/>
          <w:color w:val="000000"/>
          <w:sz w:val="20"/>
        </w:rPr>
        <w:t>Our second product candidate in clinical development, called OP-3136, is a novel, orally-available small molecule that potently and selectively inhibits KAT6, an epigenetic target that is dysregulated in breast and other cancers. In October 2024, we presented new preclinical data at ENA demonstrating OP-3136's robust anti-tumor activity as a single agent, as well as potential synergy and enhanced anti-tumor activity in combination with palazestrant. The IND application for OP-3136 was cleared by the U.S. Food and Drug Administration (FDA) in late 2024 and the Phase 1 clinical trial is now enrolling patients. In April 2025, we presented new preclinical data at the AACR Annual Meeting demonstrating the anti-tumor activity of OP-3136 in prostate, ovarian, and non-small cell lung cancer models.</w:t>
      </w:r>
    </w:p>
    <w:p>
      <w:pPr>
        <w:pStyle w:val="TextBody"/>
        <w:bidi w:val="0"/>
        <w:spacing w:before="240" w:after="240"/>
        <w:jc w:val="both"/>
        <w:rPr>
          <w:rFonts w:ascii="Arial" w:hAnsi="Arial"/>
          <w:color w:val="000000"/>
          <w:sz w:val="20"/>
        </w:rPr>
      </w:pPr>
      <w:r>
        <w:rPr>
          <w:rFonts w:ascii="Arial" w:hAnsi="Arial"/>
          <w:color w:val="000000"/>
          <w:sz w:val="20"/>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pStyle w:val="TextBody"/>
        <w:bidi w:val="0"/>
        <w:jc w:val="both"/>
        <w:rPr>
          <w:rFonts w:ascii="Arial" w:hAnsi="Arial"/>
          <w:color w:val="000000"/>
          <w:sz w:val="20"/>
        </w:rPr>
      </w:pPr>
      <w:r>
        <w:rPr>
          <w:rFonts w:ascii="Arial" w:hAnsi="Arial"/>
          <w:color w:val="000000"/>
          <w:sz w:val="20"/>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pStyle w:val="TextBody"/>
        <w:bidi w:val="0"/>
        <w:spacing w:before="240" w:after="283"/>
        <w:jc w:val="both"/>
        <w:rPr>
          <w:rFonts w:ascii="Times New Roman" w:hAnsi="Times New Roman"/>
          <w:sz w:val="20"/>
        </w:rPr>
      </w:pPr>
      <w:r>
        <w:rPr>
          <w:rFonts w:ascii="Arial" w:hAnsi="Arial"/>
          <w:color w:val="000000"/>
          <w:sz w:val="20"/>
        </w:rPr>
        <w:t>We have incurred significant operating losses since the commencement of our operations. Our net losses were $30.4 million and $31.0 million for the three months ended March 31, 2025 and 2024, respectively. We expect to incur significant and increasing losses for the foreseeable future as we continue to advance our product candidates, make potential milestone payments to our licensors, and as we continue to operate as a public company. Our net losses may fluctuate significantly from period to period, depending on the timing of expenditures on our research and development activities. As of March 31, 2025, we had an accumulated deficit of $465.5 million. Our primary use of cash is to fund operating expenses, which consist primarily of research and development expenditures and general and administrative expenditures. Cash used to fund operating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expenses is impacted by the timing of when we pay these expenses, as reflected in the change in our outstanding accounts payable and other current liabilities.</w:t>
      </w:r>
    </w:p>
    <w:p>
      <w:pPr>
        <w:pStyle w:val="TextBody"/>
        <w:bidi w:val="0"/>
        <w:spacing w:before="240" w:after="283"/>
        <w:jc w:val="both"/>
        <w:rPr>
          <w:rFonts w:ascii="Arial" w:hAnsi="Arial"/>
          <w:color w:val="000000"/>
          <w:sz w:val="20"/>
        </w:rPr>
      </w:pPr>
      <w:r>
        <w:rPr>
          <w:rFonts w:ascii="Arial" w:hAnsi="Arial"/>
          <w:color w:val="000000"/>
          <w:sz w:val="20"/>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continue our ongoing and planned research and development of our lead product candidate, palazestrant, for the treatment of ER+/HER2- breast cancer;</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enroll patients in the Phase 1 clinical trial for OP-3136 and any additional product candidates that we may pursue in the future;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seek to discover and develop additional product candidates and further expand our clinical product pipeline;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seek regulatory approvals for any product candidates that successfully complete clinical trials;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continue to scale up external manufacturing capacity with the aim of securing sufficient quantities to meet our capacity requirements for clinical trials and potential commercialization;</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establish a sales, marketing and distribution infrastructure to commercialize any approved product candidates and related additional commercial manufacturing costs;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develop, maintain, expand, protect and enforce our intellectual property portfolio, including patents, trade secrets and know how;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acquire or in-license other product candidates and technologies;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attract, hire and retain additional clinical, scientific, quality control, and manufacturing management and administrative personnel;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add clinical, operational, financial and management information systems and personnel, including personnel to support our product development and planned future commercialization efforts;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expand our operations in the United States and to other geographies; and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incur additional legal, accounting, investor relations and other expenses associated with operating as a public company.</w:t>
      </w:r>
    </w:p>
    <w:p>
      <w:pPr>
        <w:pStyle w:val="TextBody"/>
        <w:bidi w:val="0"/>
        <w:spacing w:before="240" w:after="283"/>
        <w:jc w:val="both"/>
        <w:rPr>
          <w:rFonts w:ascii="Arial" w:hAnsi="Arial"/>
          <w:color w:val="000000"/>
          <w:sz w:val="20"/>
        </w:rPr>
      </w:pPr>
      <w:r>
        <w:rPr>
          <w:rFonts w:ascii="Arial" w:hAnsi="Arial"/>
          <w:color w:val="000000"/>
          <w:sz w:val="20"/>
        </w:rPr>
        <w:t>Our net losses may fluctuate significantly from quarter-to-quarter and year-to-year, depending on the timing of our clinical trials, potential milestone payments to our licensors, and our expenditures on other research and development activities.</w:t>
      </w:r>
    </w:p>
    <w:p>
      <w:pPr>
        <w:pStyle w:val="TextBody"/>
        <w:bidi w:val="0"/>
        <w:spacing w:before="240" w:after="283"/>
        <w:jc w:val="both"/>
        <w:rPr>
          <w:rFonts w:ascii="Times New Roman" w:hAnsi="Times New Roman"/>
          <w:sz w:val="20"/>
        </w:rPr>
      </w:pPr>
      <w:r>
        <w:rPr>
          <w:rFonts w:ascii="Arial" w:hAnsi="Arial"/>
          <w:color w:val="000000"/>
          <w:sz w:val="20"/>
        </w:rPr>
        <w:t>We will require substantial additional funding to develop our product candidates and support our continuing operations beyond our current operating plans.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volatility in, the credit and financial markets in the United States and worldwide resulting from geopolitical and macroeconomic conditions.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pStyle w:val="TextBody"/>
        <w:bidi w:val="0"/>
        <w:spacing w:before="240" w:after="283"/>
        <w:jc w:val="both"/>
        <w:rPr>
          <w:rFonts w:ascii="Arial" w:hAnsi="Arial"/>
          <w:color w:val="000000"/>
          <w:sz w:val="20"/>
        </w:rPr>
      </w:pPr>
      <w:r>
        <w:rPr>
          <w:rFonts w:ascii="Arial" w:hAnsi="Arial"/>
          <w:color w:val="000000"/>
          <w:sz w:val="20"/>
        </w:rPr>
        <w:t>Global economic and business activities continue to face widespread uncertainty due to the geopolitical and macroeconomic environment, generally, including economic uncertainty, market volatility, labor shortages, recent and changing tariff policy announcements, tariffs, trade tensions and retaliatory measures by other countries, supply chain disruptions, the ongoing conflicts between Ukraine and Russia and in the Middle East, as well as any related political or economic responses and counter-responses or otherwise by various global actors, inflationary pressures, monetary supply shifts, increased recession risk, and related financial instability. The extent of the impact of these factors on our operational and financial performance, including our ability to execute our business strategies and initiatives in the expected time frame, will depend on future developments, which are uncertain and cannot be predicted. Any continued or renewed disruption resulting from these factors could negatively impact our business. We continue to monitor the impact of these geopolitical and macroeconomic factors on our results of operations, financial condition and cash flows.</w:t>
      </w:r>
    </w:p>
    <w:p>
      <w:pPr>
        <w:pStyle w:val="TextBody"/>
        <w:bidi w:val="0"/>
        <w:spacing w:before="240" w:after="283"/>
        <w:jc w:val="both"/>
        <w:rPr>
          <w:rFonts w:ascii="Arial" w:hAnsi="Arial"/>
          <w:b/>
          <w:color w:val="000000"/>
          <w:sz w:val="20"/>
        </w:rPr>
      </w:pPr>
      <w:r>
        <w:rPr>
          <w:rFonts w:ascii="Arial" w:hAnsi="Arial"/>
          <w:b/>
          <w:color w:val="000000"/>
          <w:sz w:val="20"/>
        </w:rPr>
        <w:t>Components of our results of operations</w:t>
      </w:r>
    </w:p>
    <w:p>
      <w:pPr>
        <w:pStyle w:val="TextBody"/>
        <w:bidi w:val="0"/>
        <w:spacing w:before="240" w:after="283"/>
        <w:jc w:val="both"/>
        <w:rPr>
          <w:rFonts w:ascii="Arial" w:hAnsi="Arial"/>
          <w:b/>
          <w:i/>
          <w:color w:val="000000"/>
          <w:sz w:val="20"/>
        </w:rPr>
      </w:pPr>
      <w:r>
        <w:rPr>
          <w:rFonts w:ascii="Arial" w:hAnsi="Arial"/>
          <w:b/>
          <w:i/>
          <w:color w:val="000000"/>
          <w:sz w:val="20"/>
        </w:rPr>
        <w:t>Revenue</w:t>
      </w:r>
    </w:p>
    <w:p>
      <w:pPr>
        <w:pStyle w:val="TextBody"/>
        <w:bidi w:val="0"/>
        <w:spacing w:before="240" w:after="283"/>
        <w:jc w:val="both"/>
        <w:rPr>
          <w:rFonts w:ascii="Arial" w:hAnsi="Arial"/>
          <w:color w:val="000000"/>
          <w:sz w:val="20"/>
        </w:rPr>
      </w:pPr>
      <w:r>
        <w:rPr>
          <w:rFonts w:ascii="Arial" w:hAnsi="Arial"/>
          <w:color w:val="000000"/>
          <w:sz w:val="20"/>
        </w:rPr>
        <w:t>To date, we have not generated any revenue from product sales and do not expect to generate any revenue from the sale of products for the foreseeable future.</w:t>
      </w:r>
    </w:p>
    <w:p>
      <w:pPr>
        <w:pStyle w:val="TextBody"/>
        <w:bidi w:val="0"/>
        <w:spacing w:before="240" w:after="283"/>
        <w:jc w:val="both"/>
        <w:rPr>
          <w:rFonts w:ascii="Arial" w:hAnsi="Arial"/>
          <w:b/>
          <w:i/>
          <w:color w:val="000000"/>
          <w:sz w:val="20"/>
        </w:rPr>
      </w:pPr>
      <w:r>
        <w:rPr>
          <w:rFonts w:ascii="Arial" w:hAnsi="Arial"/>
          <w:b/>
          <w:i/>
          <w:color w:val="000000"/>
          <w:sz w:val="20"/>
        </w:rPr>
        <w:t>Operating expenses</w:t>
      </w:r>
    </w:p>
    <w:p>
      <w:pPr>
        <w:pStyle w:val="Heading2"/>
        <w:bidi w:val="0"/>
        <w:spacing w:before="240" w:after="283"/>
        <w:jc w:val="both"/>
        <w:rPr>
          <w:rFonts w:ascii="Arial" w:hAnsi="Arial"/>
          <w:i/>
          <w:color w:val="000000"/>
          <w:sz w:val="20"/>
        </w:rPr>
      </w:pPr>
      <w:r>
        <w:rPr>
          <w:rFonts w:ascii="Arial" w:hAnsi="Arial"/>
          <w:i/>
          <w:color w:val="000000"/>
          <w:sz w:val="20"/>
        </w:rPr>
        <w:t>Research and development</w:t>
      </w:r>
    </w:p>
    <w:p>
      <w:pPr>
        <w:pStyle w:val="TextBody"/>
        <w:bidi w:val="0"/>
        <w:spacing w:before="240" w:after="283"/>
        <w:jc w:val="both"/>
        <w:rPr>
          <w:rFonts w:ascii="Arial" w:hAnsi="Arial"/>
          <w:color w:val="000000"/>
          <w:sz w:val="20"/>
        </w:rPr>
      </w:pPr>
      <w:r>
        <w:rPr>
          <w:rFonts w:ascii="Arial" w:hAnsi="Arial"/>
          <w:color w:val="000000"/>
          <w:sz w:val="20"/>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lead product candidate, palazestrant, as well as OP-3136. Research and development expenses are recognized as incurred and payments made prior to the receipt of goods or services to be used in research and development are capitalized until the goods or services are received.</w:t>
      </w:r>
    </w:p>
    <w:p>
      <w:pPr>
        <w:pStyle w:val="TextBody"/>
        <w:bidi w:val="0"/>
        <w:spacing w:before="240" w:after="283"/>
        <w:jc w:val="both"/>
        <w:rPr>
          <w:rFonts w:ascii="Arial" w:hAnsi="Arial"/>
          <w:color w:val="000000"/>
          <w:sz w:val="20"/>
        </w:rPr>
      </w:pPr>
      <w:r>
        <w:rPr>
          <w:rFonts w:ascii="Arial" w:hAnsi="Arial"/>
          <w:color w:val="000000"/>
          <w:sz w:val="20"/>
        </w:rPr>
        <w:t>External expenses include: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expenses incurred in connection with the discovery and non-clinical development of our product candidates, including under agreements with third parties, such as consultants and contract research organizations (CROs);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costs of manufacturing products for use in our non-clinical studies and clinical trials, including payments to contract manufacturing organizations (CMOs), and consultants;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costs of funding research performed by third parties;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costs of purchasing lab supplies and non-capital equipment used in designing, developing and manufacturing non-clinical study and clinical trial materials;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costs associated with consultants for chemistry, manufacturing and controls development, regulatory, statistics and other services;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expenses related to regulatory activities, including filing fees paid to regulatory agencies; and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facility costs including rent, depreciation and maintenance expenses.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Internal expenses include employee and personnel-related costs and expenses, including salaries, benefits and stock-based compensation expense for employees and personnel engaged in research and development functions.</w:t>
      </w:r>
    </w:p>
    <w:p>
      <w:pPr>
        <w:pStyle w:val="TextBody"/>
        <w:bidi w:val="0"/>
        <w:spacing w:before="240" w:after="283"/>
        <w:jc w:val="both"/>
        <w:rPr>
          <w:rFonts w:ascii="Arial" w:hAnsi="Arial"/>
          <w:color w:val="000000"/>
          <w:sz w:val="20"/>
        </w:rPr>
      </w:pPr>
      <w:r>
        <w:rPr>
          <w:rFonts w:ascii="Arial" w:hAnsi="Arial"/>
          <w:color w:val="000000"/>
          <w:sz w:val="20"/>
        </w:rPr>
        <w:t>We expense research and development expenses in the periods in which they are incurred. Costs for certain activities, such as manufacturing and non-clinical studies and clinical trials, are generally recognized based on an evaluation of the progress to completion of specific tasks using information and data provided to us by our vendors and collaborators.</w:t>
      </w:r>
    </w:p>
    <w:p>
      <w:pPr>
        <w:pStyle w:val="TextBody"/>
        <w:bidi w:val="0"/>
        <w:spacing w:before="240" w:after="283"/>
        <w:jc w:val="both"/>
        <w:rPr>
          <w:rFonts w:ascii="Arial" w:hAnsi="Arial"/>
          <w:color w:val="000000"/>
          <w:sz w:val="20"/>
        </w:rPr>
      </w:pPr>
      <w:r>
        <w:rPr>
          <w:rFonts w:ascii="Arial" w:hAnsi="Arial"/>
          <w:color w:val="000000"/>
          <w:sz w:val="20"/>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pStyle w:val="TextBody"/>
        <w:bidi w:val="0"/>
        <w:spacing w:before="240" w:after="283"/>
        <w:jc w:val="both"/>
        <w:rPr>
          <w:rFonts w:ascii="Arial" w:hAnsi="Arial"/>
          <w:color w:val="000000"/>
          <w:sz w:val="20"/>
        </w:rPr>
      </w:pPr>
      <w:r>
        <w:rPr>
          <w:rFonts w:ascii="Arial" w:hAnsi="Arial"/>
          <w:color w:val="000000"/>
          <w:sz w:val="20"/>
        </w:rPr>
        <w:t>While our research and development expenses may fluctuate from period to period, we generally expect our research and development expenses to increase substantially in absolute dollars for the foreseeable future as we advance palazestrant, OP-3136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palazestrant, OP-3136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palazestrant, OP-3136 or any other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palazestrant, OP-3136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 non-clinical studies and clinical trials and development of our product candidates will depend on a variety of factors, including:</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timing and progress of non-clinical and clinical development activities;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number and scope of non-clinical and clinical programs we decide to pursue;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our ability to maintain our current research and development programs and to establish new ones;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establishing an appropriate safety profile with investigational new drug-enabling toxicology studies;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successful patient enrollment in, and the initiation and completion of, clinical trials;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successful completion of clinical trials with safety, tolerability and efficacy profiles that are satisfactory to the FDA or any comparable foreign regulatory authority;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establishing commercial manufacturing capabilities or making arrangements with third-party manufacturers;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receipt of regulatory approvals from applicable regulatory authorities;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timing, receipt and terms of any marketing approvals from applicable regulatory authorities;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our ability to establish licensing or collaboration arrangements;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performance of our future collaborators, if any;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development and timely delivery of commercial-grade product formulations that can be used in our planned clinical trials and for commercial launch;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commercializing the product candidates, if approved, whether alone or in collaboration with others;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obtaining and maintaining patent and trade secret protection and regulatory exclusivity for our product candidates;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obtaining, maintaining, defending and enforcing patent claims and other intellectual property rights;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maintaining continued acceptable safety profiles of our products following approval; and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obtaining and retaining key research and development personnel.</w:t>
      </w:r>
    </w:p>
    <w:p>
      <w:pPr>
        <w:pStyle w:val="TextBody"/>
        <w:bidi w:val="0"/>
        <w:spacing w:before="240" w:after="283"/>
        <w:jc w:val="both"/>
        <w:rPr>
          <w:rFonts w:ascii="Arial" w:hAnsi="Arial"/>
          <w:color w:val="000000"/>
          <w:sz w:val="20"/>
        </w:rPr>
      </w:pPr>
      <w:r>
        <w:rPr>
          <w:rFonts w:ascii="Arial" w:hAnsi="Arial"/>
          <w:color w:val="000000"/>
          <w:sz w:val="20"/>
        </w:rPr>
        <w:t>Any changes in the outcome of any of these factors could significantly impact the costs, timing and viability associated with the development of our product candidates.</w:t>
      </w:r>
    </w:p>
    <w:p>
      <w:pPr>
        <w:pStyle w:val="Heading2"/>
        <w:bidi w:val="0"/>
        <w:spacing w:before="240" w:after="283"/>
        <w:jc w:val="both"/>
        <w:rPr>
          <w:rFonts w:ascii="Arial" w:hAnsi="Arial"/>
          <w:i/>
          <w:color w:val="000000"/>
          <w:sz w:val="20"/>
        </w:rPr>
      </w:pPr>
      <w:r>
        <w:rPr>
          <w:rFonts w:ascii="Arial" w:hAnsi="Arial"/>
          <w:i/>
          <w:color w:val="000000"/>
          <w:sz w:val="20"/>
        </w:rPr>
        <w:t>General and administrative</w:t>
      </w:r>
    </w:p>
    <w:p>
      <w:pPr>
        <w:pStyle w:val="TextBody"/>
        <w:bidi w:val="0"/>
        <w:spacing w:before="240" w:after="283"/>
        <w:jc w:val="both"/>
        <w:rPr>
          <w:rFonts w:ascii="Arial" w:hAnsi="Arial"/>
          <w:color w:val="000000"/>
          <w:sz w:val="20"/>
        </w:rPr>
      </w:pPr>
      <w:r>
        <w:rPr>
          <w:rFonts w:ascii="Arial" w:hAnsi="Arial"/>
          <w:color w:val="000000"/>
          <w:sz w:val="20"/>
        </w:rPr>
        <w:t>General and administrative expenses consist primarily of personnel expenses, including salaries, benefits and stock-based compensation expense, for personnel in executive, finance, accounting, business development, legal, human resources, information technology (IT),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pStyle w:val="TextBody"/>
        <w:bidi w:val="0"/>
        <w:spacing w:before="240" w:after="283"/>
        <w:jc w:val="both"/>
        <w:rPr>
          <w:rFonts w:ascii="Arial" w:hAnsi="Arial"/>
          <w:color w:val="000000"/>
          <w:sz w:val="20"/>
        </w:rPr>
      </w:pPr>
      <w:r>
        <w:rPr>
          <w:rFonts w:ascii="Arial" w:hAnsi="Arial"/>
          <w:color w:val="000000"/>
          <w:sz w:val="20"/>
        </w:rPr>
        <w:t>While our general and administrative expenses may fluctuate from period to period, we generally expect that our general and administrative expenses will increase in the foreseeable future as we increase our headcount to support the continued research and development of our programs and the growth of our business. We also anticipate incurring additional expenses associated with operating as a public company, including increased expenses related to the building and improving of our IT infrastructure, including cyber security monitoring, legal, other regulatory and compliance, director and officer insurance, investor and public relations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pStyle w:val="TextBody"/>
        <w:bidi w:val="0"/>
        <w:spacing w:before="240" w:after="283"/>
        <w:jc w:val="both"/>
        <w:rPr>
          <w:rFonts w:ascii="Arial" w:hAnsi="Arial"/>
          <w:b/>
          <w:i/>
          <w:color w:val="000000"/>
          <w:sz w:val="20"/>
        </w:rPr>
      </w:pPr>
      <w:r>
        <w:rPr>
          <w:rFonts w:ascii="Arial" w:hAnsi="Arial"/>
          <w:b/>
          <w:i/>
          <w:color w:val="000000"/>
          <w:sz w:val="20"/>
        </w:rPr>
        <w:t>Total other income</w:t>
      </w:r>
    </w:p>
    <w:p>
      <w:pPr>
        <w:pStyle w:val="TextBody"/>
        <w:bidi w:val="0"/>
        <w:spacing w:before="240" w:after="283"/>
        <w:jc w:val="both"/>
        <w:rPr>
          <w:rFonts w:ascii="Arial" w:hAnsi="Arial"/>
          <w:color w:val="000000"/>
          <w:sz w:val="20"/>
        </w:rPr>
      </w:pPr>
      <w:r>
        <w:rPr>
          <w:rFonts w:ascii="Arial" w:hAnsi="Arial"/>
          <w:color w:val="000000"/>
          <w:sz w:val="20"/>
        </w:rPr>
        <w:t>Total other income consists of interest income and other income. Interest income primarily consists of interest income on our cash equivalents and marketable securities. Other income primarily consists of unrealized foreign currency remeasurement gain (loss) and miscellaneous income (expense) not related to operating activities.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Results of operations</w:t>
      </w:r>
    </w:p>
    <w:p>
      <w:pPr>
        <w:pStyle w:val="Heading2"/>
        <w:bidi w:val="0"/>
        <w:spacing w:before="240" w:after="283"/>
        <w:jc w:val="both"/>
        <w:rPr>
          <w:rFonts w:ascii="Arial" w:hAnsi="Arial"/>
          <w:b/>
          <w:i/>
          <w:color w:val="000000"/>
          <w:sz w:val="20"/>
        </w:rPr>
      </w:pPr>
      <w:r>
        <w:rPr>
          <w:rFonts w:ascii="Arial" w:hAnsi="Arial"/>
          <w:b/>
          <w:i/>
          <w:color w:val="000000"/>
          <w:sz w:val="20"/>
        </w:rPr>
        <w:t>Comparison of the three months ended March 31, 2025 and 2024</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results of operations for the three months ended March 31, 2025 and 2024:</w:t>
      </w:r>
    </w:p>
    <w:tbl>
      <w:tblPr>
        <w:tblW w:w="7258" w:type="dxa"/>
        <w:jc w:val="left"/>
        <w:tblInd w:w="0" w:type="dxa"/>
        <w:tblLayout w:type="fixed"/>
        <w:tblCellMar>
          <w:top w:w="28" w:type="dxa"/>
          <w:left w:w="28" w:type="dxa"/>
          <w:bottom w:w="28" w:type="dxa"/>
          <w:right w:w="28" w:type="dxa"/>
        </w:tblCellMar>
      </w:tblPr>
      <w:tblGrid>
        <w:gridCol w:w="2631"/>
        <w:gridCol w:w="146"/>
        <w:gridCol w:w="211"/>
        <w:gridCol w:w="160"/>
        <w:gridCol w:w="826"/>
        <w:gridCol w:w="182"/>
        <w:gridCol w:w="160"/>
        <w:gridCol w:w="232"/>
        <w:gridCol w:w="160"/>
        <w:gridCol w:w="826"/>
        <w:gridCol w:w="166"/>
        <w:gridCol w:w="211"/>
        <w:gridCol w:w="170"/>
        <w:gridCol w:w="686"/>
        <w:gridCol w:w="4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46"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5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9"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30,624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4,249</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34,873</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(34,873</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4,524</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4,484</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(30,389</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24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research and development expenses by functional area for the three months ended March 31, 2025 and 2024:</w:t>
      </w:r>
    </w:p>
    <w:tbl>
      <w:tblPr>
        <w:tblW w:w="10205" w:type="dxa"/>
        <w:jc w:val="left"/>
        <w:tblInd w:w="0" w:type="dxa"/>
        <w:tblLayout w:type="fixed"/>
        <w:tblCellMar>
          <w:top w:w="28" w:type="dxa"/>
          <w:left w:w="28" w:type="dxa"/>
          <w:bottom w:w="28" w:type="dxa"/>
          <w:right w:w="28" w:type="dxa"/>
        </w:tblCellMar>
      </w:tblPr>
      <w:tblGrid>
        <w:gridCol w:w="5951"/>
        <w:gridCol w:w="146"/>
        <w:gridCol w:w="211"/>
        <w:gridCol w:w="165"/>
        <w:gridCol w:w="784"/>
        <w:gridCol w:w="165"/>
        <w:gridCol w:w="165"/>
        <w:gridCol w:w="239"/>
        <w:gridCol w:w="165"/>
        <w:gridCol w:w="784"/>
        <w:gridCol w:w="146"/>
        <w:gridCol w:w="211"/>
        <w:gridCol w:w="157"/>
        <w:gridCol w:w="699"/>
        <w:gridCol w:w="217"/>
      </w:tblGrid>
      <w:tr>
        <w:trPr/>
        <w:tc>
          <w:tcPr>
            <w:tcW w:w="5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9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67"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5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0"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CROs, CMOs and other clinical development related third-party vendor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12,748</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Compensation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8,409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6,166</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Milestone payment owed to Aurigene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9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30,624</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741</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Arial" w:hAnsi="Arial"/>
          <w:color w:val="000000"/>
          <w:sz w:val="20"/>
        </w:rPr>
        <w:t>Research and development expenses for the three months ended March 31, 2025 were $30.6 million, compared to $29.9 million for the three months ended March 31, 2024. The increase of $0.7 million was primarily due to (i) increased spending on clinical operations and development-related activities as we continue to advance palazestrant through late-stage clinical trials, (ii) clinical operations and development activities associated with the advancement of OP-3136, and (iii) increased personnel-related costs, partially offset by one-time $5 million milestone payment incurred to Aurigene and a decrease in non-cash stock-based compensation expense of $0.1 million.</w:t>
      </w:r>
      <w:r>
        <w:rPr>
          <w:rFonts w:ascii="Times New Roman" w:hAnsi="Times New Roman"/>
          <w:color w:val="000000"/>
          <w:sz w:val="20"/>
        </w:rPr>
        <w:t xml:space="preserve"> </w:t>
      </w:r>
    </w:p>
    <w:p>
      <w:pPr>
        <w:pStyle w:val="Heading2"/>
        <w:bidi w:val="0"/>
        <w:spacing w:before="240" w:after="283"/>
        <w:jc w:val="both"/>
        <w:rPr>
          <w:rFonts w:ascii="Arial" w:hAnsi="Arial"/>
          <w:i/>
          <w:color w:val="000000"/>
          <w:sz w:val="20"/>
        </w:rPr>
      </w:pPr>
      <w:r>
        <w:rPr>
          <w:rFonts w:ascii="Arial" w:hAnsi="Arial"/>
          <w:i/>
          <w:color w:val="000000"/>
          <w:sz w:val="20"/>
        </w:rPr>
        <w:t>General and administrative expenses</w:t>
      </w:r>
    </w:p>
    <w:p>
      <w:pPr>
        <w:pStyle w:val="TextBody"/>
        <w:bidi w:val="0"/>
        <w:spacing w:before="240" w:after="283"/>
        <w:jc w:val="both"/>
        <w:rPr>
          <w:rFonts w:ascii="Arial" w:hAnsi="Arial"/>
          <w:color w:val="000000"/>
          <w:sz w:val="20"/>
        </w:rPr>
      </w:pPr>
      <w:r>
        <w:rPr>
          <w:rFonts w:ascii="Arial" w:hAnsi="Arial"/>
          <w:color w:val="000000"/>
          <w:sz w:val="20"/>
        </w:rPr>
        <w:t>General and administrative expenses for the three months ended March 31, 2025 were $4.2 million compared to $4.5 million for the three months ended March 31, 2024. The decrease of $0.2 million was primarily due to a decrease in non-cash stock-based compensation expense of $0.4 million, offset by increased spending on corporate-related costs.</w:t>
      </w:r>
    </w:p>
    <w:p>
      <w:pPr>
        <w:pStyle w:val="Heading2"/>
        <w:bidi w:val="0"/>
        <w:spacing w:before="240" w:after="283"/>
        <w:jc w:val="both"/>
        <w:rPr>
          <w:rFonts w:ascii="Arial" w:hAnsi="Arial"/>
          <w:i/>
          <w:color w:val="000000"/>
          <w:sz w:val="20"/>
        </w:rPr>
      </w:pPr>
      <w:r>
        <w:rPr>
          <w:rFonts w:ascii="Arial" w:hAnsi="Arial"/>
          <w:i/>
          <w:color w:val="000000"/>
          <w:sz w:val="20"/>
        </w:rPr>
        <w:t>Other income</w:t>
      </w:r>
    </w:p>
    <w:p>
      <w:pPr>
        <w:pStyle w:val="TextBody"/>
        <w:bidi w:val="0"/>
        <w:spacing w:before="240" w:after="283"/>
        <w:jc w:val="both"/>
        <w:rPr>
          <w:rFonts w:ascii="Arial" w:hAnsi="Arial"/>
          <w:color w:val="000000"/>
          <w:sz w:val="20"/>
        </w:rPr>
      </w:pPr>
      <w:r>
        <w:rPr>
          <w:rFonts w:ascii="Arial" w:hAnsi="Arial"/>
          <w:color w:val="000000"/>
          <w:sz w:val="20"/>
        </w:rPr>
        <w:t>Other income for the three months ended March 31, 2025 was $4.5 million, compared to $3.4 million for the three months ended March 31, 2024. The increase of $1.2 million was primarily due to an increase in interest income from our marketable securities.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Liquidity and capital resources</w:t>
      </w:r>
    </w:p>
    <w:p>
      <w:pPr>
        <w:pStyle w:val="Heading2"/>
        <w:bidi w:val="0"/>
        <w:spacing w:before="240" w:after="283"/>
        <w:jc w:val="both"/>
        <w:rPr>
          <w:rFonts w:ascii="Arial" w:hAnsi="Arial"/>
          <w:i/>
          <w:color w:val="000000"/>
          <w:sz w:val="20"/>
        </w:rPr>
      </w:pPr>
      <w:r>
        <w:rPr>
          <w:rFonts w:ascii="Arial" w:hAnsi="Arial"/>
          <w:i/>
          <w:color w:val="000000"/>
          <w:sz w:val="20"/>
        </w:rPr>
        <w:t>Sources of liquidity</w:t>
      </w:r>
    </w:p>
    <w:p>
      <w:pPr>
        <w:pStyle w:val="TextBody"/>
        <w:bidi w:val="0"/>
        <w:spacing w:before="240" w:after="283"/>
        <w:jc w:val="both"/>
        <w:rPr>
          <w:rFonts w:ascii="Arial" w:hAnsi="Arial"/>
          <w:color w:val="000000"/>
          <w:sz w:val="20"/>
        </w:rPr>
      </w:pPr>
      <w:r>
        <w:rPr>
          <w:rFonts w:ascii="Arial" w:hAnsi="Arial"/>
          <w:color w:val="000000"/>
          <w:sz w:val="20"/>
        </w:rPr>
        <w:t>Since our inception, we have not generated any revenue from product sales and have incurred significant operating losses and negative cash flows from our operations. Our net losses were $30.4 million and $31.0 million for the three months ended March 31, 2025 and 2024, respectively. Through March 31, 2025, we had received aggregate gross proceeds of $789.2 million from sales of our common stock, convertible preferred stock and issuance of convertible promissory notes, stock option exercises, and sale of stock through the Company’s 2020 Employee Stock Purchase Plan, or ESPP.</w:t>
      </w:r>
    </w:p>
    <w:p>
      <w:pPr>
        <w:pStyle w:val="TextBody"/>
        <w:bidi w:val="0"/>
        <w:spacing w:before="240" w:after="283"/>
        <w:jc w:val="both"/>
        <w:rPr>
          <w:rFonts w:ascii="Times New Roman" w:hAnsi="Times New Roman"/>
          <w:sz w:val="20"/>
        </w:rPr>
      </w:pPr>
      <w:r>
        <w:rPr>
          <w:rFonts w:ascii="Arial" w:hAnsi="Arial"/>
          <w:color w:val="000000"/>
          <w:sz w:val="20"/>
        </w:rPr>
        <w:t>As of March 31, 2025, we had $392.7 million in cash, cash equivalents and marketable securities and accumulated deficit of $465.5 million. We had no debt outstanding as of March 31, 2025.</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On September 5, 2023, we entered into a loan and security agreement (the Original Loan Agreement) with Silicon Valley Bank, a division of First Citizens Bank &amp; Trust Company (the Bank), which provided us with an aggregate principal amount of up to $50.0 million (the Original Credit Facility). On June 28, 2024, we entered into the First Amendment to Loan and Security Agreement (the Amendment, and the Original Loan Agreement as amended by the Amendment, the Loan Agreement), with the Bank. The Amendment amends the Original Loan Agreement in order to, among other things, (i) increase the aggregate principal amount of the Original Credit Facility from up to $50.0 million to up to $100.0 million (the Credit Facility) of which $25.0 million is currently available, an additional $25.0 million will become available upon achieving certain milestones related to execution of a first-line pivotal Phase 3 clinical trial of palazestrant in combination with ribociclib, and an additional $50.0 million which may be made available upon approval of the Bank in its discretion, and (ii) extend the maturity date to July 1, 2028. As of March 31, 2025, we had not drawn down from the Credit Facility.</w:t>
      </w:r>
    </w:p>
    <w:p>
      <w:pPr>
        <w:pStyle w:val="TextBody"/>
        <w:bidi w:val="0"/>
        <w:spacing w:before="240" w:after="283"/>
        <w:jc w:val="both"/>
        <w:rPr>
          <w:rFonts w:ascii="Times New Roman" w:hAnsi="Times New Roman"/>
          <w:sz w:val="20"/>
        </w:rPr>
      </w:pPr>
      <w:r>
        <w:rPr>
          <w:rFonts w:ascii="Arial" w:hAnsi="Arial"/>
          <w:color w:val="000000"/>
          <w:sz w:val="20"/>
        </w:rPr>
        <w:t>On November 29, 2024, we entered into a securities purchase agreement for a private placement of (i) 19,928,875 shares of our common stock at a price of $9.08 per share and (ii) pre-funded warrants to purchase up to an aggregate of 7,604,163 shares of our common stock at a price of $9.0799 per pre-funded warrant, which represents the per share purchase price of the common stock sold in the private placement less the $0.0001 per share exercise price for each pre-funded warrant to selected institutional and accredited investors (the 2024 Private Placement). The aggregate gross proceeds for the 2024 Private Placement was approximately $250.0 million. After deducting offering expenses related to the 2024 Private Placement of approximately $13.0 million, the net proceeds to us from the 2024 Private Placement were approximately $237.0 million. Concurrently, on November 29, 2024, we entered in an exchange agreement with an investor and issued to such investor pre-funded warrants to purchase up to 3,420,000 shares of our common stock at an exercise price of $0.0001 per share, in exchange for 3,420,000 shares of our common stock previously outstanding and held by such investor. Thereafter, on January 10, 2025, we entered into exchange agreements with certain investors pursuant to which we issued pre-funded warrants to purchase up to 6,070,000 shares of our common stock at an exercise price of $0.0001 per share, in exchange for 6,070,000 shares of our common stock previously outstanding and held by such investors. Certain holders of pre-funded warrants (together with such holder’s affiliates and other attribution parties) may not exercise pre-funded warrants held by them to the extent that immediately prior to or after giving effect to such exercise such holder would own more than 9.99% of our outstanding common stock immediately after exercise, which percentage may be changed at the holder’s election to a lower or higher percentage not in excess of 19.99% upon 61 days’ notice to us, subject to the terms of the pre-funded warrants. Refer to Note 11 of our notes to the condensed consolidated financial statements contained in this Quarterly Report on Form 10-Q for further information regarding the exchange transactions.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January 5, 2024, we entered into a sales agreement (the 2024 Sales Agreement), with Cowen and Company, LLC (Cowen and Company), as sales agent, pursuant to which we were permitted to offer and sell, from time to time, shares of our common stock, having an aggregate offering price of up to $150.0 million (the 2024 ATM Shares). The sales of the 2024 ATM Shares, were made as an “at-the-market” (ATM) equity offering as defined in Rule 415(a)(4) promulgated under the Securities Act. We agreed to pay Cowen and Company a commission of up to 3.0% of the aggregate gross proceeds from any 2024 ATM Shares sold by Cowen and Company. During the year ended December 31, 2024, we issued 1,772,278 shares of our common stock under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Sales Agreement at a weighted-average price of $13.19 for net proceeds of $22.8 million after deducting related issuance costs.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January 6, 2025, we entered into a sales agreement (the 2025 Sales Agreement) with TD Securities (USA) LLC, (TD Cowen) as sales agent, pursuant to which the Company may offer and sell, from time to time, shares of the Company's common stock, having an aggregate offering price of up to $150.0 million (the 2025 ATM Shares). The 2025 Sales Agreement replaces our 2024 Sales Agreement, and no further sales may be made pursuant to the 2024 Sales Agreement. The sales of the 2025 ATM Shares will be made by any method permitted that is deemed to be an ATM equity offering as defined in Rule 415(a)(4) promulgated under the Securities Act, including sales made directly on or through the Nasdaq Global Select Market. We have agreed to pay TD Cowen a commission of up to 3.0% of the aggregate gross proceeds from any 2025 ATM Shares sold by TD Cowen. There were no sales under the 2025 Sales Agreement during the three months ended March 31, 2025 and as of March 31, 2025, approximately $150.0 million remained available for issuance under the 2025 Sales Agreement.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incur significant expenses and operating losses for the foreseeable future as we advance the clinical development of palazestrant, OP-3136 and non-clinical studies.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pStyle w:val="TextBody"/>
        <w:bidi w:val="0"/>
        <w:spacing w:before="240" w:after="283"/>
        <w:jc w:val="both"/>
        <w:rPr>
          <w:rFonts w:ascii="Times New Roman" w:hAnsi="Times New Roman"/>
          <w:sz w:val="20"/>
        </w:rPr>
      </w:pPr>
      <w:r>
        <w:rPr>
          <w:rFonts w:ascii="Arial" w:hAnsi="Arial"/>
          <w:color w:val="000000"/>
          <w:sz w:val="20"/>
        </w:rPr>
        <w:t>Our primary uses of cash are to fund our research and development activities, including with respect to palazestrant, OP-3136 and other non-clinical programs, business planning, establishing and maintaining our intellectual property portfolio, hiring personnel, raising capital and providing general and administrative support for these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Other than as noted above, we currently have no financing commitments, such as lines of credit or guarantees, that are expected to affect our liquidity over the next five years.</w:t>
      </w:r>
    </w:p>
    <w:p>
      <w:pPr>
        <w:pStyle w:val="Heading2"/>
        <w:bidi w:val="0"/>
        <w:spacing w:before="240" w:after="283"/>
        <w:jc w:val="both"/>
        <w:rPr>
          <w:rFonts w:ascii="Arial" w:hAnsi="Arial"/>
          <w:i/>
          <w:color w:val="000000"/>
          <w:sz w:val="20"/>
        </w:rPr>
      </w:pPr>
      <w:r>
        <w:rPr>
          <w:rFonts w:ascii="Arial" w:hAnsi="Arial"/>
          <w:i/>
          <w:color w:val="000000"/>
          <w:sz w:val="20"/>
        </w:rPr>
        <w:t>Future funding and material cash requirements</w:t>
      </w:r>
    </w:p>
    <w:p>
      <w:pPr>
        <w:pStyle w:val="TextBody"/>
        <w:bidi w:val="0"/>
        <w:spacing w:before="240" w:after="283"/>
        <w:jc w:val="both"/>
        <w:rPr>
          <w:rFonts w:ascii="Arial" w:hAnsi="Arial"/>
          <w:color w:val="000000"/>
          <w:sz w:val="20"/>
        </w:rPr>
      </w:pPr>
      <w:r>
        <w:rPr>
          <w:rFonts w:ascii="Arial" w:hAnsi="Arial"/>
          <w:color w:val="000000"/>
          <w:sz w:val="20"/>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initiate and conduct clinical trials of, and seek marketing approval for, palazestrant or OP-3136.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pStyle w:val="TextBody"/>
        <w:bidi w:val="0"/>
        <w:spacing w:before="240" w:after="283"/>
        <w:jc w:val="both"/>
        <w:rPr>
          <w:rFonts w:ascii="Times New Roman" w:hAnsi="Times New Roman"/>
          <w:sz w:val="20"/>
        </w:rPr>
      </w:pPr>
      <w:r>
        <w:rPr>
          <w:rFonts w:ascii="Arial" w:hAnsi="Arial"/>
          <w:color w:val="000000"/>
          <w:sz w:val="20"/>
        </w:rPr>
        <w:t>We expect our cash, cash equivalents, and marketable securities as of March 31, 2025, as well as the available balance under the Credit Facility, will enable us to fund our current operating plan for at least the next 12 months from the filing date of these condensed consolidated financial statements.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Refer to Note 10 of our notes to the condensed consolidated financial statements contained in this Quarterly Report on Form 10-Q for further information regarding our material cash requirements; other than as set forth therein, there have been no material changes outside the ordinary course of business during the three months ended March 31, 2025 to our commitments and contingencies disclosed in “Management’s Discussion and Analysis of Financial Condition and Results of Operations” included in our Annual Report on Form 10-K.</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If we are unable to raise capital when needed or on attractive terms, we would be forced to delay, reduce or eliminate our research and development programs or future commercialization efforts. Our future capital requirements will depend on many factors, including:</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scope, progress, results and costs of product discovery, non-clinical studies and clinical trials;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scope, prioritization and number of our research and development programs;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timing and outcome of regulatory review of our product candidates;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our ability to establish and maintain collaborations on favorable terms, if at all;</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achievement of milestones or occurrence of other developments that trigger payments under any collaboration agreements we enter into;</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extent to which we are obligated to reimburse, or entitled to reimbursement of, clinical trial costs under collaboration agreements, if any;</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of preparing, filing and prosecuting patent applications, maintaining and enforcing our intellectual property rights and defending intellectual property-related claims;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extent to which we acquire or in-license other product candidates and technologies;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of securing manufacturing arrangements for commercial production; and</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of establishing or contracting for sales and marketing capabilities if we obtain regulatory approvals to market our product candidates.</w:t>
      </w:r>
    </w:p>
    <w:p>
      <w:pPr>
        <w:pStyle w:val="TextBody"/>
        <w:bidi w:val="0"/>
        <w:spacing w:before="240" w:after="283"/>
        <w:jc w:val="both"/>
        <w:rPr>
          <w:rFonts w:ascii="Arial" w:hAnsi="Arial"/>
          <w:color w:val="000000"/>
          <w:sz w:val="20"/>
        </w:rPr>
      </w:pPr>
      <w:r>
        <w:rPr>
          <w:rFonts w:ascii="Arial" w:hAnsi="Arial"/>
          <w:color w:val="000000"/>
          <w:sz w:val="20"/>
        </w:rPr>
        <w:t>Identifying potential product candidates and conducting non-clinical studies and clinical trials is a time- 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one or more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pStyle w:val="TextBody"/>
        <w:bidi w:val="0"/>
        <w:spacing w:before="240" w:after="283"/>
        <w:jc w:val="both"/>
        <w:rPr>
          <w:rFonts w:ascii="Arial" w:hAnsi="Arial"/>
          <w:color w:val="000000"/>
          <w:sz w:val="20"/>
        </w:rPr>
      </w:pPr>
      <w:r>
        <w:rPr>
          <w:rFonts w:ascii="Arial" w:hAnsi="Arial"/>
          <w:color w:val="000000"/>
          <w:sz w:val="20"/>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stockholders’ ownership interests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240" w:after="283"/>
        <w:jc w:val="both"/>
        <w:rPr>
          <w:rFonts w:ascii="Arial" w:hAnsi="Arial"/>
          <w:color w:val="000000"/>
          <w:sz w:val="20"/>
        </w:rPr>
      </w:pPr>
      <w:r>
        <w:rPr>
          <w:rFonts w:ascii="Arial" w:hAnsi="Arial"/>
          <w:color w:val="000000"/>
          <w:sz w:val="20"/>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2"/>
        <w:bidi w:val="0"/>
        <w:spacing w:before="240" w:after="283"/>
        <w:jc w:val="both"/>
        <w:rPr>
          <w:rFonts w:ascii="Arial" w:hAnsi="Arial"/>
          <w:i/>
          <w:color w:val="000000"/>
          <w:sz w:val="20"/>
        </w:rPr>
      </w:pPr>
      <w:r>
        <w:rPr>
          <w:rFonts w:ascii="Arial" w:hAnsi="Arial"/>
          <w:i/>
          <w:color w:val="000000"/>
          <w:sz w:val="20"/>
        </w:rPr>
        <w:t>Cash flows</w:t>
      </w:r>
    </w:p>
    <w:p>
      <w:pPr>
        <w:pStyle w:val="TextBody"/>
        <w:bidi w:val="0"/>
        <w:spacing w:before="240" w:after="283"/>
        <w:jc w:val="both"/>
        <w:rPr>
          <w:rFonts w:ascii="Arial" w:hAnsi="Arial"/>
          <w:color w:val="000000"/>
          <w:sz w:val="20"/>
        </w:rPr>
      </w:pPr>
      <w:r>
        <w:rPr>
          <w:rFonts w:ascii="Arial" w:hAnsi="Arial"/>
          <w:color w:val="000000"/>
          <w:sz w:val="20"/>
        </w:rPr>
        <w:t>The following table shows a summary of our cash flows for each of the periods presented:</w:t>
      </w:r>
    </w:p>
    <w:p>
      <w:pPr>
        <w:pStyle w:val="TextBody"/>
        <w:bidi w:val="0"/>
        <w:jc w:val="both"/>
        <w:rPr/>
      </w:pPr>
      <w:r>
        <w:rPr/>
        <w:t> </w:t>
      </w:r>
    </w:p>
    <w:tbl>
      <w:tblPr>
        <w:tblW w:w="6839" w:type="dxa"/>
        <w:jc w:val="left"/>
        <w:tblInd w:w="0" w:type="dxa"/>
        <w:tblLayout w:type="fixed"/>
        <w:tblCellMar>
          <w:top w:w="28" w:type="dxa"/>
          <w:left w:w="28" w:type="dxa"/>
          <w:bottom w:w="28" w:type="dxa"/>
          <w:right w:w="28" w:type="dxa"/>
        </w:tblCellMar>
      </w:tblPr>
      <w:tblGrid>
        <w:gridCol w:w="3871"/>
        <w:gridCol w:w="211"/>
        <w:gridCol w:w="160"/>
        <w:gridCol w:w="826"/>
        <w:gridCol w:w="182"/>
        <w:gridCol w:w="160"/>
        <w:gridCol w:w="232"/>
        <w:gridCol w:w="160"/>
        <w:gridCol w:w="826"/>
        <w:gridCol w:w="211"/>
      </w:tblGrid>
      <w:tr>
        <w:trPr/>
        <w:tc>
          <w:tcPr>
            <w:tcW w:w="3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46"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Net cash used in operating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(43,979</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(45,083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Net cash provided by financing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 cash and cash equivalents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(88,840</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(34,819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Heading2"/>
        <w:bidi w:val="0"/>
        <w:spacing w:before="40" w:after="283"/>
        <w:jc w:val="both"/>
        <w:rPr>
          <w:rFonts w:ascii="Arial" w:hAnsi="Arial"/>
          <w:i/>
          <w:color w:val="000000"/>
          <w:sz w:val="20"/>
        </w:rPr>
      </w:pPr>
      <w:r>
        <w:rPr>
          <w:rFonts w:ascii="Arial" w:hAnsi="Arial"/>
          <w:i/>
          <w:color w:val="000000"/>
          <w:sz w:val="20"/>
        </w:rPr>
        <w:t>Operating activities</w:t>
      </w:r>
    </w:p>
    <w:p>
      <w:pPr>
        <w:pStyle w:val="TextBody"/>
        <w:bidi w:val="0"/>
        <w:spacing w:before="240" w:after="283"/>
        <w:jc w:val="both"/>
        <w:rPr>
          <w:rFonts w:ascii="Arial" w:hAnsi="Arial"/>
          <w:color w:val="000000"/>
          <w:sz w:val="20"/>
        </w:rPr>
      </w:pPr>
      <w:r>
        <w:rPr>
          <w:rFonts w:ascii="Arial" w:hAnsi="Arial"/>
          <w:color w:val="000000"/>
          <w:sz w:val="20"/>
        </w:rPr>
        <w:t>Net cash used in operating activities during the three months ended March 31, 2025 consisted primarily of our net loss of $30.4 million, non-cash interest income on our marketable securities of $2.1 million and net decrease in operating assets and liabilities of $16.0 million, offset by non-cash charges of $4.5 million. The net loss consisted primarily of $30.6 million in research and development expenses and $4.2 million in general and administrative expenses. The non-cash charges consisted primarily of stock-based compensation expense of $4.4 million, depreciation and amortization expenses of $0.1 million, and non-cash lease expense of less than $0.1 million, net of cash payments of $0.3 million. The net decrease in operating assets and liabilities was primarily due to (i) a decrease of $11.2 million in accrued and other current liabilities, (ii) a decrease of $4.3 million in accounts payable, which is primarily related to timing of invoicing by vendors and related payments, and (iii) an increase of other assets and long-term deposits of $1.0 million. The changes are partially offset by an increase in prepaid expenses and other current assets of $0.5 million.</w:t>
      </w:r>
    </w:p>
    <w:p>
      <w:pPr>
        <w:pStyle w:val="Heading2"/>
        <w:bidi w:val="0"/>
        <w:spacing w:before="240" w:after="283"/>
        <w:jc w:val="both"/>
        <w:rPr>
          <w:rFonts w:ascii="Arial" w:hAnsi="Arial"/>
          <w:color w:val="000000"/>
          <w:sz w:val="20"/>
        </w:rPr>
      </w:pPr>
      <w:r>
        <w:rPr>
          <w:rFonts w:ascii="Arial" w:hAnsi="Arial"/>
          <w:color w:val="000000"/>
          <w:sz w:val="20"/>
        </w:rPr>
        <w:t>Net cash used in operating activities during the three months ended March 31, 2024 consisted primarily of our net loss of $31.0 million and non-cash interest income on our marketable securities of $2.4 million, offset by a net increase in operating assets and liabilities of $4.8 million and non-cash charges of $5.0 million. The net loss consisted primarily of $29.9 million in research and development expenses and $4.5 million in general and administrative expenses. The non-cash charges consisted primarily of stock-based compensation expense of $4.9 million and depreciation and amortization expenses of $0.1 million, and non-cash lease expense of less than $0.1 million, net of cash payments of $0.3 million. The net increase in operating assets and liabilities was primarily due to (i) an increase of $5.0 million in accounts payable, which is primarily due to the timing of a milestone payment to Aurigene, and (ii) a decrease of $1.6 million in prepaid expenses and other current assets, which is primarily due to the reimbursable research and development costs received from a collaboration partner. The changes were partially offset by (i) an increase of $1.3 million in other assets and long-term deposits, and (ii) a decrease of $0.4 million in accrued and other current liabilities.</w:t>
      </w:r>
    </w:p>
    <w:p>
      <w:pPr>
        <w:pStyle w:val="Heading2"/>
        <w:bidi w:val="0"/>
        <w:spacing w:before="240" w:after="283"/>
        <w:jc w:val="both"/>
        <w:rPr>
          <w:rFonts w:ascii="Arial" w:hAnsi="Arial"/>
          <w:i/>
          <w:color w:val="000000"/>
          <w:sz w:val="20"/>
        </w:rPr>
      </w:pPr>
      <w:r>
        <w:rPr>
          <w:rFonts w:ascii="Arial" w:hAnsi="Arial"/>
          <w:i/>
          <w:color w:val="000000"/>
          <w:sz w:val="20"/>
        </w:rPr>
        <w:t>Investing Activities</w:t>
      </w:r>
    </w:p>
    <w:p>
      <w:pPr>
        <w:pStyle w:val="TextBody"/>
        <w:bidi w:val="0"/>
        <w:spacing w:before="240" w:after="283"/>
        <w:jc w:val="both"/>
        <w:rPr>
          <w:rFonts w:ascii="Times New Roman" w:hAnsi="Times New Roman"/>
          <w:sz w:val="20"/>
        </w:rPr>
      </w:pPr>
      <w:r>
        <w:rPr>
          <w:rFonts w:ascii="Arial" w:hAnsi="Arial"/>
          <w:color w:val="000000"/>
          <w:sz w:val="20"/>
        </w:rPr>
        <w:t>Net cash used in investing activities during the three months ended March 31, 2025 was predominantly due to purchases of marketable securities which were partially offset by maturities of marketable securities.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Net cash provided by investing activities during the three months ended March 31, 2024 was predominantly due to purchases of marketable securities which were offset by maturities of marketable securities.</w:t>
      </w:r>
    </w:p>
    <w:p>
      <w:pPr>
        <w:pStyle w:val="TextBody"/>
        <w:bidi w:val="0"/>
        <w:spacing w:before="240" w:after="283"/>
        <w:jc w:val="both"/>
        <w:rPr>
          <w:rFonts w:ascii="Arial" w:hAnsi="Arial"/>
          <w:i/>
          <w:color w:val="000000"/>
          <w:sz w:val="20"/>
        </w:rPr>
      </w:pPr>
      <w:r>
        <w:rPr>
          <w:rFonts w:ascii="Arial" w:hAnsi="Arial"/>
          <w:i/>
          <w:color w:val="000000"/>
          <w:sz w:val="20"/>
        </w:rPr>
        <w:t>Financing activities</w:t>
      </w:r>
    </w:p>
    <w:p>
      <w:pPr>
        <w:pStyle w:val="TextBody"/>
        <w:bidi w:val="0"/>
        <w:spacing w:before="240" w:after="283"/>
        <w:jc w:val="both"/>
        <w:rPr>
          <w:rFonts w:ascii="Arial" w:hAnsi="Arial"/>
          <w:color w:val="000000"/>
          <w:sz w:val="20"/>
        </w:rPr>
      </w:pPr>
      <w:r>
        <w:rPr>
          <w:rFonts w:ascii="Arial" w:hAnsi="Arial"/>
          <w:color w:val="000000"/>
          <w:sz w:val="20"/>
        </w:rPr>
        <w:t>Net cash provided by financing activities during the three months ended March 31, 2025 was predominately due to $0.2 million from the exercise of stock options.</w:t>
      </w:r>
    </w:p>
    <w:p>
      <w:pPr>
        <w:pStyle w:val="TextBody"/>
        <w:bidi w:val="0"/>
        <w:spacing w:before="240" w:after="283"/>
        <w:jc w:val="both"/>
        <w:rPr>
          <w:rFonts w:ascii="Arial" w:hAnsi="Arial"/>
          <w:color w:val="000000"/>
          <w:sz w:val="20"/>
        </w:rPr>
      </w:pPr>
      <w:r>
        <w:rPr>
          <w:rFonts w:ascii="Arial" w:hAnsi="Arial"/>
          <w:color w:val="000000"/>
          <w:sz w:val="20"/>
        </w:rPr>
        <w:t>Net cash provided by financing activities during the three months ended March 31, 2024 consists of $7.9 million in net proceeds from the sale of 2024 ATM Shares and $0.9 million from the exercise of stock options.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Critical accounting policies and significant judgments and estimates</w:t>
      </w:r>
    </w:p>
    <w:p>
      <w:pPr>
        <w:pStyle w:val="TextBody"/>
        <w:bidi w:val="0"/>
        <w:spacing w:before="240" w:after="283"/>
        <w:jc w:val="both"/>
        <w:rPr>
          <w:rFonts w:ascii="Arial" w:hAnsi="Arial"/>
          <w:color w:val="000000"/>
          <w:sz w:val="20"/>
        </w:rPr>
      </w:pPr>
      <w:r>
        <w:rPr>
          <w:rFonts w:ascii="Arial" w:hAnsi="Arial"/>
          <w:color w:val="000000"/>
          <w:sz w:val="20"/>
        </w:rPr>
        <w:t>Our management’s discussion and analysis of our financial condition and results of operations are based on our condensed consolidated financial statements, which have been prepared in accordance with U.S. generally accepted accounting principles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both"/>
        <w:rPr>
          <w:rFonts w:ascii="Times New Roman" w:hAnsi="Times New Roman"/>
          <w:sz w:val="20"/>
        </w:rPr>
      </w:pPr>
      <w:r>
        <w:rPr>
          <w:rFonts w:ascii="Arial" w:hAnsi="Arial"/>
          <w:color w:val="000000"/>
          <w:sz w:val="20"/>
        </w:rPr>
        <w:t>During the three months ended March 31, 2025, there were no material changes to our critical accounting policies and estimates as reported in our Annual Report on Form 10-K.</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bookmarkStart w:id="11" w:name="item3quantitative"/>
      <w:bookmarkEnd w:id="11"/>
      <w:r>
        <w:rPr>
          <w:rFonts w:ascii="Arial" w:hAnsi="Arial"/>
          <w:b/>
          <w:color w:val="000000"/>
          <w:sz w:val="20"/>
        </w:rPr>
        <w:t>Item 3. Quantitative and Qualitative Disclosures About Market Risk.</w:t>
      </w:r>
    </w:p>
    <w:p>
      <w:pPr>
        <w:pStyle w:val="TextBody"/>
        <w:bidi w:val="0"/>
        <w:spacing w:before="240" w:after="283"/>
        <w:jc w:val="both"/>
        <w:rPr>
          <w:rFonts w:ascii="Arial" w:hAnsi="Arial"/>
          <w:color w:val="000000"/>
          <w:sz w:val="20"/>
        </w:rPr>
      </w:pPr>
      <w:r>
        <w:rPr>
          <w:rFonts w:ascii="Arial" w:hAnsi="Arial"/>
          <w:color w:val="000000"/>
          <w:sz w:val="20"/>
        </w:rPr>
        <w:t>During the three months ended March 31, 2025, there were no material changes to our market risk disclosures reported in our Annual Report on Form 10-K.</w:t>
      </w:r>
    </w:p>
    <w:p>
      <w:pPr>
        <w:pStyle w:val="Heading1"/>
        <w:bidi w:val="0"/>
        <w:spacing w:before="240" w:after="283"/>
        <w:jc w:val="both"/>
        <w:rPr>
          <w:rFonts w:ascii="Arial" w:hAnsi="Arial"/>
          <w:b/>
          <w:color w:val="000000"/>
          <w:sz w:val="20"/>
        </w:rPr>
      </w:pPr>
      <w:bookmarkStart w:id="12" w:name="item4controlsandprocedures"/>
      <w:bookmarkEnd w:id="12"/>
      <w:r>
        <w:rPr>
          <w:rFonts w:ascii="Arial" w:hAnsi="Arial"/>
          <w:b/>
          <w:color w:val="000000"/>
          <w:sz w:val="20"/>
        </w:rPr>
        <w:t>Item 4. Controls and Procedures.</w:t>
      </w:r>
    </w:p>
    <w:p>
      <w:pPr>
        <w:pStyle w:val="TextBody"/>
        <w:bidi w:val="0"/>
        <w:spacing w:before="240" w:after="283"/>
        <w:jc w:val="both"/>
        <w:rPr>
          <w:rFonts w:ascii="Arial" w:hAnsi="Arial"/>
          <w:b/>
          <w:color w:val="000000"/>
          <w:sz w:val="20"/>
        </w:rPr>
      </w:pPr>
      <w:r>
        <w:rPr>
          <w:rFonts w:ascii="Arial" w:hAnsi="Arial"/>
          <w:b/>
          <w:color w:val="000000"/>
          <w:sz w:val="20"/>
        </w:rPr>
        <w:t>Evaluation of Disclosure Controls and Procedures</w:t>
      </w:r>
    </w:p>
    <w:p>
      <w:pPr>
        <w:pStyle w:val="TextBody"/>
        <w:bidi w:val="0"/>
        <w:spacing w:before="240" w:after="283"/>
        <w:jc w:val="both"/>
        <w:rPr>
          <w:rFonts w:ascii="Arial" w:hAnsi="Arial"/>
          <w:color w:val="000000"/>
          <w:sz w:val="20"/>
        </w:rPr>
      </w:pPr>
      <w:r>
        <w:rPr>
          <w:rFonts w:ascii="Arial" w:hAnsi="Arial"/>
          <w:color w:val="000000"/>
          <w:sz w:val="20"/>
        </w:rPr>
        <w:t>As of March 31, 2025,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pStyle w:val="TextBody"/>
        <w:bidi w:val="0"/>
        <w:spacing w:before="240" w:after="283"/>
        <w:jc w:val="both"/>
        <w:rPr>
          <w:rFonts w:ascii="Arial" w:hAnsi="Arial"/>
          <w:color w:val="000000"/>
          <w:sz w:val="20"/>
        </w:rPr>
      </w:pPr>
      <w:r>
        <w:rPr>
          <w:rFonts w:ascii="Arial" w:hAnsi="Arial"/>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March 31, 2025, the design and operation of our disclosure controls and procedures were effective at a reasonable assurance level.</w:t>
      </w:r>
    </w:p>
    <w:p>
      <w:pPr>
        <w:pStyle w:val="TextBody"/>
        <w:bidi w:val="0"/>
        <w:spacing w:before="240" w:after="283"/>
        <w:jc w:val="both"/>
        <w:rPr>
          <w:rFonts w:ascii="Arial" w:hAnsi="Arial"/>
          <w:b/>
          <w:color w:val="000000"/>
          <w:sz w:val="20"/>
        </w:rPr>
      </w:pPr>
      <w:r>
        <w:rPr>
          <w:rFonts w:ascii="Arial" w:hAnsi="Arial"/>
          <w:b/>
          <w:color w:val="000000"/>
          <w:sz w:val="20"/>
        </w:rPr>
        <w:t>Changes in Internal Control over Financial Reporting</w:t>
      </w:r>
    </w:p>
    <w:p>
      <w:pPr>
        <w:pStyle w:val="TextBody"/>
        <w:bidi w:val="0"/>
        <w:spacing w:before="240" w:after="283"/>
        <w:jc w:val="both"/>
        <w:rPr>
          <w:rFonts w:ascii="Arial" w:hAnsi="Arial"/>
          <w:color w:val="000000"/>
          <w:sz w:val="20"/>
        </w:rPr>
      </w:pPr>
      <w:r>
        <w:rPr>
          <w:rFonts w:ascii="Arial" w:hAnsi="Arial"/>
          <w:color w:val="000000"/>
          <w:sz w:val="20"/>
        </w:rPr>
        <w:t>There was no change in our internal control over financial reporting identified in connection with the evaluation required by Rules 13a-15(d) and 15d-15(d) of the Exchange Act that occurred during the three months ended March 31, 2025 that has materially affected, or is reasonably likely to materially affect, our internal control over financial reporting.</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center"/>
        <w:rPr>
          <w:rFonts w:ascii="Arial" w:hAnsi="Arial"/>
          <w:b/>
          <w:color w:val="000000"/>
          <w:sz w:val="20"/>
        </w:rPr>
      </w:pPr>
      <w:bookmarkStart w:id="13" w:name="partiiotherinformation_169197"/>
      <w:bookmarkEnd w:id="13"/>
      <w:r>
        <w:rPr>
          <w:rFonts w:ascii="Arial" w:hAnsi="Arial"/>
          <w:b/>
          <w:color w:val="000000"/>
          <w:sz w:val="20"/>
        </w:rPr>
        <w:t>PART II-OTHER INFORMATION</w:t>
      </w:r>
    </w:p>
    <w:p>
      <w:pPr>
        <w:pStyle w:val="Heading1"/>
        <w:bidi w:val="0"/>
        <w:spacing w:before="0" w:after="240"/>
        <w:jc w:val="left"/>
        <w:rPr>
          <w:rFonts w:ascii="Arial" w:hAnsi="Arial"/>
          <w:b/>
          <w:color w:val="000000"/>
          <w:sz w:val="20"/>
        </w:rPr>
      </w:pPr>
      <w:bookmarkStart w:id="14" w:name="item1legalproceedings_105808"/>
      <w:bookmarkEnd w:id="14"/>
      <w:r>
        <w:rPr>
          <w:rFonts w:ascii="Arial" w:hAnsi="Arial"/>
          <w:b/>
          <w:color w:val="000000"/>
          <w:sz w:val="20"/>
        </w:rPr>
        <w:t>Item 1. Legal Proceedings.</w:t>
      </w:r>
    </w:p>
    <w:p>
      <w:pPr>
        <w:pStyle w:val="TextBody"/>
        <w:bidi w:val="0"/>
        <w:spacing w:before="0" w:after="240"/>
        <w:jc w:val="both"/>
        <w:rPr>
          <w:rFonts w:ascii="Arial" w:hAnsi="Arial"/>
          <w:color w:val="000000"/>
          <w:sz w:val="20"/>
        </w:rPr>
      </w:pPr>
      <w:r>
        <w:rPr>
          <w:rFonts w:ascii="Arial" w:hAnsi="Arial"/>
          <w:color w:val="000000"/>
          <w:sz w:val="20"/>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pStyle w:val="Heading1"/>
        <w:bidi w:val="0"/>
        <w:spacing w:before="0" w:after="240"/>
        <w:jc w:val="left"/>
        <w:rPr>
          <w:rFonts w:ascii="Times New Roman" w:hAnsi="Times New Roman"/>
          <w:sz w:val="20"/>
        </w:rPr>
      </w:pPr>
      <w:bookmarkStart w:id="15" w:name="item_1a_risk_factors"/>
      <w:bookmarkEnd w:id="15"/>
      <w:r>
        <w:rPr>
          <w:rFonts w:ascii="Arial" w:hAnsi="Arial"/>
          <w:b/>
          <w:color w:val="000000"/>
          <w:sz w:val="20"/>
        </w:rPr>
        <w:t>Item 1A. Risk Factors.</w:t>
      </w:r>
      <w:r>
        <w:rPr>
          <w:rFonts w:ascii="Times New Roman" w:hAnsi="Times New Roman"/>
          <w:color w:val="000000"/>
          <w:sz w:val="20"/>
        </w:rPr>
        <w:t xml:space="preserve"> </w:t>
      </w:r>
    </w:p>
    <w:p>
      <w:pPr>
        <w:pStyle w:val="TextBody"/>
        <w:bidi w:val="0"/>
        <w:spacing w:before="0" w:after="240"/>
        <w:jc w:val="both"/>
        <w:rPr>
          <w:rFonts w:ascii="Arial" w:hAnsi="Arial"/>
          <w:i/>
          <w:color w:val="000000"/>
          <w:sz w:val="20"/>
        </w:rPr>
      </w:pPr>
      <w:r>
        <w:rPr>
          <w:rFonts w:ascii="Arial" w:hAnsi="Arial"/>
          <w:i/>
          <w:color w:val="000000"/>
          <w:sz w:val="20"/>
        </w:rPr>
        <w:t>Our business involves significant risks, some of which are described below. You should carefully consider the following risks, as well as the other information in this Quarterly Report on Form 10</w:t>
        <w:noBreakHyphen/>
        <w:t>Q, including our condensed consolidated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pStyle w:val="TextBody"/>
        <w:bidi w:val="0"/>
        <w:jc w:val="center"/>
        <w:rPr>
          <w:rFonts w:ascii="Arial" w:hAnsi="Arial"/>
          <w:b/>
          <w:color w:val="000000"/>
          <w:sz w:val="20"/>
        </w:rPr>
      </w:pPr>
      <w:r>
        <w:rPr>
          <w:rFonts w:ascii="Arial" w:hAnsi="Arial"/>
          <w:b/>
          <w:color w:val="000000"/>
          <w:sz w:val="20"/>
        </w:rPr>
        <w:t>RISK FACTOR SUMMARY</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Investing in our common stock involves numerous risks, including the risks described in “Part II, Item 1A. Risk Factors” of this Quarterly Report on Form 10-Q. Below are some of these risks, any one of which could materially adversely affect our business, financial condition, results of operations, and prospects.</w:t>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have no products approved for commercial sale, which may make it difficult for you to evaluate our current business and predict our future success and viability.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have incurred net losses since inception, and we expect to continue to incur net losses for the foreseeable future. In addition, we may be unable to continue as a going concern over the long term.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(NDA) to the FDA or similar drug approval filings to comparable foreign authorities. If we are ultimately unable to obtain regulatory approval for palazestrant or OP-3136 or any future product candidate we may develop, we will be unable to generate product revenue and our business, financial condition, results of operations and prospects will be significantly harmed.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Even if approved, palazestrant or OP-3136 may not achieve adequate market acceptance among physicians, patients, healthcare payors and others in the medical community necessary for commercial success.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face significant competition, and if our competitors develop and market technologies or products more rapidly than we do or that are more effective, safer or less expensive than palazestrant, OP-3136 or product candidates we may develop in the future, our commercial opportunities will be negatively impacted.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Unfavorable U.S. and global macroeconomic and geopolitical conditions could adversely affect our business, financial condition and results of operations.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In order to successfully implement our plans and strategies, we will need to grow the size of our organization, and we may experience difficulties in managing this growth.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or other adverse consequences.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Our success depends on our ability to protect our intellectual property and our proprietary technologies.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pStyle w:val="TextBody"/>
        <w:bidi w:val="0"/>
        <w:spacing w:before="0" w:after="240"/>
        <w:jc w:val="both"/>
        <w:rPr>
          <w:rFonts w:ascii="Arial" w:hAnsi="Arial"/>
          <w:b/>
          <w:color w:val="000000"/>
          <w:sz w:val="20"/>
        </w:rPr>
      </w:pPr>
      <w:r>
        <w:rPr>
          <w:rFonts w:ascii="Arial" w:hAnsi="Arial"/>
          <w:b/>
          <w:color w:val="000000"/>
          <w:sz w:val="20"/>
        </w:rPr>
        <w:t>Risks related to our financial position and the need for additional capital</w:t>
      </w:r>
    </w:p>
    <w:p>
      <w:pPr>
        <w:pStyle w:val="TextBody"/>
        <w:bidi w:val="0"/>
        <w:spacing w:before="0" w:after="240"/>
        <w:jc w:val="both"/>
        <w:rPr>
          <w:rFonts w:ascii="Arial" w:hAnsi="Arial"/>
          <w:b/>
          <w:i/>
          <w:color w:val="000000"/>
          <w:sz w:val="20"/>
        </w:rPr>
      </w:pPr>
      <w:r>
        <w:rPr>
          <w:rFonts w:ascii="Arial" w:hAnsi="Arial"/>
          <w:b/>
          <w:i/>
          <w:color w:val="000000"/>
          <w:sz w:val="20"/>
        </w:rPr>
        <w:t>We have no products approved for commercial sale, which may make it difficult for you to evaluate our current business and predict our future success and viability.</w:t>
      </w:r>
    </w:p>
    <w:p>
      <w:pPr>
        <w:pStyle w:val="TextBody"/>
        <w:bidi w:val="0"/>
        <w:spacing w:before="0" w:after="240"/>
        <w:jc w:val="both"/>
        <w:rPr>
          <w:rFonts w:ascii="Arial" w:hAnsi="Arial"/>
          <w:color w:val="000000"/>
          <w:sz w:val="20"/>
        </w:rPr>
      </w:pPr>
      <w:r>
        <w:rPr>
          <w:rFonts w:ascii="Arial" w:hAnsi="Arial"/>
          <w:color w:val="000000"/>
          <w:sz w:val="20"/>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lead product candidate, palazestrant (OP-1250), securing related intellectual property rights, conducting non-clinical studies, conducting a Phase 1/2 clinical study of palazestrant, initiating and conducting a Phase 3 clinical trial of palazestrant, preparing for another Phase 3 clinical study of palazestrant, conducting non-clinical studies of OP-3136, and initiating and conducting a Phase 1 clinical study of OP-3136. We have not yet demonstrated our ability to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pStyle w:val="TextBody"/>
        <w:bidi w:val="0"/>
        <w:spacing w:before="0" w:after="240"/>
        <w:jc w:val="both"/>
        <w:rPr>
          <w:rFonts w:ascii="Arial" w:hAnsi="Arial"/>
          <w:color w:val="000000"/>
          <w:sz w:val="20"/>
        </w:rPr>
      </w:pPr>
      <w:r>
        <w:rPr>
          <w:rFonts w:ascii="Arial" w:hAnsi="Arial"/>
          <w:color w:val="000000"/>
          <w:sz w:val="20"/>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w:t>
      </w:r>
    </w:p>
    <w:p>
      <w:pPr>
        <w:pStyle w:val="TextBody"/>
        <w:bidi w:val="0"/>
        <w:spacing w:before="0" w:after="240"/>
        <w:jc w:val="both"/>
        <w:rPr>
          <w:rFonts w:ascii="Arial" w:hAnsi="Arial"/>
          <w:color w:val="000000"/>
          <w:sz w:val="20"/>
        </w:rPr>
      </w:pPr>
      <w:r>
        <w:rPr>
          <w:rFonts w:ascii="Arial" w:hAnsi="Arial"/>
          <w:color w:val="000000"/>
          <w:sz w:val="20"/>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palazestrant. We anticipate incurring significant costs associated with the development of our lead product candidate, palazestrant, OP-3136 and any future product candidates we may develop. Our expenses could increase beyond expectations if we are required by the FDA, the European Medicines Agency (EMA), or other regulatory authorities to perform clinical trials or non-clinical studies in addition to those that we currently anticipate. Other unanticipated costs may also arise. In addition, if we obtain marketing approval for palazestrant, OP-3136 or other product candidates, 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We also incur costs associated with operating as a public company. Accordingly, we will need to obtain substantial additional funding in order to maintain our continuing operations.</w:t>
      </w:r>
    </w:p>
    <w:p>
      <w:pPr>
        <w:pStyle w:val="TextBody"/>
        <w:bidi w:val="0"/>
        <w:spacing w:before="0" w:after="240"/>
        <w:jc w:val="both"/>
        <w:rPr>
          <w:rFonts w:ascii="Arial" w:hAnsi="Arial"/>
          <w:color w:val="000000"/>
          <w:sz w:val="20"/>
        </w:rPr>
      </w:pPr>
      <w:r>
        <w:rPr>
          <w:rFonts w:ascii="Arial" w:hAnsi="Arial"/>
          <w:color w:val="000000"/>
          <w:sz w:val="20"/>
        </w:rPr>
        <w:t>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and the geopolitical and macroeconomic environment, generally, including economic uncertainty, market volatility, labor shortages, recent and changing tariff policy announcements, tariffs, trade tensions and retaliatory measures by other countries, supply chain disruptions, the ongoing conflicts between Ukraine and Russia and in the Middle East, as well as any related political or economic responses and counter-responses or otherwise by various global actors, inflationary pressures, monetary supply shifts, increased recession risk, and related financial instability. Advancing the development of palazestrant, OP-3136 and any future product candidates we may develop will require a significant amount of capital, and our existing cash, cash equivalents and marketable securities will not be sufficient to fund all of the activities that are necessary to complete the development of palazestrant and OP-3136.</w:t>
      </w:r>
    </w:p>
    <w:p>
      <w:pPr>
        <w:pStyle w:val="TextBody"/>
        <w:bidi w:val="0"/>
        <w:spacing w:before="0" w:after="240"/>
        <w:jc w:val="both"/>
        <w:rPr>
          <w:rFonts w:ascii="Times New Roman" w:hAnsi="Times New Roman"/>
          <w:sz w:val="20"/>
        </w:rPr>
      </w:pPr>
      <w:r>
        <w:rPr>
          <w:rFonts w:ascii="Arial" w:hAnsi="Arial"/>
          <w:color w:val="000000"/>
          <w:sz w:val="20"/>
        </w:rPr>
        <w:t>We will be required to obtain additional funding through public or private equity offerings, debt financings, collaborations and licensing arrangements or other sources, which may dilute our stockholders, or cause our stock price to decline or restrict our operating activities. Adequate additional financing may not be available to us on acceptable terms, or at all. Market volatility, including as a result of geopolitical and macroeconomic events discussed above, could adversely increase our need to access capital and likewise, adversely impact our ability to access capital as and when needed. For example, inflation rates, particularly in the United States, recently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heightening these risks and further increasing economic uncertainty.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 We also could be required to seek collaborators for palazestrant, OP-3136 or any future product candidate at an earlier stage than otherwise would be desirable or on terms that are less favorable than might otherwise be available or relinquish or license on unfavorable terms our rights to our product candidates 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markets where we otherwise would seek to pursue development or commercialization ourselves. Any of the above events could significantly harm our business, prospects, financial condition and results of operations and cause the price of our common stock to decline.</w:t>
      </w:r>
    </w:p>
    <w:p>
      <w:pPr>
        <w:pStyle w:val="TextBody"/>
        <w:bidi w:val="0"/>
        <w:spacing w:before="0" w:after="240"/>
        <w:jc w:val="both"/>
        <w:rPr>
          <w:rFonts w:ascii="Arial" w:hAnsi="Arial"/>
          <w:b/>
          <w:i/>
          <w:color w:val="000000"/>
          <w:sz w:val="20"/>
        </w:rPr>
      </w:pPr>
      <w:r>
        <w:rPr>
          <w:rFonts w:ascii="Arial" w:hAnsi="Arial"/>
          <w:b/>
          <w:i/>
          <w:color w:val="000000"/>
          <w:sz w:val="20"/>
        </w:rPr>
        <w:t>We have incurred net losses since inception, and we expect to continue to incur net losses for the foreseeable future. In addition, we may be unable to continue as a going concern over the long term.</w:t>
      </w:r>
    </w:p>
    <w:p>
      <w:pPr>
        <w:pStyle w:val="TextBody"/>
        <w:bidi w:val="0"/>
        <w:spacing w:before="0" w:after="240"/>
        <w:jc w:val="both"/>
        <w:rPr>
          <w:rFonts w:ascii="Arial" w:hAnsi="Arial"/>
          <w:color w:val="000000"/>
          <w:sz w:val="20"/>
        </w:rPr>
      </w:pPr>
      <w:r>
        <w:rPr>
          <w:rFonts w:ascii="Arial" w:hAnsi="Arial"/>
          <w:color w:val="000000"/>
          <w:sz w:val="20"/>
        </w:rPr>
        <w:t>We have incurred net losses in each reporting period since our inception, have not generated any revenue from product sales to date and have financed our operations principally through sales of our equity securities, including sales of our common stock and pre-funded warrants to purchase our common stock to selected institutional and accredited investors in private placement transactions, at-the-market offerings, our initial public offering and private financings. We have incurred net losses of $30.4 million and $31.0 million for the three months ended March 31, 2025 and 2024, respectively. We had an accumulated deficit of $465.5 million as of March 31, 2025. Our losses have resulted principally from expenses incurred in research and development of palazestrant, OP-3136 and from management and administrative costs and other expenses that we have incurred while building our business infrastructure. Our lead product candidate, palazestrant, and OP-3136 are both in clinical trials. As a result, we expect that it will be several years, if ever, before we have a commercialized product and generate revenue from product sales. Even if we succeed in receiving marketing approval for palazestrant or OP-3136 in one of our lead indications and proceed to commercializing palazestrant or OP-3136, we expect that we will continue to incur substantial research and development and other expenses as we continue the clinical development programs for palazestrant in other indications or for OP-3136.</w:t>
      </w:r>
    </w:p>
    <w:p>
      <w:pPr>
        <w:pStyle w:val="TextBody"/>
        <w:bidi w:val="0"/>
        <w:spacing w:before="0" w:after="240"/>
        <w:jc w:val="both"/>
        <w:rPr>
          <w:rFonts w:ascii="Arial" w:hAnsi="Arial"/>
          <w:color w:val="000000"/>
          <w:sz w:val="20"/>
        </w:rPr>
      </w:pPr>
      <w:r>
        <w:rPr>
          <w:rFonts w:ascii="Arial" w:hAnsi="Arial"/>
          <w:color w:val="000000"/>
          <w:sz w:val="20"/>
        </w:rPr>
        <w:t>While our expenses may fluctuate from period to period, we generally expect to continue to incur increased expenses and operating losses for the foreseeable future as we continue our research and development efforts and seek to obtain regulatory approval for palazestrant or OP-3136.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pStyle w:val="TextBody"/>
        <w:bidi w:val="0"/>
        <w:spacing w:before="0" w:after="240"/>
        <w:jc w:val="both"/>
        <w:rPr>
          <w:rFonts w:ascii="Arial" w:hAnsi="Arial"/>
          <w:color w:val="000000"/>
          <w:sz w:val="20"/>
        </w:rPr>
      </w:pPr>
      <w:r>
        <w:rPr>
          <w:rFonts w:ascii="Arial" w:hAnsi="Arial"/>
          <w:color w:val="000000"/>
          <w:sz w:val="20"/>
        </w:rPr>
        <w:t>In addition, our condensed consolidated financial statements for the three months ended March 31, 2025 and 2024 included elsewhere in this Quarterly Report on Form 10-Q have been prepared assuming we will continue as a going concern. However, we have incurred losses and negative cash flows from operations. As a development stage company, we expect to incur significant and increasing losses until regulatory approval is granted for palazestrant or OP-3136. Regulatory approval is not guaranteed and may never be obtained. As a result, these conditions raise substantial doubt about our ability to continue as a going concern over the long term.</w:t>
      </w:r>
    </w:p>
    <w:p>
      <w:pPr>
        <w:pStyle w:val="TextBody"/>
        <w:bidi w:val="0"/>
        <w:spacing w:before="0" w:after="240"/>
        <w:jc w:val="left"/>
        <w:rPr>
          <w:rFonts w:ascii="Arial" w:hAnsi="Arial"/>
          <w:b/>
          <w:i/>
          <w:color w:val="000000"/>
          <w:sz w:val="20"/>
        </w:rPr>
      </w:pPr>
      <w:r>
        <w:rPr>
          <w:rFonts w:ascii="Arial" w:hAnsi="Arial"/>
          <w:b/>
          <w:i/>
          <w:color w:val="000000"/>
          <w:sz w:val="20"/>
        </w:rPr>
        <w:t>We have never generated revenue from product sales and may never be profitable.</w:t>
      </w:r>
    </w:p>
    <w:p>
      <w:pPr>
        <w:pStyle w:val="TextBody"/>
        <w:bidi w:val="0"/>
        <w:spacing w:before="0" w:after="240"/>
        <w:jc w:val="both"/>
        <w:rPr>
          <w:rFonts w:ascii="Arial" w:hAnsi="Arial"/>
          <w:color w:val="000000"/>
          <w:sz w:val="20"/>
        </w:rPr>
      </w:pPr>
      <w:r>
        <w:rPr>
          <w:rFonts w:ascii="Arial" w:hAnsi="Arial"/>
          <w:color w:val="000000"/>
          <w:sz w:val="20"/>
        </w:rPr>
        <w:t>Our ability to generate revenue from product sales and achieve profitability depends on our ability, alone or with our collaboration partners, to successfully complete the development of, and obtain the regulatory approvals necessary to commercialize, palazestrant, OP-3136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Arial" w:hAnsi="Arial"/>
          <w:color w:val="231F20"/>
          <w:sz w:val="20"/>
        </w:rPr>
      </w:pPr>
      <w:r>
        <w:rPr>
          <w:rFonts w:ascii="Arial" w:hAnsi="Arial"/>
          <w:color w:val="231F20"/>
          <w:sz w:val="20"/>
        </w:rPr>
        <w:t>completing clinical and non-clinical development of our product candidates and programs and identifying and developing new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seeking and obtaining marketing approvals for any product candidates that we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launching and commercializing product candidates for which we obtain marketing approval by establishing a sales force, marketing, medical affairs and distribution infrastructure or, alternatively, collaborating with a commercialization partner;</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achieving adequate access and reimbursement by government and third-party payors for product candidates that we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obtaining market acceptance of product candidates that we develop as viable treatment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addressing any competing technological and market developments;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negotiating favorable terms in any collaboration, licensing or other arrangements into which we may enter and performing our obligations in such collaborations;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maintaining, protecting, enforcing and expanding our portfolio of intellectual property rights, including patents, trade secrets and know-how;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defending against third-party interference, infringement or other intellectual property-related claims, if any;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Arial" w:hAnsi="Arial"/>
          <w:color w:val="231F20"/>
          <w:sz w:val="20"/>
        </w:rPr>
      </w:pPr>
      <w:r>
        <w:rPr>
          <w:rFonts w:ascii="Arial" w:hAnsi="Arial"/>
          <w:color w:val="231F20"/>
          <w:sz w:val="20"/>
        </w:rPr>
        <w:t>attracting, hiring and retaining qualified personnel.</w:t>
      </w:r>
    </w:p>
    <w:p>
      <w:pPr>
        <w:pStyle w:val="TextBody"/>
        <w:bidi w:val="0"/>
        <w:spacing w:before="0" w:after="240"/>
        <w:jc w:val="both"/>
        <w:rPr/>
      </w:pPr>
      <w:r>
        <w:rPr/>
        <w:t> </w:t>
      </w:r>
    </w:p>
    <w:p>
      <w:pPr>
        <w:pStyle w:val="TextBody"/>
        <w:bidi w:val="0"/>
        <w:spacing w:before="0" w:after="240"/>
        <w:jc w:val="both"/>
        <w:rPr>
          <w:rFonts w:ascii="Arial" w:hAnsi="Arial"/>
          <w:color w:val="000000"/>
          <w:sz w:val="20"/>
        </w:rPr>
      </w:pPr>
      <w:r>
        <w:rPr>
          <w:rFonts w:ascii="Arial" w:hAnsi="Arial"/>
          <w:color w:val="000000"/>
          <w:sz w:val="20"/>
        </w:rPr>
        <w:t>Even if palazestrant, OP-3136 or any future product candidate that we may develop is approved for commercial sale, we anticipate incurring significant costs associated with commercializing any approved product candidate. Our expenses could increase beyond expectations if we are required by the FDA, EMA or other comparable regulatory authorities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pStyle w:val="TextBody"/>
        <w:bidi w:val="0"/>
        <w:jc w:val="both"/>
        <w:rPr>
          <w:rFonts w:ascii="Arial" w:hAnsi="Arial"/>
          <w:b/>
          <w:i/>
          <w:color w:val="000000"/>
          <w:sz w:val="20"/>
        </w:rPr>
      </w:pPr>
      <w:r>
        <w:rPr>
          <w:rFonts w:ascii="Arial" w:hAnsi="Arial"/>
          <w:b/>
          <w:i/>
          <w:color w:val="000000"/>
          <w:sz w:val="20"/>
        </w:rPr>
        <w:t>The terms of the Loan Agreement place restrictions on our operating and financial flexibility. If we raise additional capital through debt financing, the terms of any new debt could further restrict our ability to operate our business.</w:t>
      </w:r>
    </w:p>
    <w:p>
      <w:pPr>
        <w:pStyle w:val="TextBody"/>
        <w:bidi w:val="0"/>
        <w:spacing w:before="0" w:after="240"/>
        <w:jc w:val="both"/>
        <w:rPr>
          <w:rFonts w:ascii="Times New Roman" w:hAnsi="Times New Roman"/>
          <w:sz w:val="20"/>
        </w:rPr>
      </w:pPr>
      <w:r>
        <w:rPr>
          <w:rFonts w:ascii="Arial" w:hAnsi="Arial"/>
          <w:color w:val="000000"/>
          <w:sz w:val="20"/>
        </w:rPr>
        <w:t>In September 2023, we entered into the Original Loan Agreement with the Bank, providing us with an aggregate principal amount of up to $50.0 million under the Original Credit Facility.</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In June 2024, we entered into the Amendment with the Bank. The Amendment amends the Original Loan Agreement in order to, among other things, increase the aggregate principal amount of the Original Credit Facility from up to $50.0 million to up to $100.0 million, of which $25.0 million was available as of March 31, 2025, an additional $25.0 million which will become available upon achievement of certain milestones related to execution of a first-line pivotal Phase 3 clinical trial of palazestrant in combination with ribociclib, and an additional $50.0 million which may be made available upon approval of the Bank in its discretion. The Credit Facility, as updated pursuant to the Amendment, will mature on July 1, 2028. As of March 31, 2025, we had not drawn down from the Credit Facility.</w:t>
      </w:r>
    </w:p>
    <w:p>
      <w:pPr>
        <w:pStyle w:val="TextBody"/>
        <w:bidi w:val="0"/>
        <w:spacing w:before="240" w:after="240"/>
        <w:jc w:val="both"/>
        <w:rPr>
          <w:rFonts w:ascii="Arial" w:hAnsi="Arial"/>
          <w:color w:val="000000"/>
          <w:sz w:val="20"/>
        </w:rPr>
      </w:pPr>
      <w:r>
        <w:rPr>
          <w:rFonts w:ascii="Arial" w:hAnsi="Arial"/>
          <w:color w:val="000000"/>
          <w:sz w:val="20"/>
        </w:rPr>
        <w:t>Our overall leverage and certain obligations and affirmative and negative covenants contained in the Loan Agreement and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w:t>
      </w:r>
    </w:p>
    <w:p>
      <w:pPr>
        <w:pStyle w:val="TextBody"/>
        <w:bidi w:val="0"/>
        <w:spacing w:before="0" w:after="240"/>
        <w:jc w:val="both"/>
        <w:rPr>
          <w:rFonts w:ascii="Times New Roman" w:hAnsi="Times New Roman"/>
          <w:sz w:val="20"/>
        </w:rPr>
      </w:pPr>
      <w:r>
        <w:rPr>
          <w:rFonts w:ascii="Arial" w:hAnsi="Arial"/>
          <w:color w:val="000000"/>
          <w:sz w:val="20"/>
        </w:rPr>
        <w:t>If we default under the Loan Agreement, the Bank may accelerate all of our repayment obligations and exercise all of its rights and remedies under the Loan Agreement and applicable law, potentially requiring us to renegotiate our agreement on terms less favorable to us. Further, if we are liquidated, the lenders’ right to repayment would be senior to the rights of the holders of our common stock to receive any proceeds from the liquidation. The Bank could declare a default upon the occurrence of customary events of default, including, but not limited to, nonpayment of principal, interest, fees or other amounts; material inaccuracy of a representation or warranty; failure to perform or observe covenants; cross-defaults with certain other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indebtedness; bankruptcy and insolvency events; material monetary judgment defaults; material adverse change occurs; delisting; and a material impairment in the Bank’s security interest. Upon the occurrence of an event of default (subject, in certain cases, to notice and grace periods), obligations under the Loan Agreement may be accelerated thereby requiring us to repay the loan immediately. Any declaration by the lender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pStyle w:val="TextBody"/>
        <w:bidi w:val="0"/>
        <w:spacing w:before="0" w:after="240"/>
        <w:jc w:val="both"/>
        <w:rPr>
          <w:rFonts w:ascii="Arial" w:hAnsi="Arial"/>
          <w:b/>
          <w:color w:val="000000"/>
          <w:sz w:val="20"/>
        </w:rPr>
      </w:pPr>
      <w:r>
        <w:rPr>
          <w:rFonts w:ascii="Arial" w:hAnsi="Arial"/>
          <w:b/>
          <w:color w:val="000000"/>
          <w:sz w:val="20"/>
        </w:rPr>
        <w:t>Risks related to the discovery, development and commercialization of our product candidates</w:t>
      </w:r>
    </w:p>
    <w:p>
      <w:pPr>
        <w:pStyle w:val="TextBody"/>
        <w:bidi w:val="0"/>
        <w:spacing w:before="0" w:after="240"/>
        <w:jc w:val="both"/>
        <w:rPr>
          <w:rFonts w:ascii="Arial" w:hAnsi="Arial"/>
          <w:b/>
          <w:i/>
          <w:color w:val="000000"/>
          <w:sz w:val="20"/>
        </w:rPr>
      </w:pPr>
      <w:r>
        <w:rPr>
          <w:rFonts w:ascii="Arial" w:hAnsi="Arial"/>
          <w:b/>
          <w:i/>
          <w:color w:val="000000"/>
          <w:sz w:val="20"/>
        </w:rPr>
        <w:t>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w:t>
      </w:r>
    </w:p>
    <w:p>
      <w:pPr>
        <w:pStyle w:val="TextBody"/>
        <w:bidi w:val="0"/>
        <w:spacing w:before="0" w:after="240"/>
        <w:jc w:val="both"/>
        <w:rPr>
          <w:rFonts w:ascii="Arial" w:hAnsi="Arial"/>
          <w:color w:val="000000"/>
          <w:sz w:val="20"/>
        </w:rPr>
      </w:pPr>
      <w:r>
        <w:rPr>
          <w:rFonts w:ascii="Arial" w:hAnsi="Arial"/>
          <w:color w:val="000000"/>
          <w:sz w:val="20"/>
        </w:rPr>
        <w:t>Our future success is heavily dependent on our ability to timely complete clinical trials, obtain marketing approval for and successfully commercialize palazestrant, our lead product candidate. We expect that a substantial portion of our efforts and expenses over the next several years will be devoted to the development of palazestrant in our ongoing clinical trials in multiple indications. We are investing significant efforts and financial resources in the research and development of palazestrant. Palazestrant will require additional clinical development, evaluation of clinical, non-clinical and manufacturing activities, marketing approval from regulatory authorities, and significant marketing efforts before we can generate any revenues from product sales. We are not permitted to market or promote palazestrant before we receive marketing approval from the FDA and comparable foreign regulatory authorities, and we may never receive such marketing approvals. Should our planned clinical development of palazestrant in our lead indications fail to be completed in a timely manner or at all, we will need to rely on our ongoing and planned clinical development of palazestrant in additional indications, which will require more time and resources to obtain regulatory approval and proceed with commercialization and may ultimately be unsuccessful.</w:t>
      </w:r>
    </w:p>
    <w:p>
      <w:pPr>
        <w:pStyle w:val="TextBody"/>
        <w:bidi w:val="0"/>
        <w:spacing w:before="0" w:after="240"/>
        <w:jc w:val="both"/>
        <w:rPr>
          <w:rFonts w:ascii="Arial" w:hAnsi="Arial"/>
          <w:color w:val="000000"/>
          <w:sz w:val="20"/>
        </w:rPr>
      </w:pPr>
      <w:r>
        <w:rPr>
          <w:rFonts w:ascii="Arial" w:hAnsi="Arial"/>
          <w:color w:val="000000"/>
          <w:sz w:val="20"/>
        </w:rPr>
        <w:t>We cannot assure you that our planned clinical development programs for palazestrant will be completed in a timely manner, or at all, or that we will be able to obtain approval for palazestrant from the FDA, European Commission (based on the positive opinion of the EMA’s Committee for Medicinal Products for Human Use), or any comparable foreign regulatory authority. If we are unable to complete development of, obtain regulatory approval for and commercialize palazestrant in one or more indications and in a timely manner, our business, financial condition, results of operations and prospects will be significantly harmed.</w:t>
      </w:r>
    </w:p>
    <w:p>
      <w:pPr>
        <w:pStyle w:val="TextBody"/>
        <w:bidi w:val="0"/>
        <w:spacing w:before="0" w:after="240"/>
        <w:jc w:val="both"/>
        <w:rPr>
          <w:rFonts w:ascii="Arial" w:hAnsi="Arial"/>
          <w:b/>
          <w:i/>
          <w:color w:val="000000"/>
          <w:sz w:val="20"/>
        </w:rPr>
      </w:pPr>
      <w:r>
        <w:rPr>
          <w:rFonts w:ascii="Arial" w:hAnsi="Arial"/>
          <w:b/>
          <w:i/>
          <w:color w:val="000000"/>
          <w:sz w:val="20"/>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an NDA to the FDA or similar drug approval filings to comparable foreign authorities. If we are ultimately unable to obtain regulatory approval for palazestrant, OP-3136 or any future product candidates we may develop, we will be unable to generate product revenue and our business, financial condition, results of operations and prospects will be significantly harmed.</w:t>
      </w:r>
    </w:p>
    <w:p>
      <w:pPr>
        <w:pStyle w:val="TextBody"/>
        <w:bidi w:val="0"/>
        <w:spacing w:before="0" w:after="240"/>
        <w:jc w:val="both"/>
        <w:rPr>
          <w:rFonts w:ascii="Arial" w:hAnsi="Arial"/>
          <w:color w:val="000000"/>
          <w:sz w:val="20"/>
        </w:rPr>
      </w:pPr>
      <w:r>
        <w:rPr>
          <w:rFonts w:ascii="Arial" w:hAnsi="Arial"/>
          <w:color w:val="000000"/>
          <w:sz w:val="20"/>
        </w:rPr>
        <w:t>Clinical testing is expensive and can take many years to complete, and its outcome is inherently uncertain. Failure can occur at any time during the clinical trial process. The results of non-clinical studies and clinical trials of palazestrant, OP-3136 and any future product candidates we may develop may not be predictive of the results of subsequent clinical trials. We have a limited operating history and to date have not demonstrated our ability to complete large-scale clinical trials.</w:t>
      </w:r>
    </w:p>
    <w:p>
      <w:pPr>
        <w:pStyle w:val="TextBody"/>
        <w:bidi w:val="0"/>
        <w:spacing w:before="0" w:after="240"/>
        <w:jc w:val="both"/>
        <w:rPr>
          <w:rFonts w:ascii="Times New Roman" w:hAnsi="Times New Roman"/>
          <w:sz w:val="20"/>
        </w:rPr>
      </w:pPr>
      <w:r>
        <w:rPr>
          <w:rFonts w:ascii="Arial" w:hAnsi="Arial"/>
          <w:color w:val="000000"/>
          <w:sz w:val="20"/>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to varying interpretations, and regulators may not interpret our data as favorably as we do, which may delay, limit or prevent regulatory approval.</w:t>
      </w:r>
    </w:p>
    <w:p>
      <w:pPr>
        <w:pStyle w:val="TextBody"/>
        <w:bidi w:val="0"/>
        <w:spacing w:before="0" w:after="240"/>
        <w:jc w:val="both"/>
        <w:rPr>
          <w:rFonts w:ascii="Arial" w:hAnsi="Arial"/>
          <w:color w:val="000000"/>
          <w:sz w:val="20"/>
        </w:rPr>
      </w:pPr>
      <w:r>
        <w:rPr>
          <w:rFonts w:ascii="Arial" w:hAnsi="Arial"/>
          <w:color w:val="000000"/>
          <w:sz w:val="20"/>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palazestrant, OP-3136 or product candidates we may develop in the future may also be undergoing surgical, radiation and chemotherapy treatments and may be using other approved products or investigational new drugs, which can cause side effects or adverse events that are unrelated to palazestrant, OP-3136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We do not know whether our current clinical trial of palazestrant, OP-3136 or any future clinical trials we may conduct will demonstrate consistent or adequate efficacy and safety to obtain regulatory approval to market palazestrant, OP-3136 or any future product candidates we may develop. Most product candidates that begin clinical trials are never approved by regulatory authorities for commercialization. If we are unable to bring palazestrant, OP-3136 or any future product candidates to market, our ability to create long-term stockholder value will be limited.</w:t>
      </w:r>
    </w:p>
    <w:p>
      <w:pPr>
        <w:pStyle w:val="TextBody"/>
        <w:bidi w:val="0"/>
        <w:spacing w:before="0" w:after="240"/>
        <w:jc w:val="both"/>
        <w:rPr>
          <w:rFonts w:ascii="Arial" w:hAnsi="Arial"/>
          <w:color w:val="000000"/>
          <w:sz w:val="20"/>
        </w:rPr>
      </w:pPr>
      <w:r>
        <w:rPr>
          <w:rFonts w:ascii="Arial" w:hAnsi="Arial"/>
          <w:color w:val="000000"/>
          <w:sz w:val="20"/>
        </w:rPr>
        <w:t>In addition, we may rely in part on non-clinical, clinical and quality data generated by CROs and other third parties for regulatory submissions for palazestrant or OP-3136.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pStyle w:val="TextBody"/>
        <w:bidi w:val="0"/>
        <w:spacing w:before="0" w:after="240"/>
        <w:jc w:val="both"/>
        <w:rPr>
          <w:rFonts w:ascii="Arial" w:hAnsi="Arial"/>
          <w:color w:val="000000"/>
          <w:sz w:val="20"/>
        </w:rPr>
      </w:pPr>
      <w:r>
        <w:rPr>
          <w:rFonts w:ascii="Arial" w:hAnsi="Arial"/>
          <w:color w:val="000000"/>
          <w:sz w:val="20"/>
        </w:rPr>
        <w:t>Moreover, non-clinical and clinical data are often susceptible to varying interpretations and analyses and many companies that believed their product candidates performed satisfactorily in non-clinical studies and clinical trials nonetheless failed to obtain FDA, European Commission or comparable foreign regulatory authority approval. We cannot guarantee that the FDA or foreign regulatory authorities will interpret trial results as we do, and more trials could be required before we are able to submit an application seeking approval of palazestrant, OP-3136 or any future product candidates we may develop. To the extent that the results of the trials are not satisfactory to the FDA or foreign regulatory authorities for support of a marketing approval, we may be required to expend significant resources, which may not be available to us, to conduct additional trials in support of potential approval of palazestrant, OP-3136 or any future product candidates we may develop. Even if regulatory approval is secured for palazestrant or OP-3136, the terms of such approval may limit the scope and use of palazestrant or OP-3136, which may also limit its commercial potential. Furthermore, the approval policies or regulations of the FDA, European Commission or comparable foreign regulatory authorities may significantly change in a manner rendering our clinical data insufficient for approval, which may lead to the FDA, European Commission or comparable foreign regulatory authorities delaying, limiting or denying approval of palazestrant or OP-3136, including and any other indication we are seeking for approval under palazestrant or OP-3136.</w:t>
      </w:r>
    </w:p>
    <w:p>
      <w:pPr>
        <w:pStyle w:val="TextBody"/>
        <w:bidi w:val="0"/>
        <w:spacing w:before="0" w:after="240"/>
        <w:jc w:val="both"/>
        <w:rPr>
          <w:rFonts w:ascii="Arial" w:hAnsi="Arial"/>
          <w:b/>
          <w:i/>
          <w:color w:val="000000"/>
          <w:sz w:val="20"/>
        </w:rPr>
      </w:pPr>
      <w:r>
        <w:rPr>
          <w:rFonts w:ascii="Arial" w:hAnsi="Arial"/>
          <w:b/>
          <w:i/>
          <w:color w:val="000000"/>
          <w:sz w:val="20"/>
        </w:rPr>
        <w:t>The regulatory approval processes of the FDA, European Commission and comparable foreign authorities are lengthy, time consuming and inherently unpredictable, and if we are ultimately unable to obtain regulatory approval for palazestrant, OP-3136 or any future product candidates we may develop, our business, financial condition, results of operations and prospects will be significantly harmed.</w:t>
      </w:r>
    </w:p>
    <w:p>
      <w:pPr>
        <w:pStyle w:val="TextBody"/>
        <w:bidi w:val="0"/>
        <w:spacing w:before="0" w:after="240"/>
        <w:jc w:val="both"/>
        <w:rPr>
          <w:rFonts w:ascii="Times New Roman" w:hAnsi="Times New Roman"/>
          <w:sz w:val="20"/>
        </w:rPr>
      </w:pPr>
      <w:r>
        <w:rPr>
          <w:rFonts w:ascii="Arial" w:hAnsi="Arial"/>
          <w:color w:val="000000"/>
          <w:sz w:val="20"/>
        </w:rPr>
        <w:t>The time required to obtain approval by the FDA, European Commission and comparable foreign authorities is unpredictable but typically takes many years following the commencement of clinical trials and depends upon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pStyle w:val="TextBody"/>
        <w:bidi w:val="0"/>
        <w:spacing w:before="0" w:after="240"/>
        <w:jc w:val="both"/>
        <w:rPr>
          <w:rFonts w:ascii="Arial" w:hAnsi="Arial"/>
          <w:color w:val="000000"/>
          <w:sz w:val="20"/>
        </w:rPr>
      </w:pPr>
      <w:r>
        <w:rPr>
          <w:rFonts w:ascii="Arial" w:hAnsi="Arial"/>
          <w:color w:val="000000"/>
          <w:sz w:val="20"/>
        </w:rPr>
        <w:t>Applications for palazestrant or OP-3136 could fail to receive regulatory approval for many reasons, including the following: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European Commission or other comparable foreign regulatory authorities may disagree with the design, implementation or results of our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European Commission or other comparable foreign regulatory authorities may determine that palazestrant or OP-3136 is not safe and effective, only moderately effective or have undesirable or unintended side effects, toxicities or other characteristics that preclude our obtaining marketing approval or prevent or limit commercial use;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population studied in the clinical trial may not be sufficiently broad or representative to assure efficacy and safety in the full population for which we seek approval;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European Commission or other comparable foreign regulatory authorities may disagree with our interpretation of data from non-clinical studies or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data collected from clinical trials of palazestrant or OP-3136 may not be sufficient to support the submission of an NDA, or other submission or to obtain regulatory approval in the United States or elsewhere;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may be unable to demonstrate to the FDA, European Commission or other comparable foreign regulatory authorities that palazestrant's or OP-3136’s risk-benefit ratio for its proposed indication is acceptable;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the European Commission, the competent authorities of EU Member States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approval policies or regulations of the FDA, European Commission or other comparable foreign regulatory authorities may significantly change in a manner rendering our clinical data insufficient for approval.</w:t>
      </w:r>
    </w:p>
    <w:p>
      <w:pPr>
        <w:pStyle w:val="TextBody"/>
        <w:bidi w:val="0"/>
        <w:spacing w:before="0" w:after="240"/>
        <w:jc w:val="both"/>
        <w:rPr>
          <w:rFonts w:ascii="Arial" w:hAnsi="Arial"/>
          <w:color w:val="000000"/>
          <w:sz w:val="20"/>
        </w:rPr>
      </w:pPr>
      <w:r>
        <w:rPr>
          <w:rFonts w:ascii="Arial" w:hAnsi="Arial"/>
          <w:color w:val="000000"/>
          <w:sz w:val="20"/>
        </w:rPr>
        <w:t>This lengthy approval process, as well as the unpredictability of the results of clinical trials, may result in our failing to obtain regulatory approval to market palazestrant or OP-3136, which would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In addition, even if we obtain approval of palazestrant or OP-3136 for a lead indication, regulatory authorities may not approve palazestrant or OP-3136 for other indications, may impose significant limitations in the form of narrow indications, warnings, or a Risk Evaluation and Mitigation Strategy (REMS), or comparable foreign strategy. Certain regulatory authorities may grant approval contingent on the performance of costly post-marketing clinical trials or may approve palazestrant or OP-3136 with a label that does not include the labeling claims necessary or desirable for successful. In addition, regulatory authorities in certain countries may not approve the price we intend to charge for the product we develop. If we are unable to obtain regulatory approval of palazestrant or OP-3136, or if regulatory approval is limited, our business, financial condition, results of operation and prospects will be significantly harmed.</w:t>
      </w:r>
    </w:p>
    <w:p>
      <w:pPr>
        <w:pStyle w:val="TextBody"/>
        <w:bidi w:val="0"/>
        <w:spacing w:before="0" w:after="240"/>
        <w:jc w:val="both"/>
        <w:rPr>
          <w:rFonts w:ascii="Arial" w:hAnsi="Arial"/>
          <w:b/>
          <w:i/>
          <w:color w:val="000000"/>
          <w:sz w:val="20"/>
        </w:rPr>
      </w:pPr>
      <w:r>
        <w:rPr>
          <w:rFonts w:ascii="Arial" w:hAnsi="Arial"/>
          <w:b/>
          <w:i/>
          <w:color w:val="000000"/>
          <w:sz w:val="20"/>
        </w:rPr>
        <w:t>Delays in clinical trials are common and have many causes, and any delay could result in increased costs to us and jeopardize or delay our ability to obtain regulatory approval and commence product sales.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may experience delays in clinical trials of palazestrant, OP-3136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EMA, the European Commission or comparable foreign regulatory authorities disagreeing as to the design or implementation of our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obtaining regulatory authorizations to commence a trial or reaching a consensus with regulatory authorities on trial design;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any failure or delay in reaching an agreement with CROs and clinical trial sites, the terms of which can be subject to extensive negotiation and may vary significantly among different CROs and trial sites;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obtaining approval from one or more institutional review boards (IRBs), or positive Ethics Committee opinions;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IRBs refusing to approve or Ethics Committees issuing negative opinions, IRBs or Ethics Committees suspending, varying or terminating the trial at an investigational site, precluding enrollment of additional subjects, or withdrawing their approval of the trial;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changes to clinical trial protocol;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clinical sites deviating from trial protocol or dropping out of a trial;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manufacturing sufficient quantities of product candidates or obtaining sufficient quantities of combination therapies for use in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subjects failing to enroll or remain in our trial at the rate we expect, or failing to return for post- treatment follow-up;</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subjects choosing an alternative treatment for the indication for which we are developing palazestrant or OP-3136, or participating in competing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lack of adequate funding to continue the clinical trial;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subjects experiencing severe or unexpected drug-related adverse effects;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regulatory authorities imposing a clinical hold;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disruptions at the FDA and other agencies or regulatory authorities, including as a result of legislative actions or a government shutdown;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occurrence of serious adverse events in trials of the same class of agents conducted by other companies;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selection of clinical end points that require prolonged periods of clinical observation or analysis of the resulting data;</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shutdowns, either temporarily or permanently, of any facility manufacturing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or any of their components, including by order from the FDA, competent authorities of EU Member States or comparable foreign regulatory authorities due to violations of current good manufacturing practice (cGMP) regulations or other applicable requirements, or infections or cross-contaminations of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in the manufacturing process;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any changes to our manufacturing process that may be necessary or desired;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third-party contractors not performing data collection or analysis in a timely or accurate manner; or</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0" w:after="240"/>
        <w:jc w:val="both"/>
        <w:rPr>
          <w:rFonts w:ascii="Times New Roman" w:hAnsi="Times New Roman"/>
          <w:sz w:val="20"/>
        </w:rPr>
      </w:pPr>
      <w:r>
        <w:rPr>
          <w:rFonts w:ascii="Arial" w:hAnsi="Arial"/>
          <w:color w:val="000000"/>
          <w:sz w:val="20"/>
        </w:rPr>
        <w:t xml:space="preserve">We could also encounter delays if a clinical trial is suspended, varied or terminated by us, by the IRBs or Ethics Committees of the institutions in which such trials are being conducted, by a Data Safety Monitoring Board for such trial or by the FDA, </w:t>
      </w:r>
      <w:r>
        <w:rPr>
          <w:rFonts w:ascii="Arial" w:hAnsi="Arial"/>
          <w:color w:val="231F20"/>
          <w:sz w:val="20"/>
        </w:rPr>
        <w:t>competent authorities of EU Member States</w:t>
      </w:r>
      <w:r>
        <w:rPr>
          <w:rFonts w:ascii="Times New Roman" w:hAnsi="Times New Roman"/>
          <w:color w:val="000000"/>
          <w:sz w:val="20"/>
        </w:rPr>
        <w:t xml:space="preserve"> </w:t>
      </w:r>
      <w:r>
        <w:rPr>
          <w:rFonts w:ascii="Arial" w:hAnsi="Arial"/>
          <w:color w:val="000000"/>
          <w:sz w:val="20"/>
        </w:rPr>
        <w:t xml:space="preserve">or comparable foreign regulatory authorities. Such authorities may impose such a suspension, variation or termination due to a number of factors, including failure to conduct the clinical trial in accordance with regulatory requirements or our clinical protocols, inspection of the clinical trial operations or trial site by the FDA, </w:t>
      </w:r>
      <w:r>
        <w:rPr>
          <w:rFonts w:ascii="Arial" w:hAnsi="Arial"/>
          <w:color w:val="231F20"/>
          <w:sz w:val="20"/>
        </w:rPr>
        <w:t>competent authorities of EU Member States</w:t>
      </w:r>
      <w:r>
        <w:rPr>
          <w:rFonts w:ascii="Times New Roman" w:hAnsi="Times New Roman"/>
          <w:color w:val="000000"/>
          <w:sz w:val="20"/>
        </w:rPr>
        <w:t xml:space="preserve"> </w:t>
      </w:r>
      <w:r>
        <w:rPr>
          <w:rFonts w:ascii="Arial" w:hAnsi="Arial"/>
          <w:color w:val="000000"/>
          <w:sz w:val="20"/>
        </w:rPr>
        <w:t>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Ethics Committees, competent authorities of EU Member States for reexamination, which may impact the costs, timing or successful completion of a clinical trial.</w:t>
      </w:r>
    </w:p>
    <w:p>
      <w:pPr>
        <w:pStyle w:val="TextBody"/>
        <w:bidi w:val="0"/>
        <w:spacing w:before="0" w:after="240"/>
        <w:jc w:val="both"/>
        <w:rPr>
          <w:rFonts w:ascii="Arial" w:hAnsi="Arial"/>
          <w:color w:val="000000"/>
          <w:sz w:val="20"/>
        </w:rPr>
      </w:pPr>
      <w:r>
        <w:rPr>
          <w:rFonts w:ascii="Arial" w:hAnsi="Arial"/>
          <w:color w:val="000000"/>
          <w:sz w:val="20"/>
        </w:rPr>
        <w:t>Further, conducting clinical trials in foreign countries, as we may do for palazestrant, OP-3136 or product candidates we may develop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0" w:after="240"/>
        <w:jc w:val="both"/>
        <w:rPr>
          <w:rFonts w:ascii="Arial" w:hAnsi="Arial"/>
          <w:color w:val="000000"/>
          <w:sz w:val="20"/>
        </w:rPr>
      </w:pPr>
      <w:r>
        <w:rPr>
          <w:rFonts w:ascii="Arial" w:hAnsi="Arial"/>
          <w:color w:val="000000"/>
          <w:sz w:val="20"/>
        </w:rPr>
        <w:t>If we experience delays in the completion of, or termination of, any clinical trial of palazestrant, OP-3136 or any product candidates we may develop in the future, the commercial prospects of palazestrant, OP-3136 or any product candidates we may develop in the future will be harmed, and our ability to generate product revenues from palazestrant, OP-3136 or any product candidates we may develop in the future will be delayed. Moreover, any delays in completing our clinical trials will increase our costs, slow down palazestrant’s, OP-3136's or any product candidates we may develop in the future’s development and approval process and jeopardize our ability to commence product sales and generate revenues.</w:t>
      </w:r>
    </w:p>
    <w:p>
      <w:pPr>
        <w:pStyle w:val="TextBody"/>
        <w:bidi w:val="0"/>
        <w:spacing w:before="0" w:after="240"/>
        <w:jc w:val="both"/>
        <w:rPr>
          <w:rFonts w:ascii="Arial" w:hAnsi="Arial"/>
          <w:color w:val="000000"/>
          <w:sz w:val="20"/>
        </w:rPr>
      </w:pPr>
      <w:r>
        <w:rPr>
          <w:rFonts w:ascii="Arial" w:hAnsi="Arial"/>
          <w:color w:val="000000"/>
          <w:sz w:val="20"/>
        </w:rPr>
        <w:t>In addition, many of the factors that cause, or lead to, termination, variation or suspension of, or a delay in the commencement or completion of, clinical trials may also ultimately lead to the denial of regulatory approval of palazestrant, OP-3136 or any product candidates we may develop in the future. Any delays in our clinical trials that occur as a result could shorten any period during which we may have the exclusive right to commercialize palazestrant, OP-3136 or any product candidates we may develop in the future and our competitors may be able to bring products to market before we do, and the commercial viability of palazestrant, OP-3136 or any product candidates we may develop in the future could be significantly reduced. Any of these occurrences may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Although we have received Fast Track designation for palazestrant for ER+/HER2- metastatic breast cancer that has progressed following one or more lines of endocrine therapy with at least one line given in combination with a CDK4/6 inhibitor, we may be unable to obtain or maintain the benefits associated with such designation.</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In July 2022, we were granted FDA Fast Track designation for palazestrant for ER+/HER2- metastatic breast cancer that has progressed following one or more lines of endocrine therapy with at least one line given in combination with a CDK4/6 inhibitor. If a drug is intended for the treatment of a serious or life-threatening condition and demonstrates the potential to address unmet medical needs for this condition, the sponsor may apply for FDA Fast Track designation for a particular indication. NDAs submitted for Fast Track designated drugs may qualify for priority review, accelerated approval and rolling submission under the policies and procedures offered by the FDA, but the Fast Track designation does not assure any such qualification or ultimate marketing approval by the FDA. In addition, we may not experience a faster development process, review or approval compared to conventional FDA procedures, and receiving a Fast Track designation does not provide assurance of ultimate FDA approval.</w:t>
      </w:r>
    </w:p>
    <w:p>
      <w:pPr>
        <w:pStyle w:val="TextBody"/>
        <w:bidi w:val="0"/>
        <w:spacing w:before="0" w:after="240"/>
        <w:jc w:val="both"/>
        <w:rPr>
          <w:rFonts w:ascii="Arial" w:hAnsi="Arial"/>
          <w:b/>
          <w:i/>
          <w:color w:val="000000"/>
          <w:sz w:val="20"/>
        </w:rPr>
      </w:pPr>
      <w:r>
        <w:rPr>
          <w:rFonts w:ascii="Arial" w:hAnsi="Arial"/>
          <w:b/>
          <w:i/>
          <w:color w:val="000000"/>
          <w:sz w:val="20"/>
        </w:rPr>
        <w:t>Because we are pursuing a variety of target indications for palazestrant, we may expend our limited resources to pursue a particular indication and fail to capitalize on indications or additional product candidates that may be more profitable or for which there is a greater likelihood of success.</w:t>
      </w:r>
    </w:p>
    <w:p>
      <w:pPr>
        <w:pStyle w:val="TextBody"/>
        <w:bidi w:val="0"/>
        <w:spacing w:before="0" w:after="240"/>
        <w:jc w:val="both"/>
        <w:rPr>
          <w:rFonts w:ascii="Arial" w:hAnsi="Arial"/>
          <w:color w:val="000000"/>
          <w:sz w:val="20"/>
        </w:rPr>
      </w:pPr>
      <w:r>
        <w:rPr>
          <w:rFonts w:ascii="Arial" w:hAnsi="Arial"/>
          <w:color w:val="000000"/>
          <w:sz w:val="20"/>
        </w:rPr>
        <w:t>We are currently focused on pursuing a variety of target indications for palazestrant, and we have expended, and plan to continue to expend, significant resources to pursue these and other indications for palazestrant. We also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0" w:after="240"/>
        <w:jc w:val="both"/>
        <w:rPr>
          <w:rFonts w:ascii="Arial" w:hAnsi="Arial"/>
          <w:color w:val="000000"/>
          <w:sz w:val="20"/>
        </w:rPr>
      </w:pPr>
      <w:r>
        <w:rPr>
          <w:rFonts w:ascii="Arial" w:hAnsi="Arial"/>
          <w:color w:val="000000"/>
          <w:sz w:val="20"/>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Even if approved, palazestrant or OP-3136 may not achieve adequate market acceptance among physicians, patients, healthcare payors and others in the medical community necessary for commercial success.</w:t>
      </w:r>
    </w:p>
    <w:p>
      <w:pPr>
        <w:pStyle w:val="TextBody"/>
        <w:bidi w:val="0"/>
        <w:spacing w:before="0" w:after="240"/>
        <w:jc w:val="both"/>
        <w:rPr>
          <w:rFonts w:ascii="Arial" w:hAnsi="Arial"/>
          <w:color w:val="000000"/>
          <w:sz w:val="20"/>
        </w:rPr>
      </w:pPr>
      <w:r>
        <w:rPr>
          <w:rFonts w:ascii="Arial" w:hAnsi="Arial"/>
          <w:color w:val="000000"/>
          <w:sz w:val="20"/>
        </w:rPr>
        <w:t>Even if palazestrant or OP-3136 receives regulatory approval, it may not gain adequate market acceptance among physicians, patients, healthcare payors and others in the medical community. The degree of market acceptance would depend on a number of factors,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efficacy and safety profile as demonstrated in clinical trials compared to alternative treatments;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timing of market introduction of the product candidate as well as competitive products;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clinical indications for which the product candidate is approved;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restrictions on the use of palazestrant or OP-3136, such as boxed warnings or contraindications in labeling, or a REMS, or comparable foreign strategy, if any, which may not be required of alternative treatments and competitor products;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potential and perceived advantages of product candidates over alternative treatments;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cost of treatment in relation to alternative treatments;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pricing and the availability of coverage and adequate reimbursement by third-party payors, including government authorities;</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 xml:space="preserve">the availability of palazestrant or </w:t>
      </w:r>
      <w:r>
        <w:rPr>
          <w:rFonts w:ascii="Arial" w:hAnsi="Arial"/>
          <w:color w:val="000000"/>
          <w:sz w:val="20"/>
        </w:rPr>
        <w:t xml:space="preserve">OP-3136 </w:t>
      </w:r>
      <w:r>
        <w:rPr>
          <w:rFonts w:ascii="Arial" w:hAnsi="Arial"/>
          <w:color w:val="231F20"/>
          <w:sz w:val="20"/>
        </w:rPr>
        <w:t>for use as a combination therapy;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relative convenience and ease of administration;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willingness of the target patient population to try new therapies and of physicians to prescribe these therapies;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effectiveness of sales and marketing efforts;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unfavorable publicity relating to palazestrant, OP-3136 or similar approved products or product candidates in development by third parties;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approval of other new therapies for the same indications.</w:t>
      </w:r>
    </w:p>
    <w:p>
      <w:pPr>
        <w:pStyle w:val="TextBody"/>
        <w:bidi w:val="0"/>
        <w:spacing w:before="0" w:after="240"/>
        <w:jc w:val="both"/>
        <w:rPr>
          <w:rFonts w:ascii="Arial" w:hAnsi="Arial"/>
          <w:color w:val="000000"/>
          <w:sz w:val="20"/>
        </w:rPr>
      </w:pPr>
      <w:r>
        <w:rPr>
          <w:rFonts w:ascii="Arial" w:hAnsi="Arial"/>
          <w:color w:val="000000"/>
          <w:sz w:val="20"/>
        </w:rPr>
        <w:t>If palazestrant or OP-3136 is approved but does not achieve an adequate level of acceptance by physicians, hospitals, healthcare payors and patients, we may not generate or derive sufficient revenue,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experience delays or difficulties in the enrollment and/or maintenance of patients in clinical trials, our clinical development activities could be delayed or otherwise adversely affected.</w:t>
      </w:r>
    </w:p>
    <w:p>
      <w:pPr>
        <w:pStyle w:val="TextBody"/>
        <w:bidi w:val="0"/>
        <w:spacing w:before="0" w:after="240"/>
        <w:jc w:val="both"/>
        <w:rPr>
          <w:rFonts w:ascii="Arial" w:hAnsi="Arial"/>
          <w:color w:val="000000"/>
          <w:sz w:val="20"/>
        </w:rPr>
      </w:pPr>
      <w:r>
        <w:rPr>
          <w:rFonts w:ascii="Arial" w:hAnsi="Arial"/>
          <w:color w:val="000000"/>
          <w:sz w:val="20"/>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palazestrant, OP-3136 or any future product candidate we may develop, if we are unable to locate and enroll a sufficient number of eligible patients to participate in these trials to such trial’s conclusion as required by the FDA, EMA, the European Commission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pStyle w:val="TextBody"/>
        <w:bidi w:val="0"/>
        <w:spacing w:before="0" w:after="240"/>
        <w:jc w:val="both"/>
        <w:rPr>
          <w:rFonts w:ascii="Arial" w:hAnsi="Arial"/>
          <w:color w:val="000000"/>
          <w:sz w:val="20"/>
        </w:rPr>
      </w:pPr>
      <w:r>
        <w:rPr>
          <w:rFonts w:ascii="Arial" w:hAnsi="Arial"/>
          <w:color w:val="000000"/>
          <w:sz w:val="20"/>
        </w:rPr>
        <w:t>Patient enrollment may also be affected if our competitors have ongoing clinical trials for product candidates that are under development for the same indications as palazestrant, OP-3136 or any future product candidate we may develop, and patients who would otherwise be eligible for our clinical trials instead enroll in clinical trials of our competitors’ product candidates. Patient enrollment for any of our clinical trials may be affected by other factors,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size and nature of the patient population;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severity of the disease under investigation;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availability and efficacy of approved drugs for the disease under investigation;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patient eligibility criteria for the trial in question as defined in the protocol;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perceived risks and benefits of the product candidate under study;</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clinicians’ and patients’ perceptions as to the potential advantages of the product candidate being studied in relation to other available therapies, including any new products that may be approved for the indications we are investigating;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efforts to facilitate timely enrollment in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patient referral practices of physicians;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ability to monitor patients adequately during and after treatment;</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proximity and availability of clinical trial sites for prospective patients;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continued enrollment of prospective patients by clinical trial sites;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risk that patients enrolled in clinical trials will drop out of the trials before completion or, because they may be late-stage cancer patients, will not survive the full terms of the clinical trials;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level of resources that clinical sites have to conduct a growing number of clinical studies.</w:t>
      </w:r>
    </w:p>
    <w:p>
      <w:pPr>
        <w:pStyle w:val="TextBody"/>
        <w:bidi w:val="0"/>
        <w:spacing w:before="0" w:after="240"/>
        <w:jc w:val="both"/>
        <w:rPr>
          <w:rFonts w:ascii="Arial" w:hAnsi="Arial"/>
          <w:color w:val="000000"/>
          <w:sz w:val="20"/>
        </w:rPr>
      </w:pPr>
      <w:r>
        <w:rPr>
          <w:rFonts w:ascii="Arial" w:hAnsi="Arial"/>
          <w:color w:val="000000"/>
          <w:sz w:val="20"/>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palazestrant, OP-3136 or any future product candidate we may develop and jeopardize our ability to obtain marketing approval for the sale of palazestrant, OP-3136 or any product candidate we may develop in the future. Furthermore, even if we are able to enroll a sufficient number of patients for our clinical trials, we may have difficulty maintaining enrollment of such patients in our clinical trials.</w:t>
      </w:r>
    </w:p>
    <w:p>
      <w:pPr>
        <w:pStyle w:val="TextBody"/>
        <w:bidi w:val="0"/>
        <w:spacing w:before="0" w:after="240"/>
        <w:jc w:val="both"/>
        <w:rPr>
          <w:rFonts w:ascii="Arial" w:hAnsi="Arial"/>
          <w:b/>
          <w:i/>
          <w:color w:val="000000"/>
          <w:sz w:val="20"/>
        </w:rPr>
      </w:pPr>
      <w:r>
        <w:rPr>
          <w:rFonts w:ascii="Arial" w:hAnsi="Arial"/>
          <w:b/>
          <w:i/>
          <w:color w:val="000000"/>
          <w:sz w:val="20"/>
        </w:rPr>
        <w:t>We intend to develop palazestrant, and may develop OP-3136 or future product candidates, in combination with other therapies, which exposes us to additional risks.</w:t>
      </w:r>
    </w:p>
    <w:p>
      <w:pPr>
        <w:pStyle w:val="TextBody"/>
        <w:bidi w:val="0"/>
        <w:spacing w:before="0" w:after="240"/>
        <w:jc w:val="both"/>
        <w:rPr>
          <w:rFonts w:ascii="Arial" w:hAnsi="Arial"/>
          <w:color w:val="000000"/>
          <w:sz w:val="20"/>
        </w:rPr>
      </w:pPr>
      <w:r>
        <w:rPr>
          <w:rFonts w:ascii="Arial" w:hAnsi="Arial"/>
          <w:color w:val="000000"/>
          <w:sz w:val="20"/>
        </w:rPr>
        <w:t>We intend to develop palazestrant, and may develop OP-3136 or other future product candidates, in combination with one or more other approved or unapproved therapies to treat cancer or other diseases. For example, we have a Phase 1/2 clinical study of palazestrant in a combination trial with a CDK4/6 inhibitor, and additional Phase 1/2 clinical studies of palazestrant in combination with another CDK4/6 inhibitor and with a PI3Ka inhibitor. We also expect to initiate OPERA-02, a proposed Phase 3 clinical trial of palazestrant in combination with a CDK4/6 inhibitor, ribociclib, in 2025.</w:t>
      </w:r>
    </w:p>
    <w:p>
      <w:pPr>
        <w:pStyle w:val="TextBody"/>
        <w:bidi w:val="0"/>
        <w:spacing w:before="0" w:after="240"/>
        <w:jc w:val="both"/>
        <w:rPr>
          <w:rFonts w:ascii="Arial" w:hAnsi="Arial"/>
          <w:color w:val="000000"/>
          <w:sz w:val="20"/>
        </w:rPr>
      </w:pPr>
      <w:r>
        <w:rPr>
          <w:rFonts w:ascii="Arial" w:hAnsi="Arial"/>
          <w:color w:val="000000"/>
          <w:sz w:val="20"/>
        </w:rPr>
        <w:t>Even if palazestrant, OP-3136 or any future product candidate we develop, were to receive marketing approval or be commercialized for use in combination with other existing therapies, we would continue to be subject to the risks that the FDA, the European Commission or comparable foreign regulatory authorities could revoke approval of the therapy used in combination with our product or that safety, efficacy, manufacturing or supply issues could arise with any of those existing therapies. If the therapies we use in combination with palazestrant, OP-3136 or any future product candidate we may develop, are replaced as the standard of care for the indications we choose for palazestrant, OP-3136 or any future product candidate we may develop, the FDA, the European Commission or comparable foreign regulatory authorities may require us to conduct additional clinical trials. The occurrence of any of these risks could result in our own product, if approved, being removed from the market or being less successful commercially.</w:t>
      </w:r>
    </w:p>
    <w:p>
      <w:pPr>
        <w:pStyle w:val="TextBody"/>
        <w:bidi w:val="0"/>
        <w:spacing w:before="0" w:after="240"/>
        <w:jc w:val="both"/>
        <w:rPr>
          <w:rFonts w:ascii="Arial" w:hAnsi="Arial"/>
          <w:color w:val="000000"/>
          <w:sz w:val="20"/>
        </w:rPr>
      </w:pPr>
      <w:r>
        <w:rPr>
          <w:rFonts w:ascii="Arial" w:hAnsi="Arial"/>
          <w:color w:val="000000"/>
          <w:sz w:val="20"/>
        </w:rPr>
        <w:t>We also may choose to evaluate palazestrant, OP-3136 or future product candidates in combination with one or more cancer therapies that have not yet been approved for marketing by the FDA, European Commission or comparable foreign regulatory authorities. We will not be able to market and sell palazestrant, OP-3136 or any future product candidate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palazestrant or OP-3136 currently in development and clinical trials, including the potential for serious adverse effects, delay in their clinical trials and lack of FDA, European Commission or comparable foreign regulatory approval.</w:t>
      </w:r>
    </w:p>
    <w:p>
      <w:pPr>
        <w:pStyle w:val="TextBody"/>
        <w:bidi w:val="0"/>
        <w:spacing w:before="0" w:after="240"/>
        <w:jc w:val="both"/>
        <w:rPr>
          <w:rFonts w:ascii="Arial" w:hAnsi="Arial"/>
          <w:color w:val="000000"/>
          <w:sz w:val="20"/>
        </w:rPr>
      </w:pPr>
      <w:r>
        <w:rPr>
          <w:rFonts w:ascii="Arial" w:hAnsi="Arial"/>
          <w:color w:val="000000"/>
          <w:sz w:val="20"/>
        </w:rPr>
        <w:t>If the FDA, European Commission or comparable foreign regulatory authorities do not approve these other drugs or revoke their approval of, or if safety, efficacy, quality, manufacturing or supply issues arise with, the drugs we choose to evaluate in combination with palazestrant, OP-3136 or future product candidates we may develop, we may be unable to obtain approval of or market such combination therapy.</w:t>
      </w:r>
    </w:p>
    <w:p>
      <w:pPr>
        <w:pStyle w:val="TextBody"/>
        <w:bidi w:val="0"/>
        <w:spacing w:before="0" w:after="240"/>
        <w:jc w:val="both"/>
        <w:rPr>
          <w:rFonts w:ascii="Arial" w:hAnsi="Arial"/>
          <w:b/>
          <w:i/>
          <w:color w:val="000000"/>
          <w:sz w:val="20"/>
        </w:rPr>
      </w:pPr>
      <w:r>
        <w:rPr>
          <w:rFonts w:ascii="Arial" w:hAnsi="Arial"/>
          <w:b/>
          <w:i/>
          <w:color w:val="000000"/>
          <w:sz w:val="20"/>
        </w:rPr>
        <w:t>Risks associated with the in-licensing or acquisition of drug candidates could cause substantial delays in the pre-clinical and clinical development of our drug candidates.</w:t>
      </w:r>
    </w:p>
    <w:p>
      <w:pPr>
        <w:pStyle w:val="TextBody"/>
        <w:bidi w:val="0"/>
        <w:spacing w:before="0" w:after="240"/>
        <w:jc w:val="both"/>
        <w:rPr>
          <w:rFonts w:ascii="Times New Roman" w:hAnsi="Times New Roman"/>
          <w:sz w:val="20"/>
        </w:rPr>
      </w:pPr>
      <w:r>
        <w:rPr>
          <w:rFonts w:ascii="Arial" w:hAnsi="Arial"/>
          <w:color w:val="000000"/>
          <w:sz w:val="20"/>
        </w:rPr>
        <w:t>We have previously in-licensed product candidates, and we may acquire or in-license potential product candidates for in the future, as we continue to build our pipeline. Such arrangements with third parties may impose diligence, development and commercialization obligations, milestone payments, royalty payments,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indemnification and other obligations on us. Our obligations to pay milestone, royalty and other payments to our licensor may be substantial, and the amount and timing of such payments may impact our ability to progress the development and commercialization of our product candidates. Our rights to use any licensed intellectual property may be subject to the continuation of and our compliance with the terms of any such agreements.</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Disputes over intellectual property and other rights that we have licensed or acquired, or may license or acquire in the future, from third parties could prevent or impair our ability to maintain any such arrangements on acceptable terms, result in delays in the commencement or completion of our pre-clinical studies and clinical trials and impact our ability to successfully develop and commercialize the affected product candidates. If we fail to comply with our obligations under any licensing agreements, these agreements may be terminated or the scope of our rights under them may be reduced and we might be unable to develop, manufacture or market any product that is licensed under these agreements.</w:t>
      </w:r>
    </w:p>
    <w:p>
      <w:pPr>
        <w:pStyle w:val="TextBody"/>
        <w:bidi w:val="0"/>
        <w:spacing w:before="0" w:after="240"/>
        <w:jc w:val="both"/>
        <w:rPr>
          <w:rFonts w:ascii="Arial" w:hAnsi="Arial"/>
          <w:b/>
          <w:i/>
          <w:color w:val="000000"/>
          <w:sz w:val="20"/>
        </w:rPr>
      </w:pPr>
      <w:r>
        <w:rPr>
          <w:rFonts w:ascii="Arial" w:hAnsi="Arial"/>
          <w:b/>
          <w:i/>
          <w:color w:val="000000"/>
          <w:sz w:val="20"/>
        </w:rPr>
        <w:t>The incidence and prevalence for target patient populations of palazestrant and OP-3136 are based on estimates and third-party sources. If the market opportunities for palazestrant, OP-3136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0" w:after="240"/>
        <w:jc w:val="both"/>
        <w:rPr>
          <w:rFonts w:ascii="Arial" w:hAnsi="Arial"/>
          <w:color w:val="000000"/>
          <w:sz w:val="20"/>
        </w:rPr>
      </w:pPr>
      <w:r>
        <w:rPr>
          <w:rFonts w:ascii="Arial" w:hAnsi="Arial"/>
          <w:color w:val="000000"/>
          <w:sz w:val="20"/>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pStyle w:val="TextBody"/>
        <w:bidi w:val="0"/>
        <w:spacing w:before="0" w:after="240"/>
        <w:jc w:val="both"/>
        <w:rPr>
          <w:rFonts w:ascii="Arial" w:hAnsi="Arial"/>
          <w:color w:val="000000"/>
          <w:sz w:val="20"/>
        </w:rPr>
      </w:pPr>
      <w:r>
        <w:rPr>
          <w:rFonts w:ascii="Arial" w:hAnsi="Arial"/>
          <w:color w:val="000000"/>
          <w:sz w:val="20"/>
        </w:rPr>
        <w:t>The incidence and prevalence for target patient populations of palazestrant or OP-3136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palazestrant, OP-3136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0" w:after="240"/>
        <w:jc w:val="both"/>
        <w:rPr>
          <w:rFonts w:ascii="Arial" w:hAnsi="Arial"/>
          <w:b/>
          <w:i/>
          <w:color w:val="000000"/>
          <w:sz w:val="20"/>
        </w:rPr>
      </w:pPr>
      <w:r>
        <w:rPr>
          <w:rFonts w:ascii="Arial" w:hAnsi="Arial"/>
          <w:b/>
          <w:i/>
          <w:color w:val="000000"/>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240"/>
        <w:jc w:val="both"/>
        <w:rPr>
          <w:rFonts w:ascii="Arial" w:hAnsi="Arial"/>
          <w:color w:val="000000"/>
          <w:sz w:val="20"/>
        </w:rPr>
      </w:pPr>
      <w:r>
        <w:rPr>
          <w:rFonts w:ascii="Arial" w:hAnsi="Arial"/>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0" w:after="240"/>
        <w:jc w:val="both"/>
        <w:rPr>
          <w:rFonts w:ascii="Arial" w:hAnsi="Arial"/>
          <w:color w:val="000000"/>
          <w:sz w:val="20"/>
        </w:rPr>
      </w:pPr>
      <w:r>
        <w:rPr>
          <w:rFonts w:ascii="Arial" w:hAnsi="Arial"/>
          <w:color w:val="000000"/>
          <w:sz w:val="20"/>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Further, others, including regulatory authorities,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spacing w:before="0" w:after="240"/>
        <w:jc w:val="both"/>
        <w:rPr>
          <w:rFonts w:ascii="Arial" w:hAnsi="Arial"/>
          <w:color w:val="000000"/>
          <w:sz w:val="20"/>
        </w:rPr>
      </w:pPr>
      <w:r>
        <w:rPr>
          <w:rFonts w:ascii="Arial" w:hAnsi="Arial"/>
          <w:color w:val="000000"/>
          <w:sz w:val="20"/>
        </w:rPr>
        <w:t>If the interim, top-line, or preliminary data that we report differ from actual results, or if others, including regulatory authorities, disagree with the conclusions reached, our ability to obtain approval for, and commercialize, palazestrant, OP-3136 or any future product candidates we may develop may be harmed,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face significant competition, and if our competitors develop and market technologies or products more rapidly than we do or that are more effective, safer or less expensive than palazestrant, OP-3136 or product candidates we may develop in the future, our commercial opportunities will be negatively impacted.</w:t>
      </w:r>
    </w:p>
    <w:p>
      <w:pPr>
        <w:pStyle w:val="TextBody"/>
        <w:bidi w:val="0"/>
        <w:spacing w:before="0" w:after="240"/>
        <w:jc w:val="both"/>
        <w:rPr>
          <w:rFonts w:ascii="Arial" w:hAnsi="Arial"/>
          <w:color w:val="000000"/>
          <w:sz w:val="20"/>
        </w:rPr>
      </w:pPr>
      <w:r>
        <w:rPr>
          <w:rFonts w:ascii="Arial" w:hAnsi="Arial"/>
          <w:color w:val="000000"/>
          <w:sz w:val="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palazestrant or OP-3136.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palazestrant and OP-3136. Products we may develop in the future are also likely to face competition from other products and therapies, some of which we may not currently be aware. In addition, palazestrant, OP-3136 and any product candidate that we may develop in the future may need to compete with off-label drugs used by physicians to treat the indications for which we seek approval. This may make it difficult for us to replace existing therapies with palazestrant, OP-3136 and any product candidate that we may develop in the future.</w:t>
      </w:r>
    </w:p>
    <w:p>
      <w:pPr>
        <w:pStyle w:val="TextBody"/>
        <w:bidi w:val="0"/>
        <w:spacing w:before="0" w:after="240"/>
        <w:jc w:val="both"/>
        <w:rPr>
          <w:rFonts w:ascii="Arial" w:hAnsi="Arial"/>
          <w:color w:val="000000"/>
          <w:sz w:val="20"/>
        </w:rPr>
      </w:pPr>
      <w:r>
        <w:rPr>
          <w:rFonts w:ascii="Arial" w:hAnsi="Arial"/>
          <w:color w:val="000000"/>
          <w:sz w:val="20"/>
        </w:rPr>
        <w:t>In particular, there is intense competition in the field of women’s cancer which we are pursuing. We have competitors both in the United States and internationally, including major multinational pharmaceutical companies, established biotechnology companies, specialty pharmaceutical companies, emerging and start-up companies, government authorities,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bidi w:val="0"/>
        <w:spacing w:before="0" w:after="240"/>
        <w:jc w:val="both"/>
        <w:rPr>
          <w:rFonts w:ascii="Times New Roman" w:hAnsi="Times New Roman"/>
          <w:sz w:val="20"/>
        </w:rPr>
      </w:pPr>
      <w:r>
        <w:rPr>
          <w:rFonts w:ascii="Arial" w:hAnsi="Arial"/>
          <w:color w:val="000000"/>
          <w:sz w:val="20"/>
        </w:rPr>
        <w:t>For example, if we are successful in developing palazestrant, it may compete against existing products and product candidates in development, to the extent any such product candidates are approved, for the treatment of ER+ breast cancer, including fulvestrant, marketed as Faslodex® by AstraZeneca PLC and or any generic equivalents of Faslodex® that are marketed or in development; elacestrant, marketed as ORSERDU</w:t>
      </w:r>
      <w:r>
        <w:rPr>
          <w:rFonts w:ascii="Arial" w:hAnsi="Arial"/>
          <w:color w:val="000000"/>
          <w:sz w:val="13"/>
        </w:rPr>
        <w:t>TM</w:t>
      </w:r>
      <w:r>
        <w:rPr>
          <w:rFonts w:ascii="Arial" w:hAnsi="Arial"/>
          <w:color w:val="000000"/>
          <w:sz w:val="20"/>
        </w:rPr>
        <w:t>by Stemline Therapeutics Inc.; giredestrant (GDC-9545), being developed by Roche Holding AG/Genentech, Inc.; camizestrant (AZD9833), being developed by AstraZeneca PLC; imlunestrant (LY3484356), being developed by Eli Lilly and Co.; vepdegestrant (ARV-471), being developed by Arvinas, Inc. in partnership with Pfizer, Inc.; and lasofoxifene, being developed by Sermonix Pharmaceuticals. There are also a number of KAT6 inhibitor product candidates in development that may compete with OP-3136 including PF-07248144, which is being developed by Pfizer, and MEN2312, which is being developed by Stemline Therapeutics.</w:t>
      </w:r>
    </w:p>
    <w:p>
      <w:pPr>
        <w:pStyle w:val="TextBody"/>
        <w:bidi w:val="0"/>
        <w:spacing w:before="0" w:after="240"/>
        <w:jc w:val="both"/>
        <w:rPr>
          <w:rFonts w:ascii="Times New Roman" w:hAnsi="Times New Roman"/>
          <w:sz w:val="20"/>
        </w:rPr>
      </w:pPr>
      <w:r>
        <w:rPr>
          <w:rFonts w:ascii="Arial" w:hAnsi="Arial"/>
          <w:color w:val="000000"/>
          <w:sz w:val="20"/>
        </w:rPr>
        <w:t>We have chosen to initially address well-validated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the European Commission or other comparable foreign regulatory authorities or in discovering, developing and commercializing products in our field before we do.</w:t>
      </w:r>
    </w:p>
    <w:p>
      <w:pPr>
        <w:pStyle w:val="TextBody"/>
        <w:bidi w:val="0"/>
        <w:spacing w:before="0" w:after="240"/>
        <w:jc w:val="both"/>
        <w:rPr>
          <w:rFonts w:ascii="Arial" w:hAnsi="Arial"/>
          <w:color w:val="000000"/>
          <w:sz w:val="20"/>
        </w:rPr>
      </w:pPr>
      <w:r>
        <w:rPr>
          <w:rFonts w:ascii="Arial" w:hAnsi="Arial"/>
          <w:color w:val="000000"/>
          <w:sz w:val="20"/>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the European Commission or other comparable foreign regulatory authorities for their products more rapidly than we may obtain approval for ours, which could result in our competitors establishing a strong market position before we are able to enter the market. Even if palazestrant, OP-3136 or other product candidates we may 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palazestrant, OP-3136 or product candidates we may develop in the future obsolete, less competitive or not economical. If we are unable to compete effectively, our opportunity to generate revenue from the sale of our product we may develop, if approved, would be adversely affected.</w:t>
      </w:r>
    </w:p>
    <w:p>
      <w:pPr>
        <w:pStyle w:val="TextBody"/>
        <w:bidi w:val="0"/>
        <w:spacing w:before="0" w:after="240"/>
        <w:jc w:val="both"/>
        <w:rPr>
          <w:rFonts w:ascii="Arial" w:hAnsi="Arial"/>
          <w:b/>
          <w:i/>
          <w:color w:val="000000"/>
          <w:sz w:val="20"/>
        </w:rPr>
      </w:pPr>
      <w:r>
        <w:rPr>
          <w:rFonts w:ascii="Arial" w:hAnsi="Arial"/>
          <w:b/>
          <w:i/>
          <w:color w:val="000000"/>
          <w:sz w:val="20"/>
        </w:rPr>
        <w:t>Changes in methods of palazestrant manufacturing or formulation may result in additional costs or delay.</w:t>
      </w:r>
    </w:p>
    <w:p>
      <w:pPr>
        <w:pStyle w:val="TextBody"/>
        <w:bidi w:val="0"/>
        <w:spacing w:before="0" w:after="240"/>
        <w:jc w:val="both"/>
        <w:rPr>
          <w:rFonts w:ascii="Arial" w:hAnsi="Arial"/>
          <w:color w:val="000000"/>
          <w:sz w:val="20"/>
        </w:rPr>
      </w:pPr>
      <w:r>
        <w:rPr>
          <w:rFonts w:ascii="Arial" w:hAnsi="Arial"/>
          <w:color w:val="000000"/>
          <w:sz w:val="20"/>
        </w:rPr>
        <w:t>As palazestrant progresses through non-clinical and clinical trials to potential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palazestrant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palazestrant and jeopardize our ability to commercialize palazestrant, if approved, and generate revenue.</w:t>
      </w:r>
    </w:p>
    <w:p>
      <w:pPr>
        <w:pStyle w:val="TextBody"/>
        <w:bidi w:val="0"/>
        <w:spacing w:before="0" w:after="240"/>
        <w:jc w:val="both"/>
        <w:rPr>
          <w:rFonts w:ascii="Arial" w:hAnsi="Arial"/>
          <w:b/>
          <w:i/>
          <w:color w:val="000000"/>
          <w:sz w:val="20"/>
        </w:rPr>
      </w:pPr>
      <w:r>
        <w:rPr>
          <w:rFonts w:ascii="Arial" w:hAnsi="Arial"/>
          <w:b/>
          <w:i/>
          <w:color w:val="000000"/>
          <w:sz w:val="20"/>
        </w:rPr>
        <w:t>Any product candidate we develop may become subject to unfavorable third-party coverage and reimbursement practices, as well as pricing regulations.</w:t>
      </w:r>
    </w:p>
    <w:p>
      <w:pPr>
        <w:pStyle w:val="TextBody"/>
        <w:bidi w:val="0"/>
        <w:spacing w:before="0" w:after="240"/>
        <w:jc w:val="both"/>
        <w:rPr>
          <w:rFonts w:ascii="Arial" w:hAnsi="Arial"/>
          <w:color w:val="000000"/>
          <w:sz w:val="20"/>
        </w:rPr>
      </w:pPr>
      <w:r>
        <w:rPr>
          <w:rFonts w:ascii="Arial" w:hAnsi="Arial"/>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palazestrant, OP-3136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palazestrant, OP-3136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pStyle w:val="TextBody"/>
        <w:bidi w:val="0"/>
        <w:spacing w:before="0" w:after="240"/>
        <w:jc w:val="both"/>
        <w:rPr>
          <w:rFonts w:ascii="Arial" w:hAnsi="Arial"/>
          <w:color w:val="000000"/>
          <w:sz w:val="20"/>
        </w:rPr>
      </w:pPr>
      <w:r>
        <w:rPr>
          <w:rFonts w:ascii="Arial" w:hAnsi="Arial"/>
          <w:color w:val="000000"/>
          <w:sz w:val="20"/>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 approved drugs for a particular indication. We may need to conduct expensive pharmaco-economic studies to demonstrate the medical necessity and cost effectiveness of our product. Nonetheless, palazestrant, OP-3136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0" w:after="240"/>
        <w:jc w:val="both"/>
        <w:rPr>
          <w:rFonts w:ascii="Arial" w:hAnsi="Arial"/>
          <w:color w:val="000000"/>
          <w:sz w:val="20"/>
        </w:rPr>
      </w:pPr>
      <w:r>
        <w:rPr>
          <w:rFonts w:ascii="Arial" w:hAnsi="Arial"/>
          <w:color w:val="000000"/>
          <w:sz w:val="20"/>
        </w:rPr>
        <w:t>Outside the United States, international operations are generally subject to extensive governmental price controls and other market regulations, and we believe the increasing emphasis on cost containment initiatives in European countries, Canada and other countries has and will continue to put pressure on the pricing and usage of therapeutics such as palazestrant, OP-3136 or any future product candidates we may develop. In many countries, including European Union (EU) Member States,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palazestrant, OP-3136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palazestrant, OP-3136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pStyle w:val="TextBody"/>
        <w:bidi w:val="0"/>
        <w:spacing w:before="0" w:after="240"/>
        <w:jc w:val="both"/>
        <w:rPr>
          <w:rFonts w:ascii="Arial" w:hAnsi="Arial"/>
          <w:color w:val="000000"/>
          <w:sz w:val="20"/>
        </w:rPr>
      </w:pPr>
      <w:r>
        <w:rPr>
          <w:rFonts w:ascii="Arial" w:hAnsi="Arial"/>
          <w:color w:val="000000"/>
          <w:sz w:val="20"/>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pStyle w:val="TextBody"/>
        <w:bidi w:val="0"/>
        <w:spacing w:before="0" w:after="240"/>
        <w:jc w:val="both"/>
        <w:rPr>
          <w:rFonts w:ascii="Arial" w:hAnsi="Arial"/>
          <w:b/>
          <w:i/>
          <w:color w:val="000000"/>
          <w:sz w:val="20"/>
        </w:rPr>
      </w:pPr>
      <w:r>
        <w:rPr>
          <w:rFonts w:ascii="Arial" w:hAnsi="Arial"/>
          <w:b/>
          <w:i/>
          <w:color w:val="000000"/>
          <w:sz w:val="20"/>
        </w:rPr>
        <w:t>Guidelines and recommendations published by various organizations can reduce the use of palazestrant, OP-3136 or any future product candidates we may develop.</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Government authorities promulgate regulations and guidelines directly applicable to us and to palazestrant, OP-3136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authorities or these other groups or organizations may relate to such matters as usage, dosage, route of administration and use of concomitant therapies. Recommendations or guidelines suggesting the reduced use of palazestrant, OP-3136 or any future product candidates we may develop or the use of competitive or alternative products as the standard of care to be followed by patients and healthcare providers could result in decreased use of palazestrant, OP-3136 or any future product candidates we may develop.</w:t>
      </w:r>
    </w:p>
    <w:p>
      <w:pPr>
        <w:pStyle w:val="TextBody"/>
        <w:bidi w:val="0"/>
        <w:spacing w:before="0" w:after="240"/>
        <w:jc w:val="left"/>
        <w:rPr>
          <w:rFonts w:ascii="Arial" w:hAnsi="Arial"/>
          <w:b/>
          <w:color w:val="000000"/>
          <w:sz w:val="20"/>
        </w:rPr>
      </w:pPr>
      <w:r>
        <w:rPr>
          <w:rFonts w:ascii="Arial" w:hAnsi="Arial"/>
          <w:b/>
          <w:color w:val="000000"/>
          <w:sz w:val="20"/>
        </w:rPr>
        <w:t>Risks related to regulatory approval and other legal compliance matters</w:t>
      </w:r>
    </w:p>
    <w:p>
      <w:pPr>
        <w:pStyle w:val="TextBody"/>
        <w:bidi w:val="0"/>
        <w:spacing w:before="0" w:after="240"/>
        <w:jc w:val="both"/>
        <w:rPr>
          <w:rFonts w:ascii="Arial" w:hAnsi="Arial"/>
          <w:b/>
          <w:i/>
          <w:color w:val="000000"/>
          <w:sz w:val="20"/>
        </w:rPr>
      </w:pPr>
      <w:r>
        <w:rPr>
          <w:rFonts w:ascii="Arial" w:hAnsi="Arial"/>
          <w:b/>
          <w:i/>
          <w:color w:val="000000"/>
          <w:sz w:val="20"/>
        </w:rPr>
        <w:t>We may be unable to obtain U.S. or foreign regulatory approvals and, as a result, may be unable to commercialize palazestrant, OP-3136 or any future product candidate we may develop.</w:t>
      </w:r>
    </w:p>
    <w:p>
      <w:pPr>
        <w:pStyle w:val="TextBody"/>
        <w:bidi w:val="0"/>
        <w:spacing w:before="0" w:after="240"/>
        <w:jc w:val="both"/>
        <w:rPr>
          <w:rFonts w:ascii="Arial" w:hAnsi="Arial"/>
          <w:color w:val="000000"/>
          <w:sz w:val="20"/>
        </w:rPr>
      </w:pPr>
      <w:r>
        <w:rPr>
          <w:rFonts w:ascii="Arial" w:hAnsi="Arial"/>
          <w:color w:val="000000"/>
          <w:sz w:val="20"/>
        </w:rPr>
        <w:t>Palazestrant and OP-3136 are,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time-consuming, uncertain and subject to unanticipated delays. We cannot provide any assurance that palazestrant, OP-3136 or any product candidate we may develop will progress through required clinical testing and obtain the regulatory approvals necessary for us to begin selling them.</w:t>
      </w:r>
    </w:p>
    <w:p>
      <w:pPr>
        <w:pStyle w:val="TextBody"/>
        <w:bidi w:val="0"/>
        <w:spacing w:before="0" w:after="240"/>
        <w:jc w:val="both"/>
        <w:rPr>
          <w:rFonts w:ascii="Arial" w:hAnsi="Arial"/>
          <w:color w:val="000000"/>
          <w:sz w:val="20"/>
        </w:rPr>
      </w:pPr>
      <w:r>
        <w:rPr>
          <w:rFonts w:ascii="Arial" w:hAnsi="Arial"/>
          <w:color w:val="000000"/>
          <w:sz w:val="20"/>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the European Commission or other comparable foreign regulatory authorities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the European Commission or other comparable foreign regulatory authorities’ policies during the period of drug development, clinical trials and FDA, EMA, the European Commission or other comparable foreign regulatory authorities’ regulatory review.</w:t>
      </w:r>
    </w:p>
    <w:p>
      <w:pPr>
        <w:pStyle w:val="TextBody"/>
        <w:bidi w:val="0"/>
        <w:spacing w:before="0" w:after="240"/>
        <w:jc w:val="both"/>
        <w:rPr>
          <w:rFonts w:ascii="Arial" w:hAnsi="Arial"/>
          <w:color w:val="000000"/>
          <w:sz w:val="20"/>
        </w:rPr>
      </w:pPr>
      <w:r>
        <w:rPr>
          <w:rFonts w:ascii="Arial" w:hAnsi="Arial"/>
          <w:color w:val="000000"/>
          <w:sz w:val="20"/>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before="0" w:after="240"/>
        <w:jc w:val="both"/>
        <w:rPr>
          <w:rFonts w:ascii="Arial" w:hAnsi="Arial"/>
          <w:color w:val="000000"/>
          <w:sz w:val="20"/>
        </w:rPr>
      </w:pPr>
      <w:r>
        <w:rPr>
          <w:rFonts w:ascii="Arial" w:hAnsi="Arial"/>
          <w:color w:val="000000"/>
          <w:sz w:val="20"/>
        </w:rPr>
        <w:t>We may also become subject to numerous foreign regulatory requirements governing, among other things, the conduct of clinical trials and manufacturing of palazestrant or OP-3136.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Our business entails a significant risk of product liability and if we are unable to obtain sufficient insurance coverage, such inability could significantly harm our business, financial condition, results of operations and prospects.</w:t>
      </w:r>
    </w:p>
    <w:p>
      <w:pPr>
        <w:pStyle w:val="TextBody"/>
        <w:bidi w:val="0"/>
        <w:jc w:val="both"/>
        <w:rPr>
          <w:rFonts w:ascii="Arial" w:hAnsi="Arial"/>
          <w:color w:val="000000"/>
          <w:sz w:val="20"/>
        </w:rPr>
      </w:pPr>
      <w:r>
        <w:rPr>
          <w:rFonts w:ascii="Arial" w:hAnsi="Arial"/>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competent authorities of EU Member States, or other regulatory authority investigation of the safety and effectiveness of our product, our manufacturing processes and facilities or our marketing programs. The FDA, EMA, competent authorities of EU Member States or other regulatory authority investigations could potentially lead to a recall of our product or more serious enforcement action, limitations on the approved indications for which it may be used or suspension, variation,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palazestrant or OP-3136,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Palazestrant, OP-3136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pStyle w:val="TextBody"/>
        <w:bidi w:val="0"/>
        <w:jc w:val="both"/>
        <w:rPr>
          <w:rFonts w:ascii="Arial" w:hAnsi="Arial"/>
          <w:color w:val="000000"/>
          <w:sz w:val="20"/>
        </w:rPr>
      </w:pPr>
      <w:r>
        <w:rPr>
          <w:rFonts w:ascii="Arial" w:hAnsi="Arial"/>
          <w:color w:val="000000"/>
          <w:sz w:val="20"/>
        </w:rPr>
        <w:t>As is the case with pharmaceuticals generally, there have been side effects and adverse events associated with the use of palazestrant, and it is likely that there may be additional side effects and adverse events associated with the use of palazestrant, OP-3136 or any future product candidates we may develop. Results of our clinical trials could reveal a high and unacceptable severity and prevalence of side effects or unexpected characteristics. For example, the most common side effects we have seen in patients treated with palazestrant in our clinical trials are nausea, fatigue, vomiting, constipation, headaches, and neutropenia. Undesirable side effects caused by palazestrant, OP-3136 or any future product candidates we may develop could cause us or regulatory authorities to interrupt, delay or halt clinical trials and could result in a more restrictive label or the delay or denial of regulatory approval by the FDA, the European Commission, or other comparable foreign regulatory authorities. Any of these occurrences may significantly harm our business, financial condition, results of operations and prospects.</w:t>
      </w:r>
    </w:p>
    <w:p>
      <w:pPr>
        <w:pStyle w:val="TextBody"/>
        <w:bidi w:val="0"/>
        <w:jc w:val="both"/>
        <w:rPr>
          <w:rFonts w:ascii="Arial" w:hAnsi="Arial"/>
          <w:color w:val="000000"/>
          <w:sz w:val="20"/>
        </w:rPr>
      </w:pPr>
      <w:r>
        <w:rPr>
          <w:rFonts w:ascii="Arial" w:hAnsi="Arial"/>
          <w:color w:val="000000"/>
          <w:sz w:val="20"/>
        </w:rPr>
        <w:t>If palazestrant, OP-3136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pStyle w:val="TextBody"/>
        <w:bidi w:val="0"/>
        <w:jc w:val="both"/>
        <w:rPr>
          <w:rFonts w:ascii="Times New Roman" w:hAnsi="Times New Roman"/>
          <w:sz w:val="20"/>
        </w:rPr>
      </w:pPr>
      <w:r>
        <w:rPr>
          <w:rFonts w:ascii="Arial" w:hAnsi="Arial"/>
          <w:color w:val="000000"/>
          <w:sz w:val="20"/>
        </w:rPr>
        <w:t>Patients in our ongoing and planned clinical trials may in the future suffer significant adverse events or other side effects not observed in our non-clinical studies or previous clinical trials. Palazestrant, OP-3136 or any future product candidates we may develop, may be used as chronic therapies or be used in pediatric populations, for which safety concerns may be particularly scrutinized by regulatory authorities. In addition, if palazestrant, OP-3136 or any future product candidates we may develop, are used in combination with other therapies, palazestrant, OP-3136 or any future product candidates we may develop may exacerbate adverse events associated with the therapy and it may not be possible to determine whether it was caused by our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product or the one with which it was combined. Patients treated with palazestrant, OP-3136 or any future candidates we may develop, may also be undergoing surgical, radiation and chemotherapy treatments, which can cause side effects or adverse events that are unrelated to palazestrant, OP-3136 or any future product candidates we may develop, but may still impact the success of our clinical trials. The inclusion of critically ill patients in our clinical trials may result in deaths or other adverse medical events due to many factors, including other therapies or medications that such patients may be using or due to the gravity of such patients’ illnesses.</w:t>
      </w:r>
    </w:p>
    <w:p>
      <w:pPr>
        <w:pStyle w:val="TextBody"/>
        <w:bidi w:val="0"/>
        <w:jc w:val="both"/>
        <w:rPr>
          <w:rFonts w:ascii="Times New Roman" w:hAnsi="Times New Roman"/>
          <w:sz w:val="20"/>
        </w:rPr>
      </w:pPr>
      <w:r>
        <w:rPr>
          <w:rFonts w:ascii="Arial" w:hAnsi="Arial"/>
          <w:color w:val="000000"/>
          <w:sz w:val="20"/>
        </w:rPr>
        <w:t xml:space="preserve">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w:t>
      </w:r>
      <w:r>
        <w:rPr>
          <w:rFonts w:ascii="Arial" w:hAnsi="Arial"/>
          <w:color w:val="231F20"/>
          <w:sz w:val="20"/>
        </w:rPr>
        <w:t>competent authorities of EU Member States</w:t>
      </w:r>
      <w:r>
        <w:rPr>
          <w:rFonts w:ascii="Arial" w:hAnsi="Arial"/>
          <w:color w:val="000000"/>
          <w:sz w:val="20"/>
        </w:rPr>
        <w:t>, other comparable regulatory authorities or an IRB or Ethics Committee may suspend, vary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including our potential collaboration, financing or other business opportunities. Further, if palazestrant or OP-3136 obtains marketing approval, toxicities associated with palazestrant or OP-3136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palazestrant or OP-3136 will cause toxicities in humans that would preclude or lead to the revocation of regulatory approval based on non-clinical studies or early-stage clinical trials.</w:t>
      </w:r>
    </w:p>
    <w:p>
      <w:pPr>
        <w:pStyle w:val="TextBody"/>
        <w:bidi w:val="0"/>
        <w:spacing w:before="0" w:after="240"/>
        <w:jc w:val="both"/>
        <w:rPr>
          <w:rFonts w:ascii="Arial" w:hAnsi="Arial"/>
          <w:b/>
          <w:i/>
          <w:color w:val="000000"/>
          <w:sz w:val="20"/>
        </w:rPr>
      </w:pPr>
      <w:r>
        <w:rPr>
          <w:rFonts w:ascii="Arial" w:hAnsi="Arial"/>
          <w:b/>
          <w:i/>
          <w:color w:val="000000"/>
          <w:sz w:val="20"/>
        </w:rPr>
        <w:t>The FDA, EMA, the European Commission and other comparable foreign regulatory authorities may not accept data from trials conducted in locations outside of their jurisdiction.</w:t>
      </w:r>
    </w:p>
    <w:p>
      <w:pPr>
        <w:pStyle w:val="TextBody"/>
        <w:bidi w:val="0"/>
        <w:spacing w:before="0" w:after="240"/>
        <w:jc w:val="both"/>
        <w:rPr>
          <w:rFonts w:ascii="Arial" w:hAnsi="Arial"/>
          <w:color w:val="000000"/>
          <w:sz w:val="20"/>
        </w:rPr>
      </w:pPr>
      <w:r>
        <w:rPr>
          <w:rFonts w:ascii="Arial" w:hAnsi="Arial"/>
          <w:color w:val="000000"/>
          <w:sz w:val="20"/>
        </w:rPr>
        <w:t>We currently plan to conduct international clinical trials and may choose to conduct additional international clinical trials in the future. The acceptance of study data by the FDA, EMA, the European Commission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the European Commission or any applicable foreign regulatory authority will accept data from trials conducted outside of its applicable jurisdiction. If the FDA, EMA, the European Commission or any applicable foreign regulatory authority does not accept such data, it would result in the need for additional trials, which would be costly and time-consuming and delay aspects of our business plan, and which may result in palazestrant, OP-3136 or any future product candidates we may develop not receiving approval for commercialization in the applicable jurisdiction.</w:t>
      </w:r>
    </w:p>
    <w:p>
      <w:pPr>
        <w:pStyle w:val="TextBody"/>
        <w:bidi w:val="0"/>
        <w:spacing w:before="0" w:after="240"/>
        <w:jc w:val="both"/>
        <w:rPr>
          <w:rFonts w:ascii="Arial" w:hAnsi="Arial"/>
          <w:b/>
          <w:i/>
          <w:color w:val="000000"/>
          <w:sz w:val="20"/>
        </w:rPr>
      </w:pPr>
      <w:r>
        <w:rPr>
          <w:rFonts w:ascii="Arial" w:hAnsi="Arial"/>
          <w:b/>
          <w:i/>
          <w:color w:val="000000"/>
          <w:sz w:val="20"/>
        </w:rPr>
        <w:t>Obtaining and maintaining regulatory approval of palazestrant, OP-3136 or any product candidate we develop in the future, in one jurisdiction does not mean that we will be successful in obtaining regulatory approval of palazestrant, OP-3136 or any product candidate we develop in the future, in other jurisdictions.</w:t>
      </w:r>
    </w:p>
    <w:p>
      <w:pPr>
        <w:pStyle w:val="TextBody"/>
        <w:bidi w:val="0"/>
        <w:spacing w:before="0" w:after="240"/>
        <w:jc w:val="both"/>
        <w:rPr>
          <w:rFonts w:ascii="Times New Roman" w:hAnsi="Times New Roman"/>
          <w:sz w:val="20"/>
        </w:rPr>
      </w:pPr>
      <w:r>
        <w:rPr>
          <w:rFonts w:ascii="Arial" w:hAnsi="Arial"/>
          <w:color w:val="000000"/>
          <w:sz w:val="20"/>
        </w:rPr>
        <w:t>Obtaining and maintaining regulatory approval of palazestrant, OP-3136 or any product candidate we develop in the future, in one jurisdiction does not guarantee that we will be able to obtain or maintain regulatory approval in any other jurisdiction. For example, even if the FDA, the European Commission or other foreign regulatory authority grants marketing approval of a product candidate, comparable regulatory authorities in foreign jurisdictions must also approve the manufacturing, marketing and promotion and reimbursement of the product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pStyle w:val="TextBody"/>
        <w:bidi w:val="0"/>
        <w:spacing w:before="0" w:after="240"/>
        <w:jc w:val="both"/>
        <w:rPr>
          <w:rFonts w:ascii="Arial" w:hAnsi="Arial"/>
          <w:color w:val="000000"/>
          <w:sz w:val="20"/>
        </w:rPr>
      </w:pPr>
      <w:r>
        <w:rPr>
          <w:rFonts w:ascii="Arial" w:hAnsi="Arial"/>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palazestrant, OP-3136 or any product candidate we develop in the future, will be harmed.</w:t>
      </w:r>
    </w:p>
    <w:p>
      <w:pPr>
        <w:pStyle w:val="TextBody"/>
        <w:bidi w:val="0"/>
        <w:spacing w:before="0" w:after="240"/>
        <w:jc w:val="both"/>
        <w:rPr>
          <w:rFonts w:ascii="Arial" w:hAnsi="Arial"/>
          <w:b/>
          <w:i/>
          <w:color w:val="000000"/>
          <w:sz w:val="20"/>
        </w:rPr>
      </w:pPr>
      <w:r>
        <w:rPr>
          <w:rFonts w:ascii="Arial" w:hAnsi="Arial"/>
          <w:b/>
          <w:i/>
          <w:color w:val="000000"/>
          <w:sz w:val="20"/>
        </w:rPr>
        <w:t>Even if palazestrant, OP-3136 or any product candidate we develop in the future, receives regulatory approval, it will be subject to significant post-marketing regulatory requirements and oversight.</w:t>
      </w:r>
    </w:p>
    <w:p>
      <w:pPr>
        <w:pStyle w:val="TextBody"/>
        <w:bidi w:val="0"/>
        <w:jc w:val="both"/>
        <w:rPr>
          <w:rFonts w:ascii="Arial" w:hAnsi="Arial"/>
          <w:color w:val="000000"/>
          <w:sz w:val="20"/>
        </w:rPr>
      </w:pPr>
      <w:r>
        <w:rPr>
          <w:rFonts w:ascii="Arial" w:hAnsi="Arial"/>
          <w:color w:val="000000"/>
          <w:sz w:val="20"/>
        </w:rPr>
        <w:t>Any regulatory approvals that we may receive for palazestrant, OP-3136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palazestrant, which could entail requirements for a medication guide, physician training and communication plans or additional elements to ensure safe use, such as restricted distribution methods, patient registries and other risk minimization tools. In addition, if the FDA, the European Commission or applicable foreign regulatory authorities approve palazestrant, OP-3136 or any product candidate we develop in the future, the manufacturing processes, labeling, packaging, distribution, adverse event reporting, storage, advertising, promotion, import, export and recordkeeping for palazestrant or OP-3136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EU and other foreign regulatory requirements may subject our company to administrative or judicially imposed sanctions, including:</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delays in or the rejection of product approvals;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restrictions on our ability to conduct clinical trials, including full or partial clinical holds on ongoing or planned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restrictions on the products, manufacturers or manufacturing process;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warning letters;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civil and criminal penalties;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injunctions;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suspension, variation or withdrawal of regulatory approvals;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product seizures, detentions or import bans;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voluntary or mandatory product recalls and publicity requirements;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total or partial suspension of production;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imposition of restrictions on operations, including costly new manufacturing requirements.</w:t>
      </w:r>
    </w:p>
    <w:p>
      <w:pPr>
        <w:pStyle w:val="TextBody"/>
        <w:bidi w:val="0"/>
        <w:spacing w:before="0" w:after="240"/>
        <w:jc w:val="both"/>
        <w:rPr>
          <w:rFonts w:ascii="Arial" w:hAnsi="Arial"/>
          <w:color w:val="000000"/>
          <w:sz w:val="20"/>
        </w:rPr>
      </w:pPr>
      <w:r>
        <w:rPr>
          <w:rFonts w:ascii="Arial" w:hAnsi="Arial"/>
          <w:color w:val="000000"/>
          <w:sz w:val="20"/>
        </w:rPr>
        <w:t>The occurrence of any event or penalty described above may inhibit our ability to commercialize palazestrant, OP-3136 or any product candidate we may develop in the future and generate revenue and could require us to expend significant time and resources in response and could generate negative publicity.</w:t>
      </w:r>
    </w:p>
    <w:p>
      <w:pPr>
        <w:pStyle w:val="TextBody"/>
        <w:bidi w:val="0"/>
        <w:spacing w:before="0" w:after="240"/>
        <w:jc w:val="both"/>
        <w:rPr>
          <w:rFonts w:ascii="Arial" w:hAnsi="Arial"/>
          <w:color w:val="000000"/>
          <w:sz w:val="20"/>
        </w:rPr>
      </w:pPr>
      <w:r>
        <w:rPr>
          <w:rFonts w:ascii="Arial" w:hAnsi="Arial"/>
          <w:color w:val="000000"/>
          <w:sz w:val="20"/>
        </w:rPr>
        <w:t>The FDA’s and other regulatory authorities’ policies may change, and additional government regulations may be enacted that could prevent, limit or delay regulatory approval of palazestrant, OP-3136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240"/>
        <w:jc w:val="both"/>
        <w:rPr>
          <w:rFonts w:ascii="Arial" w:hAnsi="Arial"/>
          <w:b/>
          <w:i/>
          <w:color w:val="000000"/>
          <w:sz w:val="20"/>
        </w:rPr>
      </w:pPr>
      <w:r>
        <w:rPr>
          <w:rFonts w:ascii="Arial" w:hAnsi="Arial"/>
          <w:b/>
          <w:i/>
          <w:color w:val="000000"/>
          <w:sz w:val="20"/>
        </w:rPr>
        <w:t>The FDA and other regulatory authorities actively enforce the laws and regulations prohibiting the promotion of off-label uses.</w:t>
      </w:r>
    </w:p>
    <w:p>
      <w:pPr>
        <w:pStyle w:val="TextBody"/>
        <w:bidi w:val="0"/>
        <w:spacing w:before="0" w:after="240"/>
        <w:jc w:val="both"/>
        <w:rPr>
          <w:rFonts w:ascii="Arial" w:hAnsi="Arial"/>
          <w:color w:val="000000"/>
          <w:sz w:val="20"/>
        </w:rPr>
      </w:pPr>
      <w:r>
        <w:rPr>
          <w:rFonts w:ascii="Arial" w:hAnsi="Arial"/>
          <w:color w:val="000000"/>
          <w:sz w:val="20"/>
        </w:rPr>
        <w:t>If palazestrant, OP-3136 or any future product candidate we may develop is approved for marketing, and we are found to have improperly promoted off-label uses of those products, we may become subject to significant liability. The FDA and other regulatory authorities strictly regulate the promotional claims that may be made about prescription products, such as palazestrant, OP-3136 or any future product candidates we may develop, if approved. In particular, a product may not be promoted for uses that are not approved by the FDA or such other regulatory authorities as reflected in the product’s approved labeling. If we receive marketing approval for palazestrant, OP-3136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palazestrant, OP-3136 or any future product candidates we may develop, if approved, we could become subject to significant liability, which would significantly harm our business, financial condition, results of operations and prospects.</w:t>
      </w:r>
    </w:p>
    <w:p>
      <w:pPr>
        <w:pStyle w:val="TextBody"/>
        <w:bidi w:val="0"/>
        <w:jc w:val="both"/>
        <w:rPr>
          <w:rFonts w:ascii="Arial" w:hAnsi="Arial"/>
          <w:b/>
          <w:i/>
          <w:color w:val="000000"/>
          <w:sz w:val="20"/>
        </w:rPr>
      </w:pPr>
      <w:r>
        <w:rPr>
          <w:rFonts w:ascii="Arial" w:hAnsi="Arial"/>
          <w:b/>
          <w:i/>
          <w:color w:val="000000"/>
          <w:sz w:val="20"/>
        </w:rPr>
        <w:t>Disruptions at the FDA, EMA, the European Commission applicable foreign regulatory authorities, the SEC, and other government agencies and regulatory authorities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authorities from performing normal business functions on which the operation of our business may rely, which could significantly harm our business, financial condition, results of operations and prospects.</w:t>
      </w:r>
    </w:p>
    <w:p>
      <w:pPr>
        <w:pStyle w:val="TextBody"/>
        <w:bidi w:val="0"/>
        <w:jc w:val="both"/>
        <w:rPr>
          <w:rFonts w:ascii="Arial" w:hAnsi="Arial"/>
          <w:color w:val="000000"/>
          <w:sz w:val="20"/>
        </w:rPr>
      </w:pPr>
      <w:r>
        <w:rPr>
          <w:rFonts w:ascii="Arial" w:hAnsi="Arial"/>
          <w:color w:val="000000"/>
          <w:sz w:val="20"/>
        </w:rPr>
        <w:t>The ability of the FDA, EMA, the European Commission or any applicable foreign regulatory authority to review and approve new products can be affected by a variety of factors, including, as applicable government budget and funding levels, ability to hire and retain key personnel and accept the payment of user fees, and statutory, regulatory, and policy changes, and other events that may otherwise affect the FDA, EMA, the European Commission, or any applicable foreign regulatory authority’s ability to perform routine functions. Average review times at the authorities have fluctuated in recent years as a result and could be delayed. In addition, government funding of the SEC and other government authorities on which our operations may rely, including those that fund research and development activities is subject to the political process, which is inherently fluid and unpredictable.</w:t>
      </w:r>
    </w:p>
    <w:p>
      <w:pPr>
        <w:pStyle w:val="TextBody"/>
        <w:bidi w:val="0"/>
        <w:jc w:val="both"/>
        <w:rPr>
          <w:rFonts w:ascii="Times New Roman" w:hAnsi="Times New Roman"/>
          <w:sz w:val="20"/>
        </w:rPr>
      </w:pPr>
      <w:r>
        <w:rPr>
          <w:rFonts w:ascii="Arial" w:hAnsi="Arial"/>
          <w:color w:val="000000"/>
          <w:sz w:val="20"/>
        </w:rPr>
        <w:t>Disruptions at the FDA and other authorities may also slow the time necessary for new drugs to be reviewed and/or approved by necessary government authorities, which would adversely affect our business. If a prolonged government shutdown occurs, or if global health concerns continue to prevent the FDA or other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pStyle w:val="TextBody"/>
        <w:bidi w:val="0"/>
        <w:jc w:val="both"/>
        <w:rPr>
          <w:rFonts w:ascii="Arial" w:hAnsi="Arial"/>
          <w:b/>
          <w:i/>
          <w:color w:val="000000"/>
          <w:sz w:val="20"/>
        </w:rPr>
      </w:pPr>
      <w:r>
        <w:rPr>
          <w:rFonts w:ascii="Arial" w:hAnsi="Arial"/>
          <w:b/>
          <w:i/>
          <w:color w:val="000000"/>
          <w:sz w:val="20"/>
        </w:rPr>
        <w:t>We may attempt to secure approval from the FDA, the European Commission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approval from the FDA, the European Commission or comparable foreign regulatory authorities through accelerated approval pathways, if our confirmatory trials do not verify clinical benefit, or if we do not comply with rigorous post-marketing requirements, the FDA, the European Commission or comparable foreign regulatory authorities may seek to withdraw their approval.</w:t>
      </w:r>
    </w:p>
    <w:p>
      <w:pPr>
        <w:pStyle w:val="TextBody"/>
        <w:bidi w:val="0"/>
        <w:jc w:val="both"/>
        <w:rPr>
          <w:rFonts w:ascii="Arial" w:hAnsi="Arial"/>
          <w:color w:val="000000"/>
          <w:sz w:val="20"/>
        </w:rPr>
      </w:pPr>
      <w:r>
        <w:rPr>
          <w:rFonts w:ascii="Arial" w:hAnsi="Arial"/>
          <w:color w:val="000000"/>
          <w:sz w:val="20"/>
        </w:rPr>
        <w:t>We may in the future seek approval for palazestrant, OP-3136 or future product candidates we may develop through accelerated approval pathways.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pStyle w:val="TextBody"/>
        <w:bidi w:val="0"/>
        <w:spacing w:before="0" w:after="240"/>
        <w:jc w:val="both"/>
        <w:rPr>
          <w:rFonts w:ascii="Arial" w:hAnsi="Arial"/>
          <w:color w:val="000000"/>
          <w:sz w:val="20"/>
        </w:rPr>
      </w:pPr>
      <w:r>
        <w:rPr>
          <w:rFonts w:ascii="Arial" w:hAnsi="Arial"/>
          <w:color w:val="000000"/>
          <w:sz w:val="20"/>
        </w:rPr>
        <w:t>Prior to seeking accelerated approval for palazestrant or OP-3136,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palazestrant or OP-3136,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palazestrant or OP-3136 would result in a longer time period to commercialization of such product candidate, could increase the cost of development of palazestrant or OP-3136 and could harm our competitive position in the marketplace.</w:t>
      </w:r>
    </w:p>
    <w:p>
      <w:pPr>
        <w:pStyle w:val="TextBody"/>
        <w:bidi w:val="0"/>
        <w:spacing w:before="0" w:after="240"/>
        <w:jc w:val="both"/>
        <w:rPr>
          <w:rFonts w:ascii="Arial" w:hAnsi="Arial"/>
          <w:b/>
          <w:i/>
          <w:color w:val="000000"/>
          <w:sz w:val="20"/>
        </w:rPr>
      </w:pPr>
      <w:r>
        <w:rPr>
          <w:rFonts w:ascii="Arial" w:hAnsi="Arial"/>
          <w:b/>
          <w:i/>
          <w:color w:val="000000"/>
          <w:sz w:val="20"/>
        </w:rPr>
        <w:t>We may face difficulties from changes to current regulations and future legislation.</w:t>
      </w:r>
    </w:p>
    <w:p>
      <w:pPr>
        <w:pStyle w:val="TextBody"/>
        <w:bidi w:val="0"/>
        <w:spacing w:before="0" w:after="240"/>
        <w:jc w:val="both"/>
        <w:rPr>
          <w:rFonts w:ascii="Times New Roman" w:hAnsi="Times New Roman"/>
          <w:sz w:val="20"/>
        </w:rPr>
      </w:pPr>
      <w:r>
        <w:rPr>
          <w:rFonts w:ascii="Arial" w:hAnsi="Arial"/>
          <w:color w:val="000000"/>
          <w:sz w:val="20"/>
        </w:rPr>
        <w:t>Existing regulatory policies may change, and additional regulations may be enacted that could prevent, limit or delay regulatory approval of palazestrant, OP-3136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regulatory compliance, we may lose any marketing approval that we may have obtained and we may not achieve or sustain profitability.</w:t>
      </w:r>
    </w:p>
    <w:p>
      <w:pPr>
        <w:pStyle w:val="TextBody"/>
        <w:bidi w:val="0"/>
        <w:spacing w:before="0" w:after="240"/>
        <w:jc w:val="both"/>
        <w:rPr>
          <w:rFonts w:ascii="Arial" w:hAnsi="Arial"/>
          <w:color w:val="000000"/>
          <w:sz w:val="20"/>
        </w:rPr>
      </w:pPr>
      <w:r>
        <w:rPr>
          <w:rFonts w:ascii="Arial" w:hAnsi="Arial"/>
          <w:color w:val="000000"/>
          <w:sz w:val="20"/>
        </w:rPr>
        <w:t>For example, in March 2010, the Patient Protection and Affordable Care Act of 2010, as amended by the Health Care and Education Reconciliation Act of 2010, or collectively the ACA, was passed, which substantially changed the way healthcare is financed by both the government and private insurers and continues to significantly impact the U.S. pharmaceutical industry. There have been executive, judicial and Congressional challenges and amendments to certain aspects of the ACA. For example, on August 16, 2022, the Inflation Reduction Act of 2022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and the healthcare reform measures of the current administration will impact the ACA and our business.</w:t>
      </w:r>
    </w:p>
    <w:p>
      <w:pPr>
        <w:pStyle w:val="TextBody"/>
        <w:bidi w:val="0"/>
        <w:spacing w:before="0" w:after="240"/>
        <w:jc w:val="both"/>
        <w:rPr>
          <w:rFonts w:ascii="Arial" w:hAnsi="Arial"/>
          <w:color w:val="000000"/>
          <w:sz w:val="20"/>
        </w:rPr>
      </w:pPr>
      <w:r>
        <w:rPr>
          <w:rFonts w:ascii="Arial" w:hAnsi="Arial"/>
          <w:color w:val="000000"/>
          <w:sz w:val="20"/>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until 2032 unless additional Congressional action is taken. Additionally, on March 11, 2021, the American Rescue Plan Act of 2021 was signed into law, which eliminated the statutory Medicaid drug rebate cap, previously set at 100% of a drug’s average manufacturer price, for single source and innovator multiple source drugs, effective January 1, 2024. These laws may result in additional reductions in Medicare and other healthcare funding, which could have a material adverse effect on potential customers for our drugs, if approved, and accordingly, our business.</w:t>
      </w:r>
    </w:p>
    <w:p>
      <w:pPr>
        <w:pStyle w:val="TextBody"/>
        <w:bidi w:val="0"/>
        <w:spacing w:before="0" w:after="240"/>
        <w:jc w:val="both"/>
        <w:rPr>
          <w:rFonts w:ascii="Arial" w:hAnsi="Arial"/>
          <w:color w:val="000000"/>
          <w:sz w:val="20"/>
        </w:rPr>
      </w:pPr>
      <w:r>
        <w:rPr>
          <w:rFonts w:ascii="Arial" w:hAnsi="Arial"/>
          <w:color w:val="000000"/>
          <w:sz w:val="20"/>
        </w:rPr>
        <w:t>Moreover, there has been heightened governmental scrutiny recently over the manner in which drug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pStyle w:val="TextBody"/>
        <w:bidi w:val="0"/>
        <w:spacing w:before="0" w:after="240"/>
        <w:jc w:val="both"/>
        <w:rPr>
          <w:rFonts w:ascii="Times New Roman" w:hAnsi="Times New Roman"/>
          <w:sz w:val="20"/>
        </w:rPr>
      </w:pPr>
      <w:r>
        <w:rPr>
          <w:rFonts w:ascii="Arial" w:hAnsi="Arial"/>
          <w:color w:val="000000"/>
          <w:sz w:val="20"/>
        </w:rPr>
        <w:t>For example, the IRA, among other things, (1) directs the U.S. Department of Health and Human Services (HHS) to negotiate the price of certain high-expenditure single-source drugs that have been on the market for seven years covered under Medicare (the Medicare Drug Negotiation Program) and (2) imposes rebates under Medicare Part B and Medicare Part D to penalize price increases that outpace inflation. These provisions began to take effect progressively in fiscal year 2023. On August 15, 2024, HHS announced the agreed-upon reimbursement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It is currently unclear how the IRA will be implemented but is likely to have a significant impact on the pharmaceutical industry.</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The current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may include, for example, directives to reduce agency workforce, program cuts, rescinding a Biden administration executive order tasking the Center for Medicare and Medicaid Innovation to consider new payment and healthcare models to limit drug spending and eliminating the Biden administration’s executive order that directed HHS to establishing an artificial intelligence (AI) task force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developing a strategic plan, directing HHS to use the IRA to lower prescription drug costs for Medicare through a variety of initiatives, including by improving upon the IRA, and directing certain federal agencies to enforce existing law regarding hospital and price plan transparency and by standardizing prices across hospitals and health plans. Additionally,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pStyle w:val="TextBody"/>
        <w:bidi w:val="0"/>
        <w:jc w:val="both"/>
        <w:rPr>
          <w:rFonts w:ascii="Arial" w:hAnsi="Arial"/>
          <w:color w:val="000000"/>
          <w:sz w:val="20"/>
        </w:rPr>
      </w:pPr>
      <w:r>
        <w:rPr>
          <w:rFonts w:ascii="Arial" w:hAnsi="Arial"/>
          <w:color w:val="000000"/>
          <w:sz w:val="20"/>
        </w:rPr>
        <w:t>We cannot predict the likelihood, nature or extent of government regulation that may arise from future legislation or administrative action, either in the United States or abroad. As an example, the regulatory landscape related to clinical trials in the EU has evolved. The EU Clinical Trials Regulation (CTR), which was adopted in April 2014 and repeals the EU Clinical Trials Directive (CTD),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is approved, clinical study development may proceed. The CTR foresaw a three-year transition period that ended on January 31, 2025. Since this date, all new or ongoing trials are subject to the provisions of the CTR. Compliance with the CTR requirements by us and our third-party service providers, such as CROs, may impact our development plans.</w:t>
      </w:r>
    </w:p>
    <w:p>
      <w:pPr>
        <w:pStyle w:val="TextBody"/>
        <w:bidi w:val="0"/>
        <w:jc w:val="both"/>
        <w:rPr>
          <w:rFonts w:ascii="Arial" w:hAnsi="Arial"/>
          <w:color w:val="000000"/>
          <w:sz w:val="20"/>
        </w:rPr>
      </w:pPr>
      <w:r>
        <w:rPr>
          <w:rFonts w:ascii="Arial" w:hAnsi="Arial"/>
          <w:color w:val="000000"/>
          <w:sz w:val="20"/>
        </w:rPr>
        <w:t>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was adopted in the EU. This Regulation, which entered into application on January 12, 2025 and has a phased implementation, is intended to boost cooperation among EU Member States in assessing health technologies, including new medicinal products, and providing the basis for cooperation at EU level for joint clinical assessments in these areas. The Regulation permits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continue to be responsible for assessing non-clinical (e.g., economic, social, ethical) aspects of health technologies, and making decisions on pricing and reimbursement.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In light of the fact that the United Kingdom has left the EU, Regulation No 2021/2282 on HTA will not apply in the United Kingdom. However, the UK Medicines and Healthcare products Regulation Agency (MHRA) is working with UK HTA bodies and other national organizations, such as the Scottish Medicines Consortium (SMC), the National Institute for Health and Care Excellence (NICE), and the All-Wales Medicines Strategy Group, to introduce new pathways supporting innovative approaches to the safe, timely and efficient development of medicinal products.</w:t>
      </w:r>
    </w:p>
    <w:p>
      <w:pPr>
        <w:pStyle w:val="TextBody"/>
        <w:bidi w:val="0"/>
        <w:jc w:val="both"/>
        <w:rPr>
          <w:rFonts w:ascii="Times New Roman" w:hAnsi="Times New Roman"/>
          <w:sz w:val="20"/>
        </w:rPr>
      </w:pPr>
      <w:r>
        <w:rPr>
          <w:rFonts w:ascii="Arial" w:hAnsi="Arial"/>
          <w:color w:val="000000"/>
          <w:sz w:val="20"/>
        </w:rPr>
        <w:t>Legislators, policymakers and healthcare insurance funds in the EU and the United Kingdom may continue to propose and implement cost-containing measures to keep healthcare costs down, particularly due to the financial strain that the COVID-19 pandemic placed on national healthcare systems of European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In addition, on April 26, 2023, the European Commission adopted a proposal for a new Directive and Regulation to revise the existing pharmaceutical legislation and on April 10, 2024, the Parliament adopted its related position. The proposed revisions remain to be agreed and adopted by the European Council. Moreover, on December 1, 2024, a new European Commission took office. The proposal could, therefore, still be subject to revisions. If adopted in the form proposed, the recent European Commission proposals to revise the existing EU laws governing authorization of medicinal products may result in a number of changes to the regulatory framework governing medicinal products, including a decrease in data and market exclusivity opportunities for our product candidates in the EU and make them open to generic or biosimilar competition earlier than is currently the case with a related reduction in reimbursement status.</w:t>
      </w:r>
    </w:p>
    <w:p>
      <w:pPr>
        <w:pStyle w:val="TextBody"/>
        <w:bidi w:val="0"/>
        <w:spacing w:before="0" w:after="160"/>
        <w:jc w:val="left"/>
        <w:rPr>
          <w:rFonts w:ascii="Arial" w:hAnsi="Arial"/>
          <w:color w:val="000000"/>
          <w:sz w:val="20"/>
        </w:rPr>
      </w:pPr>
      <w:r>
        <w:rPr>
          <w:rFonts w:ascii="Arial" w:hAnsi="Arial"/>
          <w:color w:val="000000"/>
          <w:sz w:val="20"/>
        </w:rPr>
        <w:t>If we are slow or unable to adapt to changes in existing requirements or the adoption of new requirements or policies, our development plans may be impacted.</w:t>
      </w:r>
    </w:p>
    <w:p>
      <w:pPr>
        <w:pStyle w:val="TextBody"/>
        <w:bidi w:val="0"/>
        <w:spacing w:before="0" w:after="240"/>
        <w:jc w:val="both"/>
        <w:rPr>
          <w:rFonts w:ascii="Arial" w:hAnsi="Arial"/>
          <w:color w:val="000000"/>
          <w:sz w:val="20"/>
        </w:rPr>
      </w:pPr>
      <w:r>
        <w:rPr>
          <w:rFonts w:ascii="Arial" w:hAnsi="Arial"/>
          <w:color w:val="000000"/>
          <w:sz w:val="20"/>
        </w:rPr>
        <w:t>We expect that the recent reform activity, as well as other healthcare reform measures that may be adopted in the future, particularly in light of the recent U.S. Presidential and Congressional elections,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if any, may be on the marketing approvals of palazestrant, OP-3136 or any future product candidates we may develop.</w:t>
      </w:r>
    </w:p>
    <w:p>
      <w:pPr>
        <w:pStyle w:val="TextBody"/>
        <w:bidi w:val="0"/>
        <w:spacing w:before="0" w:after="240"/>
        <w:jc w:val="both"/>
        <w:rPr>
          <w:rFonts w:ascii="Arial" w:hAnsi="Arial"/>
          <w:b/>
          <w:i/>
          <w:color w:val="000000"/>
          <w:sz w:val="20"/>
        </w:rPr>
      </w:pPr>
      <w:r>
        <w:rPr>
          <w:rFonts w:ascii="Arial" w:hAnsi="Arial"/>
          <w:b/>
          <w:i/>
          <w:color w:val="000000"/>
          <w:sz w:val="20"/>
        </w:rPr>
        <w:t>Our relationships with healthcare professionals, clinical investigators, CROs and third party payors in connection with our current and future business activities may be subject to federal, state and foreign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pStyle w:val="TextBody"/>
        <w:bidi w:val="0"/>
        <w:spacing w:before="0" w:after="240"/>
        <w:jc w:val="both"/>
        <w:rPr>
          <w:rFonts w:ascii="Times New Roman" w:hAnsi="Times New Roman"/>
          <w:sz w:val="20"/>
        </w:rPr>
      </w:pPr>
      <w:r>
        <w:rPr>
          <w:rFonts w:ascii="Arial" w:hAnsi="Arial"/>
          <w:color w:val="000000"/>
          <w:sz w:val="20"/>
        </w:rPr>
        <w:t>Healthcare providers and third-party payors play a primary role in the recommendation and prescription of our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for which we obtain marketing approval. Restrictions under applicable federal and state healthcare laws and regulations include the following: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federal Health Insurance Portability and Accountability Act of 1996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HIPAA, as amended by the Health Information Technology for Economic and Clinical Health Act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hAnsi="Arial"/>
          <w:color w:val="000000"/>
          <w:sz w:val="20"/>
        </w:rPr>
        <w:t>doctors, dentists, optometrists, podiatrists and chiropractors), other healthcare professionals (such as physician assistants and nurse practitioners),</w:t>
      </w:r>
      <w:r>
        <w:rPr>
          <w:color w:val="231F20"/>
        </w:rPr>
        <w:t xml:space="preserve"> </w:t>
      </w:r>
      <w:r>
        <w:rPr>
          <w:rFonts w:ascii="Arial" w:hAnsi="Arial"/>
          <w:color w:val="231F20"/>
          <w:sz w:val="20"/>
        </w:rPr>
        <w:t>and teaching hospitals, as well as information regarding ownership and investment interests held by such physicians and their immediate family members. The information reported is publicly available on a searchable website, with disclosure required annually;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analogous state and foreign laws and regulations, such as state and foreign anti-kickback and false claims laws, may apply to sales or marketing arrangements and claims involving healthcare items or services reimbursed by non- governmental third-party payors, including private insurers.</w:t>
      </w:r>
    </w:p>
    <w:p>
      <w:pPr>
        <w:pStyle w:val="TextBody"/>
        <w:bidi w:val="0"/>
        <w:jc w:val="both"/>
        <w:rPr>
          <w:rFonts w:ascii="Arial" w:hAnsi="Arial"/>
          <w:color w:val="000000"/>
          <w:sz w:val="20"/>
        </w:rPr>
      </w:pPr>
      <w:r>
        <w:rPr>
          <w:rFonts w:ascii="Arial" w:hAnsi="Arial"/>
          <w:color w:val="000000"/>
          <w:sz w:val="20"/>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For example, much like the federal Anti-Kickback Statute prohibition in the United States, the provision of benefits or advantages to physicians to induce or encourage the prescription, recommendation, endorsement, purchase, supply, order or use of medicinal products is also prohibited in EU Member States. In addition, payments made to physicians in certain EU Member States must be publicly disclosed. Moreover, in some EU Member States agreements with healthcare professionals may be the subject of prior notification and approval by the healthcare professional’s’ public employer, his or her competent professional organization and/or the national competent regulatory authorities.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Some state and foreign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and foreign laws may require biotechnology companies to report information on the pricing of certain drug products. Some state and local laws may require the registration of pharmaceutical sales representatives.</w:t>
      </w:r>
    </w:p>
    <w:p>
      <w:pPr>
        <w:pStyle w:val="TextBody"/>
        <w:bidi w:val="0"/>
        <w:jc w:val="both"/>
        <w:rPr>
          <w:rFonts w:ascii="Arial" w:hAnsi="Arial"/>
          <w:color w:val="000000"/>
          <w:sz w:val="20"/>
        </w:rPr>
      </w:pPr>
      <w:r>
        <w:rPr>
          <w:rFonts w:ascii="Arial" w:hAnsi="Arial"/>
          <w:color w:val="000000"/>
          <w:sz w:val="20"/>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0" w:after="240"/>
        <w:jc w:val="both"/>
        <w:rPr>
          <w:rFonts w:ascii="Arial" w:hAnsi="Arial"/>
          <w:b/>
          <w:i/>
          <w:color w:val="000000"/>
          <w:sz w:val="20"/>
        </w:rPr>
      </w:pPr>
      <w:r>
        <w:rPr>
          <w:rFonts w:ascii="Arial" w:hAnsi="Arial"/>
          <w:b/>
          <w:i/>
          <w:color w:val="000000"/>
          <w:sz w:val="20"/>
        </w:rPr>
        <w:t>We and the third parties with whom we work are subject to stringent and evolving U.S. and foreign laws, regulations, rules, contractual obligations, policies and other obligations related to data privacy and security. Our (or third parties with whom we work)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pStyle w:val="TextBody"/>
        <w:bidi w:val="0"/>
        <w:jc w:val="both"/>
        <w:rPr>
          <w:rFonts w:ascii="Times New Roman" w:hAnsi="Times New Roman"/>
          <w:sz w:val="20"/>
        </w:rPr>
      </w:pPr>
      <w:r>
        <w:rPr>
          <w:rFonts w:ascii="Arial" w:hAnsi="Arial"/>
          <w:color w:val="000000"/>
          <w:sz w:val="20"/>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many of which differ from each other in significant ways and often are not preempted by HIPAA, thus complicating compliance efforts.</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Outside the United States, an increasing number of laws, regulations, and industry standards govern data privacy and security. For example, the GDPR imposes strict requirements for processing personal data including, the collection and use of health data. For example, under the GDPR, companies may face temporary or definitive bans on data processing and other corrective actions; fines of up to 20 million Euros under the EU GDPR, 17.5 million British Pounds under the UK GDPR or, in each case, 4% of annual global revenue, whichever is higher; or private litigation related to processing of personal data brought by classes of data subjects or consumer protection organizations authorized at law to represent their interests.</w:t>
      </w:r>
    </w:p>
    <w:p>
      <w:pPr>
        <w:pStyle w:val="TextBody"/>
        <w:bidi w:val="0"/>
        <w:jc w:val="both"/>
        <w:rPr>
          <w:rFonts w:ascii="Times New Roman" w:hAnsi="Times New Roman"/>
          <w:sz w:val="20"/>
        </w:rPr>
      </w:pPr>
      <w:r>
        <w:rPr>
          <w:rFonts w:ascii="Arial" w:hAnsi="Arial"/>
          <w:color w:val="000000"/>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are considered ‘inadequate’. Other jurisdictions may adopt or have already adopted similarly stringent data localization and cross-border data transfer laws. Although there are currently various mechanisms that may be used to effect such cross-border transfers of personal data in compliance with the EU GDPR and UK GDPR, such as the European Commission’s ‘Standard Contractual Clauses’, the United Kingdom’s ‘International Data Transfer Agreement / Addendum’, and the EU-U.S. Data Privacy Framework and the UK Extension thereto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(which allows for transfers for relevant U.S.-based organizations who self-certify compliance and participate in the Framework), all such mechanisms are subject to legal challenges, and there is no assurance that we can always satisfy or rely on these mechanisms to lawfully effect cross-border transfers of personal data where required. If there is no lawful manner for us to effect or be the recipient of cross-border transfers of personal data in compliance with the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w:t>
      </w:r>
    </w:p>
    <w:p>
      <w:pPr>
        <w:pStyle w:val="TextBody"/>
        <w:bidi w:val="0"/>
        <w:spacing w:before="0" w:after="240"/>
        <w:jc w:val="both"/>
        <w:rPr>
          <w:rFonts w:ascii="Arial" w:hAnsi="Arial"/>
          <w:color w:val="000000"/>
          <w:sz w:val="20"/>
        </w:rPr>
      </w:pPr>
      <w:r>
        <w:rPr>
          <w:rFonts w:ascii="Arial" w:hAnsi="Arial"/>
          <w:color w:val="000000"/>
          <w:sz w:val="20"/>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the third parties with whom we work.</w:t>
      </w:r>
    </w:p>
    <w:p>
      <w:pPr>
        <w:pStyle w:val="TextBody"/>
        <w:bidi w:val="0"/>
        <w:spacing w:before="0" w:after="240"/>
        <w:jc w:val="both"/>
        <w:rPr>
          <w:rFonts w:ascii="Arial" w:hAnsi="Arial"/>
          <w:color w:val="000000"/>
          <w:sz w:val="20"/>
        </w:rPr>
      </w:pPr>
      <w:r>
        <w:rPr>
          <w:rFonts w:ascii="Arial" w:hAnsi="Arial"/>
          <w:color w:val="000000"/>
          <w:sz w:val="20"/>
        </w:rPr>
        <w:t>Additionally, the California Privacy Rights Act (CPRA) significantly modified the CCPA, including by expanding consumers’ rights with respect to certain sensitive personal information. The CPRA also created a new state agency that will be vested with authority to implement and enforce the CCPA and the CPRA. In addition, numerous states have passed comprehensive privacy laws that have gone or will go into effect. While some of these state laws, like the CCPA, exempt some data processed in the context of clinical trials, these laws demonstrate our vulnerability to the evolving regulatory environment related to personal information and make it difficult to predict the impact of such laws on our business or operations. Aspects of these state privacy statutes remain unclear, resulting in further legal uncertainty and potentially requiring us to modify our data practices and policies and to incur substantial additional costs and expenses in an effort to comply.</w:t>
      </w:r>
    </w:p>
    <w:p>
      <w:pPr>
        <w:pStyle w:val="TextBody"/>
        <w:bidi w:val="0"/>
        <w:jc w:val="both"/>
        <w:rPr>
          <w:rFonts w:ascii="Times New Roman" w:hAnsi="Times New Roman"/>
          <w:sz w:val="20"/>
        </w:rPr>
      </w:pPr>
      <w:r>
        <w:rPr>
          <w:rFonts w:ascii="Arial" w:hAnsi="Arial"/>
          <w:color w:val="000000"/>
          <w:sz w:val="20"/>
        </w:rPr>
        <w:t>We are also bound, and may in the future become bound, by contractual obligations related to data privacy and security, and our efforts to comply with such obligations may not be successful. Moreover, we publish privacy policies and other statements, such as compliance with certain certifications or self-regulatory principles, regarding data privacy and security. If these policies or statements are found to be deficient, lacking in transparency, deceptive, unfair, or misrepresentative of our practices, we may be subject to investigation, enforcement actions by regulators or other adverse consequences.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sz w:val="20"/>
        </w:rPr>
      </w:pPr>
      <w:r>
        <w:rPr>
          <w:rFonts w:ascii="Arial" w:hAnsi="Arial"/>
          <w:color w:val="000000"/>
          <w:sz w:val="20"/>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financial condition, results of operations and prospects.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Any actual or perceived failure by us or the third parties with whom we work to comply with these laws, regulations, or other obligations would lead to significant consequences, including but not limited to fines, penalties, regulatory investigations, lawsuits, significant costs for remediation, damage to our reputation, bans on processing personal data, orders to destroy or not use personal data, or other liabilities.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Our employees and personnel use generative AI technologies to perform their work, and the disclosure and use of personal information in generative AI technologies is subject to various privacy laws and other privacy obligations. Governments have passed and are likely to pass additional laws regulating generative AI, such as the EU AI Act. Our use of this technology could result in additional compliance costs, regulatory investigations and actions, and consumer lawsuits. If we are unable to use generative AI, it could make our business less efficient and result in competitive disadvantages.</w:t>
      </w:r>
    </w:p>
    <w:p>
      <w:pPr>
        <w:pStyle w:val="TextBody"/>
        <w:bidi w:val="0"/>
        <w:jc w:val="both"/>
        <w:rPr>
          <w:rFonts w:ascii="Times New Roman" w:hAnsi="Times New Roman"/>
          <w:sz w:val="20"/>
        </w:rPr>
      </w:pPr>
      <w:r>
        <w:rPr>
          <w:rFonts w:ascii="Arial" w:hAnsi="Arial"/>
          <w:color w:val="000000"/>
          <w:sz w:val="20"/>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will cause us to incur substantial costs or require us to change our business practices and compliance procedures in a manner adverse to our business.</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Any inability to adequately address data privacy or security-related concerns, even if unfounded, or to comply with applicable laws, regulations, standards and other obligations relating to data privacy and security,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We attempt to mitigate the associated risks but there is no assurance that privacy and security-related safeguards will protect us from all risks associated with the third-party processing, storage and transmission of such information.</w:t>
      </w:r>
    </w:p>
    <w:p>
      <w:pPr>
        <w:pStyle w:val="TextBody"/>
        <w:bidi w:val="0"/>
        <w:spacing w:before="0" w:after="240"/>
        <w:jc w:val="both"/>
        <w:rPr>
          <w:rFonts w:ascii="Arial" w:hAnsi="Arial"/>
          <w:b/>
          <w:i/>
          <w:color w:val="000000"/>
          <w:sz w:val="20"/>
        </w:rPr>
      </w:pPr>
      <w:r>
        <w:rPr>
          <w:rFonts w:ascii="Arial" w:hAnsi="Arial"/>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before="0" w:after="240"/>
        <w:jc w:val="both"/>
        <w:rPr>
          <w:rFonts w:ascii="Times New Roman" w:hAnsi="Times New Roman"/>
          <w:sz w:val="20"/>
        </w:rPr>
      </w:pPr>
      <w:r>
        <w:rPr>
          <w:rFonts w:ascii="Arial" w:hAnsi="Arial"/>
          <w:color w:val="000000"/>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or other comparable foreign regulations, provide accurate information to the FDA or other comparable regulatory authorities, comply with federal and state health care fraud and abuse laws and regulations and comparable foreign requirements,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w:t>
      </w:r>
    </w:p>
    <w:p>
      <w:pPr>
        <w:pStyle w:val="TextBody"/>
        <w:bidi w:val="0"/>
        <w:spacing w:before="0" w:after="240"/>
        <w:jc w:val="both"/>
        <w:rPr>
          <w:rFonts w:ascii="Arial" w:hAnsi="Arial"/>
          <w:b/>
          <w:i/>
          <w:color w:val="000000"/>
          <w:sz w:val="20"/>
        </w:rPr>
      </w:pPr>
      <w:r>
        <w:rPr>
          <w:rFonts w:ascii="Arial" w:hAnsi="Arial"/>
          <w:b/>
          <w:i/>
          <w:color w:val="000000"/>
          <w:sz w:val="20"/>
        </w:rPr>
        <w:t>If we fail to comply with environmental, health and safety laws and regulations, we could become subject to fines or penalties or incur costs that could significantly harm our business, financial condition, results of operations or prospects.</w:t>
      </w:r>
    </w:p>
    <w:p>
      <w:pPr>
        <w:pStyle w:val="TextBody"/>
        <w:bidi w:val="0"/>
        <w:spacing w:before="0" w:after="240"/>
        <w:jc w:val="both"/>
        <w:rPr>
          <w:rFonts w:ascii="Arial" w:hAnsi="Arial"/>
          <w:color w:val="000000"/>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0" w:after="240"/>
        <w:jc w:val="both"/>
        <w:rPr>
          <w:rFonts w:ascii="Arial" w:hAnsi="Arial"/>
          <w:color w:val="000000"/>
          <w:sz w:val="20"/>
        </w:rPr>
      </w:pPr>
      <w:r>
        <w:rPr>
          <w:rFonts w:ascii="Arial" w:hAnsi="Arial"/>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pStyle w:val="TextBody"/>
        <w:bidi w:val="0"/>
        <w:spacing w:before="0" w:after="240"/>
        <w:jc w:val="both"/>
        <w:rPr>
          <w:rFonts w:ascii="Arial" w:hAnsi="Arial"/>
          <w:color w:val="000000"/>
          <w:sz w:val="20"/>
        </w:rPr>
      </w:pPr>
      <w:r>
        <w:rPr>
          <w:rFonts w:ascii="Arial" w:hAnsi="Arial"/>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0" w:after="240"/>
        <w:jc w:val="both"/>
        <w:rPr>
          <w:rFonts w:ascii="Arial" w:hAnsi="Arial"/>
          <w:b/>
          <w:i/>
          <w:color w:val="000000"/>
          <w:sz w:val="20"/>
        </w:rPr>
      </w:pPr>
      <w:r>
        <w:rPr>
          <w:rFonts w:ascii="Arial" w:hAnsi="Arial"/>
          <w:b/>
          <w:i/>
          <w:color w:val="000000"/>
          <w:sz w:val="20"/>
        </w:rPr>
        <w:t>Our research and development activities could be affected or delayed as a result of possible restrictions on animal testing.</w:t>
      </w:r>
    </w:p>
    <w:p>
      <w:pPr>
        <w:pStyle w:val="TextBody"/>
        <w:bidi w:val="0"/>
        <w:spacing w:before="0" w:after="240"/>
        <w:jc w:val="both"/>
        <w:rPr>
          <w:rFonts w:ascii="Arial" w:hAnsi="Arial"/>
          <w:color w:val="000000"/>
          <w:sz w:val="20"/>
        </w:rPr>
      </w:pPr>
      <w:r>
        <w:rPr>
          <w:rFonts w:ascii="Arial" w:hAnsi="Arial"/>
          <w:color w:val="000000"/>
          <w:sz w:val="20"/>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0" w:after="240"/>
        <w:jc w:val="both"/>
        <w:rPr>
          <w:rFonts w:ascii="Arial" w:hAnsi="Arial"/>
          <w:b/>
          <w:i/>
          <w:color w:val="000000"/>
          <w:sz w:val="20"/>
        </w:rPr>
      </w:pPr>
      <w:r>
        <w:rPr>
          <w:rFonts w:ascii="Arial" w:hAnsi="Arial"/>
          <w:b/>
          <w:i/>
          <w:color w:val="000000"/>
          <w:sz w:val="20"/>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0" w:after="240"/>
        <w:jc w:val="both"/>
        <w:rPr>
          <w:rFonts w:ascii="Times New Roman" w:hAnsi="Times New Roman"/>
          <w:sz w:val="20"/>
        </w:rPr>
      </w:pPr>
      <w:r>
        <w:rPr>
          <w:rFonts w:ascii="Arial" w:hAnsi="Arial"/>
          <w:color w:val="000000"/>
          <w:sz w:val="20"/>
        </w:rPr>
        <w:t>As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pStyle w:val="TextBody"/>
        <w:bidi w:val="0"/>
        <w:spacing w:before="0" w:after="240"/>
        <w:jc w:val="both"/>
        <w:rPr>
          <w:rFonts w:ascii="Arial" w:hAnsi="Arial"/>
          <w:color w:val="000000"/>
          <w:sz w:val="20"/>
        </w:rPr>
      </w:pPr>
      <w:r>
        <w:rPr>
          <w:rFonts w:ascii="Arial" w:hAnsi="Arial"/>
          <w:color w:val="000000"/>
          <w:sz w:val="20"/>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pStyle w:val="TextBody"/>
        <w:bidi w:val="0"/>
        <w:spacing w:before="0" w:after="240"/>
        <w:jc w:val="left"/>
        <w:rPr>
          <w:rFonts w:ascii="Arial" w:hAnsi="Arial"/>
          <w:b/>
          <w:color w:val="000000"/>
          <w:sz w:val="20"/>
        </w:rPr>
      </w:pPr>
      <w:r>
        <w:rPr>
          <w:rFonts w:ascii="Arial" w:hAnsi="Arial"/>
          <w:b/>
          <w:color w:val="000000"/>
          <w:sz w:val="20"/>
        </w:rPr>
        <w:t>Risks related to employee matters, managing our growth and other risks related to our business</w:t>
      </w:r>
    </w:p>
    <w:p>
      <w:pPr>
        <w:pStyle w:val="TextBody"/>
        <w:bidi w:val="0"/>
        <w:spacing w:before="0" w:after="240"/>
        <w:jc w:val="both"/>
        <w:rPr>
          <w:rFonts w:ascii="Arial" w:hAnsi="Arial"/>
          <w:b/>
          <w:i/>
          <w:color w:val="000000"/>
          <w:sz w:val="20"/>
        </w:rPr>
      </w:pPr>
      <w:r>
        <w:rPr>
          <w:rFonts w:ascii="Arial" w:hAnsi="Arial"/>
          <w:b/>
          <w:i/>
          <w:color w:val="000000"/>
          <w:sz w:val="20"/>
        </w:rPr>
        <w:t>Unfavorable U.S. and global macroeconomic and geopolitical conditions could adversely affect our business, financial condition and results of operations.</w:t>
      </w:r>
    </w:p>
    <w:p>
      <w:pPr>
        <w:pStyle w:val="TextBody"/>
        <w:bidi w:val="0"/>
        <w:spacing w:before="0" w:after="240"/>
        <w:jc w:val="both"/>
        <w:rPr>
          <w:rFonts w:ascii="Times New Roman" w:hAnsi="Times New Roman"/>
          <w:sz w:val="20"/>
        </w:rPr>
      </w:pPr>
      <w:r>
        <w:rPr>
          <w:rFonts w:ascii="Arial" w:hAnsi="Arial"/>
          <w:color w:val="000000"/>
          <w:sz w:val="20"/>
        </w:rPr>
        <w:t>Our results of operations could be adversely affected by general conditions in the U.S. and global economies, the U.S. and global financial markets and adverse geopolitical and macroeconomic developments, including economic uncertainty, market volatility, labor shortages, recent and changing tariff policy announcements, tariffs, trade tensions and retaliatory measures by other countries, supply chain disruptions, the ongoing conflicts between Ukraine and Russia and in the Middle East, as well as any related political or economic responses and counter-responses or otherwise by various global actors, inflationary pressures, monetary supply shifts, increased recession risk, and related financial instability. U.S. and global market and economic conditions have been, and continue to be, disrupted and volatile due to many factors, including component shortages and related supply chain challenges, geopolitical developments, including the events noted above. General business and economic conditions that could affect our business, financial condition or results of operations include fluctuations in economic growth, debt and equity capital markets, liquidity of the global financial markets, the availability and cost of credit, investor and consumer confidence, and the strength of the economies in which we, our manufacturers and our suppliers operate.</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 severe or prolonged global economic downturn could result in a variety of risks to our business. For example, inflation rates, particularly in the United States, recently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A weak or declining economy could also strain our manufacturers and other service providers in our supply chain,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0" w:after="240"/>
        <w:jc w:val="both"/>
        <w:rPr>
          <w:rFonts w:ascii="Arial" w:hAnsi="Arial"/>
          <w:b/>
          <w:i/>
          <w:color w:val="000000"/>
          <w:sz w:val="20"/>
        </w:rPr>
      </w:pPr>
      <w:r>
        <w:rPr>
          <w:rFonts w:ascii="Arial" w:hAnsi="Arial"/>
          <w:b/>
          <w:i/>
          <w:color w:val="000000"/>
          <w:sz w:val="20"/>
        </w:rPr>
        <w:t>International trade policies, including tariffs, sanctions and trade barriers may adversely affect our business, financial condition, results of operations and prospects.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We operate in a global economy, which includes utilizing third-party suppliers in countries outside of the United States. The current international trade and regulatory environment is subject to significant ongoing uncertainty.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We also rely on specialized laboratory equipment, supplies, materials, and precursor compounds, all or part of which we believe may be ultimately sourced from multiple countries outside the United States, to advance our research and development efforts.</w:t>
      </w:r>
    </w:p>
    <w:p>
      <w:pPr>
        <w:pStyle w:val="TextBody"/>
        <w:bidi w:val="0"/>
        <w:spacing w:before="0" w:after="240"/>
        <w:jc w:val="both"/>
        <w:rPr>
          <w:rFonts w:ascii="Arial" w:hAnsi="Arial"/>
          <w:color w:val="000000"/>
          <w:sz w:val="20"/>
        </w:rPr>
      </w:pPr>
      <w:r>
        <w:rPr>
          <w:rFonts w:ascii="Arial" w:hAnsi="Arial"/>
          <w:color w:val="000000"/>
          <w:sz w:val="20"/>
        </w:rPr>
        <w:t>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which among other factors, could negatively impact our ability to secure additional financing on favorable terms or at all. In addition, as we advance toward commercialization in the future, tariffs and trade restrictions could hinder our ability to establish cost-effective production capabilities and negative impact our growth prospects.</w:t>
      </w:r>
    </w:p>
    <w:p>
      <w:pPr>
        <w:pStyle w:val="TextBody"/>
        <w:bidi w:val="0"/>
        <w:spacing w:before="0" w:after="240"/>
        <w:jc w:val="both"/>
        <w:rPr>
          <w:rFonts w:ascii="Times New Roman" w:hAnsi="Times New Roman"/>
          <w:sz w:val="20"/>
        </w:rPr>
      </w:pPr>
      <w:r>
        <w:rPr>
          <w:rFonts w:ascii="Arial" w:hAnsi="Arial"/>
          <w:color w:val="000000"/>
          <w:sz w:val="20"/>
        </w:rPr>
        <w:t>The complexity of announced or future tariffs may also increase the risk that we or our collaborators, partners, vendors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on or increase the complexity to our business.</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on Form 10-Q and in our Annual Report on Form 10-K for the fiscal year ended December 31, 2024.</w:t>
      </w:r>
    </w:p>
    <w:p>
      <w:pPr>
        <w:pStyle w:val="TextBody"/>
        <w:bidi w:val="0"/>
        <w:spacing w:before="0" w:after="240"/>
        <w:jc w:val="left"/>
        <w:rPr>
          <w:rFonts w:ascii="Arial" w:hAnsi="Arial"/>
          <w:b/>
          <w:i/>
          <w:color w:val="000000"/>
          <w:sz w:val="20"/>
        </w:rPr>
      </w:pPr>
      <w:r>
        <w:rPr>
          <w:rFonts w:ascii="Arial" w:hAnsi="Arial"/>
          <w:b/>
          <w:i/>
          <w:color w:val="000000"/>
          <w:sz w:val="20"/>
        </w:rPr>
        <w:t>Our success is highly dependent on our ability to attract and retain highly skilled executive officers and employees.</w:t>
      </w:r>
    </w:p>
    <w:p>
      <w:pPr>
        <w:pStyle w:val="TextBody"/>
        <w:bidi w:val="0"/>
        <w:spacing w:before="0" w:after="240"/>
        <w:jc w:val="both"/>
        <w:rPr>
          <w:rFonts w:ascii="Times New Roman" w:hAnsi="Times New Roman"/>
          <w:sz w:val="20"/>
        </w:rPr>
      </w:pPr>
      <w:r>
        <w:rPr>
          <w:rFonts w:ascii="Arial" w:hAnsi="Arial"/>
          <w:color w:val="000000"/>
          <w:sz w:val="20"/>
        </w:rPr>
        <w:t>To succeed, we must recruit, retain, manage and motivate qualified clinical, scientific, technical and management personnel, and we face significant competition for experienced personnel. We are highly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dependent on the management, research and development, clinical, financial and business development expertise of our executive officers, as well as the other members of our scientific and clinical teams.</w:t>
      </w:r>
    </w:p>
    <w:p>
      <w:pPr>
        <w:pStyle w:val="TextBody"/>
        <w:bidi w:val="0"/>
        <w:spacing w:before="0" w:after="240"/>
        <w:jc w:val="both"/>
        <w:rPr>
          <w:rFonts w:ascii="Arial" w:hAnsi="Arial"/>
          <w:color w:val="000000"/>
          <w:sz w:val="20"/>
        </w:rPr>
      </w:pPr>
      <w:r>
        <w:rPr>
          <w:rFonts w:ascii="Arial" w:hAnsi="Arial"/>
          <w:color w:val="000000"/>
          <w:sz w:val="20"/>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before="0" w:after="240"/>
        <w:jc w:val="both"/>
        <w:rPr>
          <w:rFonts w:ascii="Arial" w:hAnsi="Arial"/>
          <w:color w:val="000000"/>
          <w:sz w:val="20"/>
        </w:rPr>
      </w:pPr>
      <w:r>
        <w:rPr>
          <w:rFonts w:ascii="Arial" w:hAnsi="Arial"/>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palazestrant, OP-3136 or any other product candidate will be limited and the potential for successfully growing our business will be harmed.</w:t>
      </w:r>
    </w:p>
    <w:p>
      <w:pPr>
        <w:pStyle w:val="TextBody"/>
        <w:bidi w:val="0"/>
        <w:spacing w:before="0" w:after="240"/>
        <w:jc w:val="both"/>
        <w:rPr>
          <w:rFonts w:ascii="Arial" w:hAnsi="Arial"/>
          <w:b/>
          <w:i/>
          <w:color w:val="000000"/>
          <w:sz w:val="20"/>
        </w:rPr>
      </w:pPr>
      <w:r>
        <w:rPr>
          <w:rFonts w:ascii="Arial" w:hAnsi="Arial"/>
          <w:b/>
          <w:i/>
          <w:color w:val="000000"/>
          <w:sz w:val="20"/>
        </w:rPr>
        <w:t>If we are unable to establish sales or marketing capabilities or enter into agreements with third parties to sell or market palazestrant, OP-3136 or any product candidate we may develop in the future, we may not be able to successfully sell or market palazestrant, OP-3136 or any future product candidate we may develop that obtain regulatory approval.</w:t>
      </w:r>
    </w:p>
    <w:p>
      <w:pPr>
        <w:pStyle w:val="TextBody"/>
        <w:bidi w:val="0"/>
        <w:spacing w:before="0" w:after="240"/>
        <w:jc w:val="both"/>
        <w:rPr>
          <w:rFonts w:ascii="Arial" w:hAnsi="Arial"/>
          <w:color w:val="000000"/>
          <w:sz w:val="20"/>
        </w:rPr>
      </w:pPr>
      <w:r>
        <w:rPr>
          <w:rFonts w:ascii="Arial" w:hAnsi="Arial"/>
          <w:color w:val="000000"/>
          <w:sz w:val="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palazestrant, OP-3136 or any future product candidate we may develop. We may not be successful in accomplishing these required tasks.</w:t>
      </w:r>
    </w:p>
    <w:p>
      <w:pPr>
        <w:pStyle w:val="TextBody"/>
        <w:bidi w:val="0"/>
        <w:spacing w:before="0" w:after="240"/>
        <w:jc w:val="both"/>
        <w:rPr>
          <w:rFonts w:ascii="Arial" w:hAnsi="Arial"/>
          <w:color w:val="000000"/>
          <w:sz w:val="20"/>
        </w:rPr>
      </w:pPr>
      <w:r>
        <w:rPr>
          <w:rFonts w:ascii="Arial" w:hAnsi="Arial"/>
          <w:color w:val="000000"/>
          <w:sz w:val="20"/>
        </w:rPr>
        <w:t>Establishing an internal sales or marketing team with technical expertise and supporting distribution capabilities to commercialize palazestrant, OP-3136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palazestrant, OP-3136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palazestrant, OP-3136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before="0" w:after="240"/>
        <w:jc w:val="both"/>
        <w:rPr>
          <w:rFonts w:ascii="Arial" w:hAnsi="Arial"/>
          <w:b/>
          <w:i/>
          <w:color w:val="000000"/>
          <w:sz w:val="20"/>
        </w:rPr>
      </w:pPr>
      <w:r>
        <w:rPr>
          <w:rFonts w:ascii="Arial" w:hAnsi="Arial"/>
          <w:b/>
          <w:i/>
          <w:color w:val="000000"/>
          <w:sz w:val="20"/>
        </w:rPr>
        <w:t>We have never commercialized a product candidate before and may lack the necessary expertise, personnel and resources to successfully commercialize any products on our own or together with suitable collaborators.</w:t>
      </w:r>
    </w:p>
    <w:p>
      <w:pPr>
        <w:pStyle w:val="TextBody"/>
        <w:bidi w:val="0"/>
        <w:spacing w:before="0" w:after="240"/>
        <w:jc w:val="both"/>
        <w:rPr>
          <w:rFonts w:ascii="Times New Roman" w:hAnsi="Times New Roman"/>
          <w:sz w:val="20"/>
        </w:rPr>
      </w:pPr>
      <w:r>
        <w:rPr>
          <w:rFonts w:ascii="Arial" w:hAnsi="Arial"/>
          <w:color w:val="000000"/>
          <w:sz w:val="20"/>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retain commercialization rights, we will have to develop our own sales, marketing and supply organization or outsource these activities to a third party.</w:t>
      </w:r>
    </w:p>
    <w:p>
      <w:pPr>
        <w:pStyle w:val="TextBody"/>
        <w:bidi w:val="0"/>
        <w:spacing w:before="0" w:after="240"/>
        <w:jc w:val="both"/>
        <w:rPr>
          <w:rFonts w:ascii="Arial" w:hAnsi="Arial"/>
          <w:color w:val="000000"/>
          <w:sz w:val="20"/>
        </w:rPr>
      </w:pPr>
      <w:r>
        <w:rPr>
          <w:rFonts w:ascii="Arial" w:hAnsi="Arial"/>
          <w:color w:val="000000"/>
          <w:sz w:val="20"/>
        </w:rPr>
        <w:t>Factors that may affect our ability to commercialize palazestrant, OP-3136 or any future product candidate we may develop, on our own include recruiting and retaining adequate numbers of effective sales and marketing personnel, obtaining access to or our failure to educate physicians on the benefits of prescribing or ordering palazestrant, OP-3136 or any future product candidates we may develop and other unforeseen costs associated with creating an independent sales and marketing organization. Developing a sales and marketing organization will be expensive and time-consuming and could delay the launch of palazestrant, OP-3136 or any future product candidate we may develop. We may not be able to build an effective sales and marketing organization. If we are unable to build our own distribution and marketing capabilities or to find suitable partners for the commercialization of palazestrant, OP-3136 or any future product candidate we may develop, we may not generate revenues from such product candidate or be able to reach or sustain profitability.</w:t>
      </w:r>
    </w:p>
    <w:p>
      <w:pPr>
        <w:pStyle w:val="TextBody"/>
        <w:bidi w:val="0"/>
        <w:spacing w:before="0" w:after="240"/>
        <w:jc w:val="both"/>
        <w:rPr>
          <w:rFonts w:ascii="Arial" w:hAnsi="Arial"/>
          <w:b/>
          <w:i/>
          <w:color w:val="000000"/>
          <w:sz w:val="20"/>
        </w:rPr>
      </w:pPr>
      <w:r>
        <w:rPr>
          <w:rFonts w:ascii="Arial" w:hAnsi="Arial"/>
          <w:b/>
          <w:i/>
          <w:color w:val="000000"/>
          <w:sz w:val="20"/>
        </w:rPr>
        <w:t>In order to successfully implement our plans and strategies, we will need to grow the size of our organization, and we may experience difficulties in managing this growth.</w:t>
      </w:r>
    </w:p>
    <w:p>
      <w:pPr>
        <w:pStyle w:val="TextBody"/>
        <w:bidi w:val="0"/>
        <w:spacing w:before="0" w:after="240"/>
        <w:jc w:val="both"/>
        <w:rPr>
          <w:rFonts w:ascii="Arial" w:hAnsi="Arial"/>
          <w:color w:val="000000"/>
          <w:sz w:val="20"/>
        </w:rPr>
      </w:pPr>
      <w:r>
        <w:rPr>
          <w:rFonts w:ascii="Arial" w:hAnsi="Arial"/>
          <w:color w:val="000000"/>
          <w:sz w:val="20"/>
        </w:rPr>
        <w:t>As of March 31, 2025, we had 102 employees, 101 of whom were full-time, consisting of clinical, research, operations, regulatory, and administrative personnel. Twenty-eight of our employees hold Ph.D. or M.D. degrees.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identifying, recruiting, integrating, maintaining and motivating additional employees;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managing our internal development efforts effectively, including the clinical, FDA, EMA and other comparable foreign regulatory authorities’ review process for palazestrant, OP-3136 and any other future product candidates we may develop, while complying with any contractual obligations to contractors and other third parties we may have;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improving our operational, financial and management controls, reporting systems and procedures.</w:t>
      </w:r>
    </w:p>
    <w:p>
      <w:pPr>
        <w:pStyle w:val="TextBody"/>
        <w:bidi w:val="0"/>
        <w:spacing w:before="0" w:after="240"/>
        <w:jc w:val="both"/>
        <w:rPr>
          <w:rFonts w:ascii="Arial" w:hAnsi="Arial"/>
          <w:color w:val="000000"/>
          <w:sz w:val="20"/>
        </w:rPr>
      </w:pPr>
      <w:r>
        <w:rPr>
          <w:rFonts w:ascii="Arial" w:hAnsi="Arial"/>
          <w:color w:val="000000"/>
          <w:sz w:val="20"/>
        </w:rPr>
        <w:t>In addition, we expect to be conducting multiple clinical trials of palazestrant for several different indications as well as clinical trials for OP-3136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palazestrant, OP-3136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0" w:after="240"/>
        <w:jc w:val="both"/>
        <w:rPr>
          <w:rFonts w:ascii="Arial" w:hAnsi="Arial"/>
          <w:color w:val="000000"/>
          <w:sz w:val="20"/>
        </w:rPr>
      </w:pPr>
      <w:r>
        <w:rPr>
          <w:rFonts w:ascii="Arial" w:hAnsi="Arial"/>
          <w:color w:val="00000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palazestrant, OP-3136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before="0" w:after="240"/>
        <w:jc w:val="both"/>
        <w:rPr>
          <w:rFonts w:ascii="Arial" w:hAnsi="Arial"/>
          <w:color w:val="000000"/>
          <w:sz w:val="20"/>
        </w:rPr>
      </w:pPr>
      <w:r>
        <w:rPr>
          <w:rFonts w:ascii="Arial" w:hAnsi="Arial"/>
          <w:color w:val="000000"/>
          <w:sz w:val="20"/>
        </w:rPr>
        <w:t>If we are not able to effectively expand our organization by hiring new employees and/or engaging additional third-party service providers, we may not be able to successfully implement the tasks necessary to further develop and commercialize palazestrant, OP-3136 and any other future product candidates we may develop and, accordingly, may not achieve our research, development and commercialization goals.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b/>
          <w:i/>
          <w:color w:val="000000"/>
          <w:sz w:val="20"/>
        </w:rPr>
      </w:pPr>
      <w:r>
        <w:rPr>
          <w:rFonts w:ascii="Arial" w:hAnsi="Arial"/>
          <w:b/>
          <w:i/>
          <w:color w:val="000000"/>
          <w:sz w:val="20"/>
        </w:rPr>
        <w:t>If our information technology systems or those of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or other adverse consequences.</w:t>
      </w:r>
    </w:p>
    <w:p>
      <w:pPr>
        <w:pStyle w:val="TextBody"/>
        <w:bidi w:val="0"/>
        <w:jc w:val="both"/>
        <w:rPr>
          <w:rFonts w:ascii="Arial" w:hAnsi="Arial"/>
          <w:color w:val="000000"/>
          <w:sz w:val="20"/>
        </w:rPr>
      </w:pPr>
      <w:r>
        <w:rPr>
          <w:rFonts w:ascii="Arial" w:hAnsi="Arial"/>
          <w:color w:val="000000"/>
          <w:sz w:val="20"/>
        </w:rPr>
        <w:t>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intellectual property, trade secrets (collectively, sensitive information). Cyber-attacks, malicious internet-based activity, online and offline fraud, outages,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would be vulnerable to a heightened risk of these attacks, including retaliatory cyber-attacks, that could materially disrupt our systems and operations.</w:t>
      </w:r>
    </w:p>
    <w:p>
      <w:pPr>
        <w:pStyle w:val="TextBody"/>
        <w:bidi w:val="0"/>
        <w:jc w:val="both"/>
        <w:rPr>
          <w:rFonts w:ascii="Times New Roman" w:hAnsi="Times New Roman"/>
          <w:sz w:val="20"/>
        </w:rPr>
      </w:pPr>
      <w:r>
        <w:rPr>
          <w:rFonts w:ascii="Arial" w:hAnsi="Arial"/>
          <w:color w:val="000000"/>
          <w:sz w:val="20"/>
        </w:rPr>
        <w:t>We and the third parties with whom we work are subject to a variety of evolving threats, including but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attacks, credential harvesting, intentional misconduct or unconventional error by those with authorized access, ransomware attacks, supply-chain attacks, software bugs, server malfunctions, software or hardware failures, loss of data or other information technology assets, adware, telecommunications failures, attacks enhanced or facilitated by AI, and other similar threats.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0" w:after="240"/>
        <w:jc w:val="both"/>
        <w:rPr>
          <w:rFonts w:ascii="Times New Roman" w:hAnsi="Times New Roman"/>
          <w:sz w:val="20"/>
        </w:rPr>
      </w:pPr>
      <w:r>
        <w:rPr>
          <w:rFonts w:ascii="Arial" w:hAnsi="Arial"/>
          <w:color w:val="000000"/>
          <w:sz w:val="20"/>
        </w:rPr>
        <w:t>Any of the previously identified or similar threats could cause a security incident or other interruption that could result in unauthorized, unlawful, or accidental acquisition, modification, destruction, loss, alteration, encryption, disclosure of, unavailability of, or access to our sensitive information or our information technology systems, or those of the third parties upon whom we rely. Despite the implementation of preventative and detective security measures, our internal computer systems and those of our current and any future CROs and other contractors, consultants, collaborators and third-party service providers that process our sensitive information, there can be no assurance that these measures will be effective.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We are not able to anticipate all types of security incidents, and we cannot implement preventive measures effective against all such security incidents. A security incident or other interruption could disrupt our ability (and that of third parties upon whom we rely) to run our business. We could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information. We have in the past and may in the future be subject to security incidents. For instance, we have had company laptops containing corporate information stolen from company offices, though none of such instances have been material or caused material harm due to encryption and device security practices.</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Additionally, the loss or compromise of clinical trial data from completed or future clinical trials could result in delays or revocation of our regulatory approval efforts and significantly increase our costs to recover or reproduce the lost data. We also rely on third parties to manufacture palazestrant, and similar events relating to their computer systems could also have a material adverse effect on our business. We may have insufficient recourse against such third parties, and we may have to expend significant resources to mitigate the impact of such an event, to develop and implement protections to prevent future events of this nature from occurring, and to address other related concerns or issues.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palazestrant or OP-3136 could be delayed, and we could be subject to significant fines or penalties for any noncompliance with certain state, federal and/or international privacy and security laws.</w:t>
      </w:r>
    </w:p>
    <w:p>
      <w:pPr>
        <w:pStyle w:val="TextBody"/>
        <w:bidi w:val="0"/>
        <w:jc w:val="both"/>
        <w:rPr>
          <w:rFonts w:ascii="Arial" w:hAnsi="Arial"/>
          <w:color w:val="000000"/>
          <w:sz w:val="20"/>
        </w:rPr>
      </w:pPr>
      <w:r>
        <w:rPr>
          <w:rFonts w:ascii="Arial" w:hAnsi="Arial"/>
          <w:color w:val="000000"/>
          <w:sz w:val="20"/>
        </w:rPr>
        <w:t>Applicable data privacy and security obligations require us to notify relevant stakeholders, including affected individuals, customers, regulators, and investors,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w:t>
      </w:r>
    </w:p>
    <w:p>
      <w:pPr>
        <w:pStyle w:val="TextBody"/>
        <w:bidi w:val="0"/>
        <w:spacing w:before="0" w:after="240"/>
        <w:jc w:val="both"/>
        <w:rPr>
          <w:rFonts w:ascii="Arial" w:hAnsi="Arial"/>
          <w:color w:val="000000"/>
          <w:sz w:val="20"/>
        </w:rPr>
      </w:pPr>
      <w:r>
        <w:rPr>
          <w:rFonts w:ascii="Arial" w:hAnsi="Arial"/>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0" w:after="240"/>
        <w:jc w:val="both"/>
        <w:rPr>
          <w:rFonts w:ascii="Arial" w:hAnsi="Arial"/>
          <w:b/>
          <w:i/>
          <w:color w:val="000000"/>
          <w:sz w:val="20"/>
        </w:rPr>
      </w:pPr>
      <w:r>
        <w:rPr>
          <w:rFonts w:ascii="Arial" w:hAnsi="Arial"/>
          <w:b/>
          <w:i/>
          <w:color w:val="000000"/>
          <w:sz w:val="20"/>
        </w:rPr>
        <w:t>EU drug marketing and reimbursement regulations may materially affect our ability to market and receive coverage for our product in the EU Member States.</w:t>
      </w:r>
    </w:p>
    <w:p>
      <w:pPr>
        <w:pStyle w:val="TextBody"/>
        <w:bidi w:val="0"/>
        <w:spacing w:before="0" w:after="240"/>
        <w:jc w:val="both"/>
        <w:rPr>
          <w:rFonts w:ascii="Arial" w:hAnsi="Arial"/>
          <w:color w:val="000000"/>
          <w:sz w:val="20"/>
        </w:rPr>
      </w:pPr>
      <w:r>
        <w:rPr>
          <w:rFonts w:ascii="Arial" w:hAnsi="Arial"/>
          <w:color w:val="000000"/>
          <w:sz w:val="20"/>
        </w:rPr>
        <w:t>We intend to seek approval to market palazestrant or OP-3136 in both the United States and in selected foreign jurisdictions. If we obtain approval in one or more foreign jurisdictions for palazestrant or OP-3136, we will be subject to rules and regulations in those jurisdictions. In some foreign countries, particularly those in the EU, the pricing of drugs is subject to governmental control and other market regulations which could put pressure on the pricing and usage of palazestrant or OP-3136. In these countries, pricing negotiations with governmental authorities can take considerable time after obtaining marketing approval of a product candidate. In addition, market acceptance and sales of palazestrant or OP-3136 will depend significantly on the availability of adequate coverage and reimbursement from third-party payors for palazestrant or OP-3136 and may be affected by existing and future healthcare reform measures.</w:t>
      </w:r>
    </w:p>
    <w:p>
      <w:pPr>
        <w:pStyle w:val="TextBody"/>
        <w:bidi w:val="0"/>
        <w:jc w:val="both"/>
        <w:rPr>
          <w:rFonts w:ascii="Times New Roman" w:hAnsi="Times New Roman"/>
          <w:sz w:val="20"/>
        </w:rPr>
      </w:pPr>
      <w:r>
        <w:rPr>
          <w:rFonts w:ascii="Arial" w:hAnsi="Arial"/>
          <w:color w:val="000000"/>
          <w:sz w:val="20"/>
        </w:rPr>
        <w:t>Moreover, in most foreign countries, including a number of EU Member States, the proposed pricing for a drug must be approved before it may be lawfully marketed. The requirements governing drug pricing and reimbursement vary widely from country to country. For example, the EU provides options for EU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An EU Member State may approve a specific price for the medicinal product, or it may instead adopt a system of direct or indirect controls on the profitability of the company placing the medicinal product on the market. Many EU Member States also periodically review their reimbursement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procedures for medicinal products, which could have an adverse impact on reimbursement status. 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pStyle w:val="TextBody"/>
        <w:bidi w:val="0"/>
        <w:jc w:val="both"/>
        <w:rPr>
          <w:rFonts w:ascii="Arial" w:hAnsi="Arial"/>
          <w:color w:val="000000"/>
          <w:sz w:val="20"/>
        </w:rPr>
      </w:pPr>
      <w:r>
        <w:rPr>
          <w:rFonts w:ascii="Arial" w:hAnsi="Arial"/>
          <w:color w:val="000000"/>
          <w:sz w:val="20"/>
        </w:rPr>
        <w:t>Legislators, policymakers and healthcare insurance funds in the EU may continue to propose and implement cost-containing measures to keep healthcare costs down, particularly due to the financial strain that the COVID-19 pandemic placed on national healthcare systems of EU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pStyle w:val="TextBody"/>
        <w:bidi w:val="0"/>
        <w:spacing w:before="0" w:after="240"/>
        <w:jc w:val="both"/>
        <w:rPr>
          <w:rFonts w:ascii="Arial" w:hAnsi="Arial"/>
          <w:b/>
          <w:i/>
          <w:color w:val="000000"/>
          <w:sz w:val="20"/>
        </w:rPr>
      </w:pPr>
      <w:r>
        <w:rPr>
          <w:rFonts w:ascii="Arial" w:hAnsi="Arial"/>
          <w:b/>
          <w:i/>
          <w:color w:val="000000"/>
          <w:sz w:val="20"/>
        </w:rPr>
        <w:t>Business disruptions could seriously harm our future revenue and financial condition and increase our costs and expenses.</w:t>
      </w:r>
    </w:p>
    <w:p>
      <w:pPr>
        <w:pStyle w:val="TextBody"/>
        <w:bidi w:val="0"/>
        <w:spacing w:before="0" w:after="240"/>
        <w:jc w:val="both"/>
        <w:rPr>
          <w:rFonts w:ascii="Arial" w:hAnsi="Arial"/>
          <w:color w:val="000000"/>
          <w:sz w:val="20"/>
        </w:rPr>
      </w:pPr>
      <w:r>
        <w:rPr>
          <w:rFonts w:ascii="Arial" w:hAnsi="Arial"/>
          <w:color w:val="000000"/>
          <w:sz w:val="20"/>
        </w:rPr>
        <w:t>Our operations, and those of our suppliers, CMOs, CROs and other contractors and consultants, could be subject to earthquakes, power shortages, telecommunications failures, water shortages, floods, hurricanes, typhoons, fires, extreme weather conditions, public health pandemics or epidemics, and other natural or man-made disasters or business interruptions, for which we are predominantly self- insured. The occurrence of any of these business disruptions could seriously harm our operations, increase our costs and expenses and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Our ability to develop palazestrant, OP-3136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pStyle w:val="TextBody"/>
        <w:bidi w:val="0"/>
        <w:spacing w:before="0" w:after="240"/>
        <w:jc w:val="both"/>
        <w:rPr>
          <w:rFonts w:ascii="Arial" w:hAnsi="Arial"/>
          <w:b/>
          <w:i/>
          <w:color w:val="000000"/>
          <w:sz w:val="20"/>
        </w:rPr>
      </w:pPr>
      <w:r>
        <w:rPr>
          <w:rFonts w:ascii="Arial" w:hAnsi="Arial"/>
          <w:b/>
          <w:i/>
          <w:color w:val="000000"/>
          <w:sz w:val="20"/>
        </w:rPr>
        <w:t>Our ability to utilize our net operating loss carryforwards and certain other tax attributes may be limited.</w:t>
      </w:r>
    </w:p>
    <w:p>
      <w:pPr>
        <w:pStyle w:val="TextBody"/>
        <w:bidi w:val="0"/>
        <w:jc w:val="both"/>
        <w:rPr>
          <w:rFonts w:ascii="Arial" w:hAnsi="Arial"/>
          <w:color w:val="000000"/>
          <w:sz w:val="20"/>
        </w:rPr>
      </w:pPr>
      <w:r>
        <w:rPr>
          <w:rFonts w:ascii="Arial" w:hAnsi="Arial"/>
          <w:color w:val="000000"/>
          <w:sz w:val="20"/>
        </w:rPr>
        <w:t>Our net operating loss (NOL) carryforwards could expire unused and be unavailable to offset future income tax liabilities because of their limited duration or other restrictions. Under current U.S. federal tax law, federal NOL carryforwards generated in tax years ending on or prior to December 31, 2017, are only permitted to be carried forward for 20 taxable years and federal NOL carryforwards generated in tax years ending after December 31, 2017, may be carried forward indefinitely, but the deductibility of such federal NOL carryforwards is limited to 80% of current year taxable income. It is uncertain if and to what extent various states will conform to current U.S. federal tax law. For example, California recently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w:t>
      </w:r>
    </w:p>
    <w:p>
      <w:pPr>
        <w:pStyle w:val="TextBody"/>
        <w:bidi w:val="0"/>
        <w:spacing w:before="0" w:after="240"/>
        <w:jc w:val="both"/>
        <w:rPr>
          <w:rFonts w:ascii="Times New Roman" w:hAnsi="Times New Roman"/>
          <w:sz w:val="20"/>
        </w:rPr>
      </w:pPr>
      <w:r>
        <w:rPr>
          <w:rFonts w:ascii="Arial" w:hAnsi="Arial"/>
          <w:color w:val="000000"/>
          <w:sz w:val="20"/>
        </w:rPr>
        <w:t>In addition, under Sections 382 and 383 of the Internal Revenue Code of 1986, as amended, if a corporation undergoes an “ownership change” (generally defined as a cumulative change in our ownership by “5 percent shareholders” that exceeds 50 percentage points over a rolling three-year period), the corporation’s ability to use its pre-change NOL carryforwards and certain other pre-change tax attributes to offset its post-change income and taxes may be limited. Similar rules may apply under state tax laws. We may have experienced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such ownership changes in the past, and we may experience ownership changes in the future as a result subsequent shifts in our stock ownership, some of which are outside our control. We have not conducted any studies to determine annual limitations, if any, that could result from such changes in the ownership. Our ability to utilize those NOL carryforwards could be limited by an “ownership change” as described above and consequently, we may not be able to utilize a material portion of our NOL carryforwards and certain other tax attributes, which could have a material adverse effect on our cash flows and results of operations.</w:t>
      </w:r>
    </w:p>
    <w:p>
      <w:pPr>
        <w:pStyle w:val="TextBody"/>
        <w:bidi w:val="0"/>
        <w:spacing w:before="0" w:after="240"/>
        <w:jc w:val="both"/>
        <w:rPr>
          <w:rFonts w:ascii="Arial" w:hAnsi="Arial"/>
          <w:b/>
          <w:i/>
          <w:color w:val="000000"/>
          <w:sz w:val="20"/>
        </w:rPr>
      </w:pPr>
      <w:r>
        <w:rPr>
          <w:rFonts w:ascii="Arial" w:hAnsi="Arial"/>
          <w:b/>
          <w:i/>
          <w:color w:val="000000"/>
          <w:sz w:val="20"/>
        </w:rPr>
        <w:t>A variety of risks associated with marketing palazestrant, OP-3136 or any future product candidate we may develop internationally could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We plan to seek regulatory approval of palazestrant, OP-3136 or any future product candidates we may develop outside of the United States and, accordingly, we expect that we will be subject to additional risks related to operating in foreign countries if we obtain the necessary approvals,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differing regulatory requirements and reimbursement regimes in foreign countries;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unexpected changes in tariffs, trade barriers, price and exchange controls and other regulatory requirements;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economic weakness, including inflation, or political instability in particular foreign economies and markets;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compliance with tax, employment, immigration and labor laws for employees living or traveling abroad;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foreign taxes, including withholding of payroll taxes;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foreign currency fluctuations, which could result in increased operating expenses and reduced revenue, and other obligations incident to doing business in another country;</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difficulties staffing and managing foreign operations;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workforce uncertainty in countries where labor unrest is more common than in the United States;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potential liability under the FCPA or comparable foreign regulations;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production shortages resulting from any events affecting raw material supply or manufacturing capabilities abroad;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business interruptions resulting from geo-political actions, including war and terrorism.</w:t>
      </w:r>
    </w:p>
    <w:p>
      <w:pPr>
        <w:pStyle w:val="TextBody"/>
        <w:bidi w:val="0"/>
        <w:spacing w:before="0" w:after="240"/>
        <w:jc w:val="both"/>
        <w:rPr>
          <w:rFonts w:ascii="Arial" w:hAnsi="Arial"/>
          <w:color w:val="000000"/>
          <w:sz w:val="20"/>
        </w:rPr>
      </w:pPr>
      <w:r>
        <w:rPr>
          <w:rFonts w:ascii="Arial" w:hAnsi="Arial"/>
          <w:color w:val="000000"/>
          <w:sz w:val="20"/>
        </w:rPr>
        <w:t>These and other risks associated with our international operations may significantly harm our business, financial condition, results of operations and prospects.</w:t>
      </w:r>
    </w:p>
    <w:p>
      <w:pPr>
        <w:pStyle w:val="TextBody"/>
        <w:bidi w:val="0"/>
        <w:spacing w:before="0" w:after="240"/>
        <w:jc w:val="left"/>
        <w:rPr>
          <w:rFonts w:ascii="Arial" w:hAnsi="Arial"/>
          <w:b/>
          <w:color w:val="000000"/>
          <w:sz w:val="20"/>
        </w:rPr>
      </w:pPr>
      <w:r>
        <w:rPr>
          <w:rFonts w:ascii="Arial" w:hAnsi="Arial"/>
          <w:b/>
          <w:color w:val="000000"/>
          <w:sz w:val="20"/>
        </w:rPr>
        <w:t>Risks related to our intellectual property</w:t>
      </w:r>
    </w:p>
    <w:p>
      <w:pPr>
        <w:pStyle w:val="TextBody"/>
        <w:bidi w:val="0"/>
        <w:spacing w:before="0" w:after="240"/>
        <w:jc w:val="both"/>
        <w:rPr>
          <w:rFonts w:ascii="Arial" w:hAnsi="Arial"/>
          <w:b/>
          <w:i/>
          <w:color w:val="000000"/>
          <w:sz w:val="20"/>
        </w:rPr>
      </w:pPr>
      <w:r>
        <w:rPr>
          <w:rFonts w:ascii="Arial" w:hAnsi="Arial"/>
          <w:b/>
          <w:i/>
          <w:color w:val="000000"/>
          <w:sz w:val="20"/>
        </w:rPr>
        <w:t>Our success depends on our ability to protect our intellectual property and our proprietary technologies.</w:t>
      </w:r>
    </w:p>
    <w:p>
      <w:pPr>
        <w:pStyle w:val="TextBody"/>
        <w:bidi w:val="0"/>
        <w:spacing w:before="0" w:after="240"/>
        <w:jc w:val="both"/>
        <w:rPr>
          <w:rFonts w:ascii="Times New Roman" w:hAnsi="Times New Roman"/>
          <w:sz w:val="20"/>
        </w:rPr>
      </w:pPr>
      <w:r>
        <w:rPr>
          <w:rFonts w:ascii="Arial" w:hAnsi="Arial"/>
          <w:color w:val="000000"/>
          <w:sz w:val="20"/>
        </w:rPr>
        <w:t>Our commercial success depends in part on our ability to obtain and maintain proprietary or intellectual property protection in the United States and other countries for palazestrant, OP-3136 and any future product candidates that we may develop and technologies related to their various uses. We generally seek to protect our proprietary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position by, among other things, filing patent applications in the United States and abroad related to palazestrant, OP-3136,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palazestrant, OP-3136, proprietary technologies and their uses,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pStyle w:val="TextBody"/>
        <w:bidi w:val="0"/>
        <w:spacing w:before="0" w:after="240"/>
        <w:jc w:val="both"/>
        <w:rPr>
          <w:rFonts w:ascii="Arial" w:hAnsi="Arial"/>
          <w:color w:val="000000"/>
          <w:sz w:val="20"/>
        </w:rPr>
      </w:pPr>
      <w:r>
        <w:rPr>
          <w:rFonts w:ascii="Arial" w:hAnsi="Arial"/>
          <w:color w:val="000000"/>
          <w:sz w:val="20"/>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pStyle w:val="TextBody"/>
        <w:bidi w:val="0"/>
        <w:spacing w:before="0" w:after="240"/>
        <w:jc w:val="both"/>
        <w:rPr>
          <w:rFonts w:ascii="Arial" w:hAnsi="Arial"/>
          <w:color w:val="000000"/>
          <w:sz w:val="20"/>
        </w:rPr>
      </w:pPr>
      <w:r>
        <w:rPr>
          <w:rFonts w:ascii="Arial" w:hAnsi="Arial"/>
          <w:color w:val="000000"/>
          <w:sz w:val="20"/>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palazestrant, OP-3136 or any future product candidates we may develop could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We cannot be certain that the claims in our U.S. pending patent applications, and corresponding international patent applications, will be considered patentable by the United States Patent and Trademark Office (USPTO) courts in the United States or by the patent offices and courts in foreign countries, nor can we be certain that the claims in our issued patent(s) will not be found invalid or unenforceable if challenged.</w:t>
      </w:r>
    </w:p>
    <w:p>
      <w:pPr>
        <w:pStyle w:val="TextBody"/>
        <w:bidi w:val="0"/>
        <w:spacing w:before="0" w:after="240"/>
        <w:jc w:val="both"/>
        <w:rPr>
          <w:rFonts w:ascii="Arial" w:hAnsi="Arial"/>
          <w:color w:val="000000"/>
          <w:sz w:val="20"/>
        </w:rPr>
      </w:pPr>
      <w:r>
        <w:rPr>
          <w:rFonts w:ascii="Arial" w:hAnsi="Arial"/>
          <w:color w:val="000000"/>
          <w:sz w:val="20"/>
        </w:rPr>
        <w:t>The patent application process is subject to numerous risks and uncertainties, and there can be no assurance that we or any of our potential future collaborators will be successful in protecting palazestrant, OP-3136 or any future product candidates we may develop by obtaining and defending patents. These risks and uncertainties include the following:</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patent applications must be filed in advance of certain events (</w:t>
      </w:r>
      <w:r>
        <w:rPr>
          <w:rFonts w:ascii="Arial" w:hAnsi="Arial"/>
          <w:i/>
          <w:color w:val="231F20"/>
          <w:sz w:val="20"/>
        </w:rPr>
        <w:t xml:space="preserve">e.g., </w:t>
      </w:r>
      <w:r>
        <w:rPr>
          <w:rFonts w:ascii="Arial" w:hAnsi="Arial"/>
          <w:color w:val="231F20"/>
          <w:sz w:val="20"/>
        </w:rPr>
        <w:t>third party filings, certain sales or offers for sale, or other activities that might be legally deemed to be public disclosures) and we might not be aware of such events or otherwise might not succeed in filing applications before they occur;</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USPTO and various foreign governmental patent authorities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patent applications may not result in any patents being issued;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patents may be challenged, invalidated, modified, revoked, circumvented, found to be unenforceable or otherwise may not provide any competitive advantage;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there may be significant pressure on the U.S. government and international governmental bodies to limit the scope of patent protection both inside and outside the United States;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0" w:after="240"/>
        <w:jc w:val="both"/>
        <w:rPr>
          <w:rFonts w:ascii="Arial" w:hAnsi="Arial"/>
          <w:color w:val="000000"/>
          <w:sz w:val="20"/>
        </w:rPr>
      </w:pPr>
      <w:r>
        <w:rPr>
          <w:rFonts w:ascii="Arial" w:hAnsi="Arial"/>
          <w:color w:val="000000"/>
          <w:sz w:val="20"/>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pStyle w:val="TextBody"/>
        <w:bidi w:val="0"/>
        <w:spacing w:before="0" w:after="240"/>
        <w:jc w:val="both"/>
        <w:rPr>
          <w:rFonts w:ascii="Arial" w:hAnsi="Arial"/>
          <w:color w:val="000000"/>
          <w:sz w:val="20"/>
        </w:rPr>
      </w:pPr>
      <w:r>
        <w:rPr>
          <w:rFonts w:ascii="Arial" w:hAnsi="Arial"/>
          <w:color w:val="000000"/>
          <w:sz w:val="20"/>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pStyle w:val="TextBody"/>
        <w:bidi w:val="0"/>
        <w:spacing w:before="0" w:after="240"/>
        <w:jc w:val="both"/>
        <w:rPr>
          <w:rFonts w:ascii="Arial" w:hAnsi="Arial"/>
          <w:color w:val="000000"/>
          <w:sz w:val="20"/>
        </w:rPr>
      </w:pPr>
      <w:r>
        <w:rPr>
          <w:rFonts w:ascii="Arial" w:hAnsi="Arial"/>
          <w:color w:val="000000"/>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0" w:after="240"/>
        <w:jc w:val="both"/>
        <w:rPr>
          <w:rFonts w:ascii="Arial" w:hAnsi="Arial"/>
          <w:color w:val="000000"/>
          <w:sz w:val="20"/>
        </w:rPr>
      </w:pPr>
      <w:r>
        <w:rPr>
          <w:rFonts w:ascii="Arial" w:hAnsi="Arial"/>
          <w:color w:val="000000"/>
          <w:sz w:val="20"/>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palazestrant or OP-3136 or which effectively prevent others from commercializing competitive technologies and product candidates.</w:t>
      </w:r>
    </w:p>
    <w:p>
      <w:pPr>
        <w:pStyle w:val="TextBody"/>
        <w:bidi w:val="0"/>
        <w:spacing w:before="0" w:after="240"/>
        <w:jc w:val="both"/>
        <w:rPr>
          <w:rFonts w:ascii="Times New Roman" w:hAnsi="Times New Roman"/>
          <w:sz w:val="20"/>
        </w:rPr>
      </w:pPr>
      <w:r>
        <w:rPr>
          <w:rFonts w:ascii="Arial" w:hAnsi="Arial"/>
          <w:color w:val="000000"/>
          <w:sz w:val="20"/>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palazestrant, OP-3136 or any future product candidates we may develop will be protectable or remain protected by valid and enforceable patents. Our competitors or other third parties may be able to circumvent our patents by developing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similar or alternative technologies or products in a non-infringing manner which could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The issuance of a patent is not conclusive as to its inventorship, scope, validity or enforceability, and our patents may be challenged in the courts or patent offices in the United States and abroad.</w:t>
      </w:r>
    </w:p>
    <w:p>
      <w:pPr>
        <w:pStyle w:val="TextBody"/>
        <w:bidi w:val="0"/>
        <w:spacing w:before="0" w:after="240"/>
        <w:jc w:val="both"/>
        <w:rPr>
          <w:rFonts w:ascii="Arial" w:hAnsi="Arial"/>
          <w:color w:val="000000"/>
          <w:sz w:val="20"/>
        </w:rPr>
      </w:pPr>
      <w:r>
        <w:rPr>
          <w:rFonts w:ascii="Arial" w:hAnsi="Arial"/>
          <w:color w:val="000000"/>
          <w:sz w:val="20"/>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pStyle w:val="TextBody"/>
        <w:bidi w:val="0"/>
        <w:spacing w:before="0" w:after="240"/>
        <w:jc w:val="both"/>
        <w:rPr>
          <w:rFonts w:ascii="Arial" w:hAnsi="Arial"/>
          <w:color w:val="000000"/>
          <w:sz w:val="20"/>
        </w:rPr>
      </w:pPr>
      <w:r>
        <w:rPr>
          <w:rFonts w:ascii="Arial" w:hAnsi="Arial"/>
          <w:color w:val="000000"/>
          <w:sz w:val="20"/>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pStyle w:val="TextBody"/>
        <w:bidi w:val="0"/>
        <w:spacing w:before="0" w:after="240"/>
        <w:jc w:val="both"/>
        <w:rPr>
          <w:rFonts w:ascii="Arial" w:hAnsi="Arial"/>
          <w:color w:val="000000"/>
          <w:sz w:val="20"/>
        </w:rPr>
      </w:pPr>
      <w:r>
        <w:rPr>
          <w:rFonts w:ascii="Arial" w:hAnsi="Arial"/>
          <w:color w:val="000000"/>
          <w:sz w:val="20"/>
        </w:rPr>
        <w:t>We may be subject to a third-party pre-issuance submission of prior art to the USPTO or other jurisdictions, or become involved in post-grant challenges such as opposition, derivation, revocation, reexamination, post-grant review (PGR) and inter partes review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palazestrant, OP-3136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palazestrant, OP-3136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time-consuming disputes. 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Intellectual property rights do not necessarily address all potential threats to our competitive advantage.</w:t>
      </w:r>
    </w:p>
    <w:p>
      <w:pPr>
        <w:pStyle w:val="TextBody"/>
        <w:bidi w:val="0"/>
        <w:spacing w:before="0" w:after="240"/>
        <w:jc w:val="both"/>
        <w:rPr>
          <w:rFonts w:ascii="Arial" w:hAnsi="Arial"/>
          <w:color w:val="000000"/>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may not be able to detect infringement of our issued patents;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others may be able to develop products that are similar to palazestrant, or any future product candidates we may develop, but that are not covered by the claims of the patents that we may in-license in the future or own;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competitors may seek or may have already obtained patents that will limit, interfere with or eliminate our ability to make, use and sell palazestrant or any future product candidates we may develop;</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or our current or future collaborators or license partners, might not have been the first to make the inventions covered by the issued patents or patent application that we may in-license in the future or own;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or our current or future collaborators or license partners, might be found not have been the first to file patent applications covering certain of our or their inventions;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others may independently develop similar or alternative technologies or duplicate any of our technologies without infringing our intellectual property rights;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it is possible that the pending patent applications we may in-license in the future or own will not lead to issued patents;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it is possible that there are prior public disclosures that could invalidate our patents, or parts of our patents, for which we are not aware;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issued patents that we hold rights to may be held invalid or unenforceable, as a result of legal challenges by our competitors;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issued patents may not have sufficient term or geographic scope to provide meaningful protection;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may not develop additional proprietary technologies that are patentable;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patents of others may have an adverse effect on our business;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may choose not to file a patent in order to maintain certain trade secrets, and a third party may subsequently file a patent covering such intellectual property.</w:t>
      </w:r>
    </w:p>
    <w:p>
      <w:pPr>
        <w:pStyle w:val="TextBody"/>
        <w:bidi w:val="0"/>
        <w:spacing w:before="0" w:after="240"/>
        <w:jc w:val="both"/>
        <w:rPr>
          <w:rFonts w:ascii="Arial" w:hAnsi="Arial"/>
          <w:color w:val="000000"/>
          <w:sz w:val="20"/>
        </w:rPr>
      </w:pPr>
      <w:r>
        <w:rPr>
          <w:rFonts w:ascii="Arial" w:hAnsi="Arial"/>
          <w:color w:val="000000"/>
          <w:sz w:val="20"/>
        </w:rPr>
        <w:t>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pStyle w:val="TextBody"/>
        <w:bidi w:val="0"/>
        <w:spacing w:before="0" w:after="240"/>
        <w:jc w:val="both"/>
        <w:rPr>
          <w:rFonts w:ascii="Arial" w:hAnsi="Arial"/>
          <w:color w:val="000000"/>
          <w:sz w:val="20"/>
        </w:rPr>
      </w:pPr>
      <w:r>
        <w:rPr>
          <w:rFonts w:ascii="Arial" w:hAnsi="Arial"/>
          <w:color w:val="000000"/>
          <w:sz w:val="20"/>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palazestrant or any future product candidates we may develop.</w:t>
      </w:r>
    </w:p>
    <w:p>
      <w:pPr>
        <w:pStyle w:val="TextBody"/>
        <w:bidi w:val="0"/>
        <w:spacing w:before="0" w:after="240"/>
        <w:jc w:val="both"/>
        <w:rPr>
          <w:rFonts w:ascii="Times New Roman" w:hAnsi="Times New Roman"/>
          <w:sz w:val="20"/>
        </w:rPr>
      </w:pPr>
      <w:r>
        <w:rPr>
          <w:rFonts w:ascii="Arial" w:hAnsi="Arial"/>
          <w:color w:val="000000"/>
          <w:sz w:val="20"/>
        </w:rPr>
        <w:t>Other entities may have or obtain patents or proprietary rights that could limit our ability to make, use, sell, offer for sale or import palazestrant, OP-3136 or any future product candidates we may develop and products that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palazestrant, OP-3136 or any future product candidates we may develop. There may be third-party patents or patent applications with claims to compositions, formulations, methods of manufacture or methods for treatment related to the use or manufacture of palazestrant, OP-3136 or any future product candidates we may develop. For example, we are aware of certain third-party patent applications and patents in the United States and abroad that include disclosure of chemical structures sharing certain similarities with palazestrant. It is possible that one or more of such third parties could pursue patent claims or assert patent claims that allegedly encompass palazestrant.</w:t>
      </w:r>
    </w:p>
    <w:p>
      <w:pPr>
        <w:pStyle w:val="TextBody"/>
        <w:bidi w:val="0"/>
        <w:spacing w:before="0" w:after="240"/>
        <w:jc w:val="both"/>
        <w:rPr>
          <w:rFonts w:ascii="Arial" w:hAnsi="Arial"/>
          <w:color w:val="000000"/>
          <w:sz w:val="20"/>
        </w:rPr>
      </w:pPr>
      <w:r>
        <w:rPr>
          <w:rFonts w:ascii="Arial" w:hAnsi="Arial"/>
          <w:color w:val="000000"/>
          <w:sz w:val="20"/>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pStyle w:val="TextBody"/>
        <w:bidi w:val="0"/>
        <w:spacing w:before="0" w:after="240"/>
        <w:jc w:val="both"/>
        <w:rPr>
          <w:rFonts w:ascii="Arial" w:hAnsi="Arial"/>
          <w:color w:val="000000"/>
          <w:sz w:val="20"/>
        </w:rPr>
      </w:pPr>
      <w:r>
        <w:rPr>
          <w:rFonts w:ascii="Arial" w:hAnsi="Arial"/>
          <w:color w:val="000000"/>
          <w:sz w:val="20"/>
        </w:rPr>
        <w:t>As the biopharmaceutical industry expands and more patents are issued, the risk increases that palazestrant, OP-3136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palazestrant, OP-3136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palazestrant, OP-3136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pStyle w:val="TextBody"/>
        <w:bidi w:val="0"/>
        <w:spacing w:before="0" w:after="240"/>
        <w:jc w:val="both"/>
        <w:rPr>
          <w:rFonts w:ascii="Arial" w:hAnsi="Arial"/>
          <w:color w:val="000000"/>
          <w:sz w:val="20"/>
        </w:rPr>
      </w:pPr>
      <w:r>
        <w:rPr>
          <w:rFonts w:ascii="Arial" w:hAnsi="Arial"/>
          <w:color w:val="000000"/>
          <w:sz w:val="20"/>
        </w:rPr>
        <w:t>Any claims of patent infringement, misappropriation or other violations asserted by third parties would be time consuming and could: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result in costly litigation that may cause negative publicity;</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cause development delays;</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prevent us from commercializing palazestrant</w:t>
      </w:r>
      <w:r>
        <w:rPr>
          <w:rFonts w:ascii="Arial" w:hAnsi="Arial"/>
          <w:color w:val="000000"/>
          <w:sz w:val="20"/>
        </w:rPr>
        <w:t>, OP-3136</w:t>
      </w:r>
      <w:r>
        <w:rPr>
          <w:color w:val="231F20"/>
        </w:rPr>
        <w:t xml:space="preserve"> </w:t>
      </w:r>
      <w:r>
        <w:rPr>
          <w:rFonts w:ascii="Arial" w:hAnsi="Arial"/>
          <w:color w:val="231F20"/>
          <w:sz w:val="20"/>
        </w:rPr>
        <w:t>or any future product candidates we may develop;</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require us to develop non-infringing technology, which may not be possible on a cost-effective basis;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subject us to significant liability to third parties; or</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0" w:after="240"/>
        <w:jc w:val="both"/>
        <w:rPr>
          <w:rFonts w:ascii="Arial" w:hAnsi="Arial"/>
          <w:color w:val="000000"/>
          <w:sz w:val="20"/>
        </w:rPr>
      </w:pPr>
      <w:r>
        <w:rPr>
          <w:rFonts w:ascii="Arial" w:hAnsi="Arial"/>
          <w:color w:val="000000"/>
          <w:sz w:val="20"/>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palazestrant, OP-3136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palazestrant, OP-3136 or any future product candidates we may develop processes to avoid infringement, if necessary.</w:t>
      </w:r>
    </w:p>
    <w:p>
      <w:pPr>
        <w:pStyle w:val="TextBody"/>
        <w:bidi w:val="0"/>
        <w:spacing w:before="0" w:after="240"/>
        <w:jc w:val="both"/>
        <w:rPr>
          <w:rFonts w:ascii="Arial" w:hAnsi="Arial"/>
          <w:color w:val="000000"/>
          <w:sz w:val="20"/>
        </w:rPr>
      </w:pPr>
      <w:r>
        <w:rPr>
          <w:rFonts w:ascii="Arial" w:hAnsi="Arial"/>
          <w:color w:val="000000"/>
          <w:sz w:val="20"/>
        </w:rPr>
        <w:t>An adverse determination in a judicial or administrative proceeding, or the failure to obtain necessary licenses, could prevent us from developing and commercializing palazestrant, OP-3136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palazestrant, OP-3136 and future product candidates and technologies.</w:t>
      </w:r>
    </w:p>
    <w:p>
      <w:pPr>
        <w:pStyle w:val="TextBody"/>
        <w:bidi w:val="0"/>
        <w:spacing w:before="0" w:after="240"/>
        <w:jc w:val="both"/>
        <w:rPr>
          <w:rFonts w:ascii="Arial" w:hAnsi="Arial"/>
          <w:color w:val="000000"/>
          <w:sz w:val="20"/>
        </w:rPr>
      </w:pPr>
      <w:r>
        <w:rPr>
          <w:rFonts w:ascii="Arial" w:hAnsi="Arial"/>
          <w:color w:val="000000"/>
          <w:sz w:val="20"/>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not be successful in obtaining or maintaining necessary rights from third parties for that we identify as necessary for palazestrant or OP-3136 through acquisitions and in-licenses.</w:t>
      </w:r>
    </w:p>
    <w:p>
      <w:pPr>
        <w:pStyle w:val="TextBody"/>
        <w:bidi w:val="0"/>
        <w:spacing w:before="0" w:after="240"/>
        <w:jc w:val="both"/>
        <w:rPr>
          <w:rFonts w:ascii="Arial" w:hAnsi="Arial"/>
          <w:color w:val="000000"/>
          <w:sz w:val="20"/>
        </w:rPr>
      </w:pPr>
      <w:r>
        <w:rPr>
          <w:rFonts w:ascii="Arial" w:hAnsi="Arial"/>
          <w:color w:val="000000"/>
          <w:sz w:val="20"/>
        </w:rPr>
        <w:t>Because our development programs may in the future require the use of proprietary rights held by third parties, the growth of our business may depend in part on our ability to acquire, in-license, or use these third-party proprietary rights.</w:t>
      </w:r>
    </w:p>
    <w:p>
      <w:pPr>
        <w:pStyle w:val="TextBody"/>
        <w:bidi w:val="0"/>
        <w:spacing w:before="0" w:after="240"/>
        <w:jc w:val="both"/>
        <w:rPr>
          <w:rFonts w:ascii="Arial" w:hAnsi="Arial"/>
          <w:color w:val="000000"/>
          <w:sz w:val="20"/>
        </w:rPr>
      </w:pPr>
      <w:r>
        <w:rPr>
          <w:rFonts w:ascii="Arial" w:hAnsi="Arial"/>
          <w:color w:val="000000"/>
          <w:sz w:val="20"/>
        </w:rPr>
        <w:t>While we may have issued patents that cover palazestrant or OP-3136, it is possible that third parties may have blocking patents that prevent us from marketing, manufacturing or commercializing our own patented products and practicing our own patented technology.</w:t>
      </w:r>
    </w:p>
    <w:p>
      <w:pPr>
        <w:pStyle w:val="TextBody"/>
        <w:bidi w:val="0"/>
        <w:spacing w:before="0" w:after="240"/>
        <w:jc w:val="both"/>
        <w:rPr>
          <w:rFonts w:ascii="Arial" w:hAnsi="Arial"/>
          <w:color w:val="000000"/>
          <w:sz w:val="20"/>
        </w:rPr>
      </w:pPr>
      <w:r>
        <w:rPr>
          <w:rFonts w:ascii="Arial" w:hAnsi="Arial"/>
          <w:color w:val="000000"/>
          <w:sz w:val="20"/>
        </w:rPr>
        <w:t>We may be unsuccessful in acquiring or in-licensing compositions, methods of use, processes, or other intellectual property rights from third parties that we identify as necessary for practicing inventions claimed by our patents, including the manufacture, sale and use of palazestrant, OP-3136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We may be involved in lawsuits to protect or enforce our patents, which could be expensive, time consuming and unsuccessful. Further, our issued patents could be found invalid or unenforceable if challenged in court.</w:t>
      </w:r>
    </w:p>
    <w:p>
      <w:pPr>
        <w:pStyle w:val="TextBody"/>
        <w:bidi w:val="0"/>
        <w:spacing w:before="0" w:after="240"/>
        <w:jc w:val="both"/>
        <w:rPr>
          <w:rFonts w:ascii="Arial" w:hAnsi="Arial"/>
          <w:color w:val="000000"/>
          <w:sz w:val="20"/>
        </w:rPr>
      </w:pPr>
      <w:r>
        <w:rPr>
          <w:rFonts w:ascii="Arial" w:hAnsi="Arial"/>
          <w:color w:val="000000"/>
          <w:sz w:val="20"/>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palazestrant, OP-3136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pStyle w:val="TextBody"/>
        <w:bidi w:val="0"/>
        <w:spacing w:before="0" w:after="240"/>
        <w:jc w:val="both"/>
        <w:rPr>
          <w:rFonts w:ascii="Arial" w:hAnsi="Arial"/>
          <w:color w:val="000000"/>
          <w:sz w:val="20"/>
        </w:rPr>
      </w:pPr>
      <w:r>
        <w:rPr>
          <w:rFonts w:ascii="Arial" w:hAnsi="Arial"/>
          <w:color w:val="000000"/>
          <w:sz w:val="20"/>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 but which we do not believe affects the validity or enforceability of a claim in our patent and patent applications, which may, nonetheless, ultimately be found to affect the validity or enforceability of a claim.</w:t>
      </w:r>
    </w:p>
    <w:p>
      <w:pPr>
        <w:pStyle w:val="TextBody"/>
        <w:bidi w:val="0"/>
        <w:spacing w:before="0" w:after="240"/>
        <w:jc w:val="both"/>
        <w:rPr>
          <w:rFonts w:ascii="Arial" w:hAnsi="Arial"/>
          <w:color w:val="000000"/>
          <w:sz w:val="20"/>
        </w:rPr>
      </w:pPr>
      <w:r>
        <w:rPr>
          <w:rFonts w:ascii="Arial" w:hAnsi="Arial"/>
          <w:color w:val="000000"/>
          <w:sz w:val="20"/>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0" w:after="240"/>
        <w:jc w:val="both"/>
        <w:rPr>
          <w:rFonts w:ascii="Arial" w:hAnsi="Arial"/>
          <w:color w:val="000000"/>
          <w:sz w:val="20"/>
        </w:rPr>
      </w:pPr>
      <w:r>
        <w:rPr>
          <w:rFonts w:ascii="Arial" w:hAnsi="Arial"/>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0" w:after="240"/>
        <w:jc w:val="both"/>
        <w:rPr>
          <w:rFonts w:ascii="Arial" w:hAnsi="Arial"/>
          <w:color w:val="000000"/>
          <w:sz w:val="20"/>
        </w:rPr>
      </w:pPr>
      <w:r>
        <w:rPr>
          <w:rFonts w:ascii="Arial" w:hAnsi="Arial"/>
          <w:color w:val="000000"/>
          <w:sz w:val="20"/>
        </w:rPr>
        <w:t>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Intellectual property litigation may lead to unfavorable publicity that harms our reputation and causes the market price of our common shares to decline.</w:t>
      </w:r>
    </w:p>
    <w:p>
      <w:pPr>
        <w:pStyle w:val="TextBody"/>
        <w:bidi w:val="0"/>
        <w:spacing w:before="0" w:after="240"/>
        <w:jc w:val="both"/>
        <w:rPr>
          <w:rFonts w:ascii="Arial" w:hAnsi="Arial"/>
          <w:color w:val="000000"/>
          <w:sz w:val="20"/>
        </w:rPr>
      </w:pPr>
      <w:r>
        <w:rPr>
          <w:rFonts w:ascii="Arial" w:hAnsi="Arial"/>
          <w:color w:val="000000"/>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Derivation proceedings may be necessary to determine priority of inventions, and an unfavorable outcome may require us to cease using the related technology or to attempt to license rights from the prevailing party.</w:t>
      </w:r>
    </w:p>
    <w:p>
      <w:pPr>
        <w:pStyle w:val="TextBody"/>
        <w:bidi w:val="0"/>
        <w:spacing w:before="0" w:after="240"/>
        <w:jc w:val="both"/>
        <w:rPr>
          <w:rFonts w:ascii="Arial" w:hAnsi="Arial"/>
          <w:color w:val="000000"/>
          <w:sz w:val="20"/>
        </w:rPr>
      </w:pPr>
      <w:r>
        <w:rPr>
          <w:rFonts w:ascii="Arial" w:hAnsi="Arial"/>
          <w:color w:val="000000"/>
          <w:sz w:val="20"/>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pStyle w:val="TextBody"/>
        <w:bidi w:val="0"/>
        <w:spacing w:before="0" w:after="240"/>
        <w:jc w:val="both"/>
        <w:rPr>
          <w:rFonts w:ascii="Arial" w:hAnsi="Arial"/>
          <w:color w:val="000000"/>
          <w:sz w:val="20"/>
        </w:rPr>
      </w:pPr>
      <w:r>
        <w:rPr>
          <w:rFonts w:ascii="Arial" w:hAnsi="Arial"/>
          <w:color w:val="000000"/>
          <w:sz w:val="20"/>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palazestrant, OP-3136 or any future product candidates to market. 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Recent patent reform legislation could increase the uncertainties and costs surrounding the prosecution of our patent applications or those of our licensors and the enforcement or defense of our issued patents or those of our licensors.</w:t>
      </w:r>
    </w:p>
    <w:p>
      <w:pPr>
        <w:pStyle w:val="TextBody"/>
        <w:bidi w:val="0"/>
        <w:spacing w:before="0" w:after="240"/>
        <w:jc w:val="both"/>
        <w:rPr>
          <w:rFonts w:ascii="Arial" w:hAnsi="Arial"/>
          <w:color w:val="000000"/>
          <w:sz w:val="20"/>
        </w:rPr>
      </w:pPr>
      <w:r>
        <w:rPr>
          <w:rFonts w:ascii="Arial" w:hAnsi="Arial"/>
          <w:color w:val="000000"/>
          <w:sz w:val="20"/>
        </w:rPr>
        <w:t>On September 16, 2011, the Leahy-Smith America Invents Act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palazestrant, OP-3136 or any future product candidate we may develop or (2) invent any of the inventions claimed in the patents or patent applications.</w:t>
      </w:r>
    </w:p>
    <w:p>
      <w:pPr>
        <w:pStyle w:val="TextBody"/>
        <w:bidi w:val="0"/>
        <w:spacing w:before="0" w:after="240"/>
        <w:jc w:val="both"/>
        <w:rPr>
          <w:rFonts w:ascii="Arial" w:hAnsi="Arial"/>
          <w:color w:val="000000"/>
          <w:sz w:val="20"/>
        </w:rPr>
      </w:pPr>
      <w:r>
        <w:rPr>
          <w:rFonts w:ascii="Arial" w:hAnsi="Arial"/>
          <w:color w:val="000000"/>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0" w:after="240"/>
        <w:jc w:val="both"/>
        <w:rPr>
          <w:rFonts w:ascii="Arial" w:hAnsi="Arial"/>
          <w:color w:val="000000"/>
          <w:sz w:val="20"/>
        </w:rPr>
      </w:pPr>
      <w:r>
        <w:rPr>
          <w:rFonts w:ascii="Arial" w:hAnsi="Arial"/>
          <w:color w:val="000000"/>
          <w:sz w:val="20"/>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Changes in U.S. patent law, or laws in other countries, could diminish the value of patents in general, thereby impairing our ability to protect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0" w:after="240"/>
        <w:jc w:val="both"/>
        <w:rPr>
          <w:rFonts w:ascii="Arial" w:hAnsi="Arial"/>
          <w:color w:val="000000"/>
          <w:sz w:val="20"/>
        </w:rPr>
      </w:pPr>
      <w:r>
        <w:rPr>
          <w:rFonts w:ascii="Arial" w:hAnsi="Arial"/>
          <w:color w:val="000000"/>
          <w:sz w:val="20"/>
        </w:rPr>
        <w:t>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be subject to claims challenging the inventorship or ownership of our patents and other intellectual property.</w:t>
      </w:r>
    </w:p>
    <w:p>
      <w:pPr>
        <w:pStyle w:val="TextBody"/>
        <w:bidi w:val="0"/>
        <w:spacing w:before="0" w:after="240"/>
        <w:jc w:val="both"/>
        <w:rPr>
          <w:rFonts w:ascii="Arial" w:hAnsi="Arial"/>
          <w:color w:val="000000"/>
          <w:sz w:val="20"/>
        </w:rPr>
      </w:pPr>
      <w:r>
        <w:rPr>
          <w:rFonts w:ascii="Arial" w:hAnsi="Arial"/>
          <w:color w:val="000000"/>
          <w:sz w:val="20"/>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the ability to claim priority for certain patent filings, intervening art or other events may preclude us from issuing patents.</w:t>
      </w:r>
    </w:p>
    <w:p>
      <w:pPr>
        <w:pStyle w:val="TextBody"/>
        <w:bidi w:val="0"/>
        <w:spacing w:before="0" w:after="240"/>
        <w:jc w:val="both"/>
        <w:rPr>
          <w:rFonts w:ascii="Arial" w:hAnsi="Arial"/>
          <w:color w:val="000000"/>
          <w:sz w:val="20"/>
        </w:rPr>
      </w:pPr>
      <w:r>
        <w:rPr>
          <w:rFonts w:ascii="Arial" w:hAnsi="Arial"/>
          <w:color w:val="000000"/>
          <w:sz w:val="20"/>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pStyle w:val="TextBody"/>
        <w:bidi w:val="0"/>
        <w:spacing w:before="0" w:after="240"/>
        <w:jc w:val="both"/>
        <w:rPr>
          <w:rFonts w:ascii="Arial" w:hAnsi="Arial"/>
          <w:b/>
          <w:i/>
          <w:color w:val="000000"/>
          <w:sz w:val="20"/>
        </w:rPr>
      </w:pPr>
      <w:r>
        <w:rPr>
          <w:rFonts w:ascii="Arial" w:hAnsi="Arial"/>
          <w:b/>
          <w:i/>
          <w:color w:val="000000"/>
          <w:sz w:val="20"/>
        </w:rPr>
        <w:t>Patent terms may be inadequate to protect our competitive position on palazestrant, OP-3136 or any future product candidates we may develop for an adequate amount of time.</w:t>
      </w:r>
    </w:p>
    <w:p>
      <w:pPr>
        <w:pStyle w:val="TextBody"/>
        <w:bidi w:val="0"/>
        <w:spacing w:before="0" w:after="240"/>
        <w:jc w:val="both"/>
        <w:rPr>
          <w:rFonts w:ascii="Arial" w:hAnsi="Arial"/>
          <w:color w:val="000000"/>
          <w:sz w:val="20"/>
        </w:rPr>
      </w:pPr>
      <w:r>
        <w:rPr>
          <w:rFonts w:ascii="Arial" w:hAnsi="Arial"/>
          <w:color w:val="000000"/>
          <w:sz w:val="20"/>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palazestrant, OP-3136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pStyle w:val="TextBody"/>
        <w:bidi w:val="0"/>
        <w:spacing w:before="0" w:after="240"/>
        <w:jc w:val="both"/>
        <w:rPr>
          <w:rFonts w:ascii="Arial" w:hAnsi="Arial"/>
          <w:color w:val="000000"/>
          <w:sz w:val="20"/>
        </w:rPr>
      </w:pPr>
      <w:r>
        <w:rPr>
          <w:rFonts w:ascii="Arial" w:hAnsi="Arial"/>
          <w:color w:val="000000"/>
          <w:sz w:val="20"/>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 protection for certain patents in all markets due to finite availability of resources. Any of the foregoing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do not obtain patent term extension for palazestrant, OP-3136 or any future product candidates we may develop, our business, financial condition, results of operations and prospects may be significantly harmed.</w:t>
      </w:r>
    </w:p>
    <w:p>
      <w:pPr>
        <w:pStyle w:val="TextBody"/>
        <w:bidi w:val="0"/>
        <w:spacing w:before="0" w:after="240"/>
        <w:jc w:val="both"/>
        <w:rPr>
          <w:rFonts w:ascii="Arial" w:hAnsi="Arial"/>
          <w:color w:val="000000"/>
          <w:sz w:val="20"/>
        </w:rPr>
      </w:pPr>
      <w:r>
        <w:rPr>
          <w:rFonts w:ascii="Arial" w:hAnsi="Arial"/>
          <w:color w:val="000000"/>
          <w:sz w:val="20"/>
        </w:rPr>
        <w:t>Depending upon the timing, duration and specifics of FDA marketing approval of palazestrant, OP-3136 or any future product candidates we may develop, one or more of our U.S. patents or those of our licensors may be eligible for limited patent term restoration under the Drug Price Competition and Patent Term Restoration Act of 1984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palazestrant, OP-3136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pStyle w:val="TextBody"/>
        <w:bidi w:val="0"/>
        <w:spacing w:before="0" w:after="240"/>
        <w:jc w:val="both"/>
        <w:rPr>
          <w:rFonts w:ascii="Arial" w:hAnsi="Arial"/>
          <w:b/>
          <w:i/>
          <w:color w:val="000000"/>
          <w:sz w:val="20"/>
        </w:rPr>
      </w:pPr>
      <w:r>
        <w:rPr>
          <w:rFonts w:ascii="Arial" w:hAnsi="Arial"/>
          <w:b/>
          <w:i/>
          <w:color w:val="000000"/>
          <w:sz w:val="20"/>
        </w:rPr>
        <w:t>We will not be able to protect our intellectual property rights throughout the world.</w:t>
      </w:r>
    </w:p>
    <w:p>
      <w:pPr>
        <w:pStyle w:val="TextBody"/>
        <w:bidi w:val="0"/>
        <w:spacing w:before="0" w:after="240"/>
        <w:jc w:val="both"/>
        <w:rPr>
          <w:rFonts w:ascii="Arial" w:hAnsi="Arial"/>
          <w:color w:val="000000"/>
          <w:sz w:val="20"/>
        </w:rPr>
      </w:pPr>
      <w:r>
        <w:rPr>
          <w:rFonts w:ascii="Arial" w:hAnsi="Arial"/>
          <w:color w:val="000000"/>
          <w:sz w:val="20"/>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palazestrant, OP-3136 or any future product candidates we may develop, without any available recourse.</w:t>
      </w:r>
    </w:p>
    <w:p>
      <w:pPr>
        <w:pStyle w:val="TextBody"/>
        <w:bidi w:val="0"/>
        <w:spacing w:before="0" w:after="240"/>
        <w:jc w:val="both"/>
        <w:rPr>
          <w:rFonts w:ascii="Times New Roman" w:hAnsi="Times New Roman"/>
          <w:sz w:val="20"/>
        </w:rPr>
      </w:pPr>
      <w:r>
        <w:rPr>
          <w:rFonts w:ascii="Arial" w:hAnsi="Arial"/>
          <w:color w:val="000000"/>
          <w:sz w:val="20"/>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40"/>
        <w:jc w:val="both"/>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authorities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pStyle w:val="TextBody"/>
        <w:bidi w:val="0"/>
        <w:spacing w:before="0" w:after="240"/>
        <w:jc w:val="both"/>
        <w:rPr>
          <w:rFonts w:ascii="Arial" w:hAnsi="Arial"/>
          <w:b/>
          <w:i/>
          <w:color w:val="000000"/>
          <w:sz w:val="20"/>
        </w:rPr>
      </w:pPr>
      <w:r>
        <w:rPr>
          <w:rFonts w:ascii="Arial" w:hAnsi="Arial"/>
          <w:b/>
          <w:i/>
          <w:color w:val="000000"/>
          <w:sz w:val="20"/>
        </w:rPr>
        <w:t>Obtaining and maintaining our patent protection depends on compliance with various procedural, documentary, fee payment, and other requirements imposed by regulations and governmental patent authorities, and our patent protection could be reduced or eliminated for non-compliance with these requirements.</w:t>
      </w:r>
    </w:p>
    <w:p>
      <w:pPr>
        <w:pStyle w:val="TextBody"/>
        <w:bidi w:val="0"/>
        <w:spacing w:before="0" w:after="240"/>
        <w:jc w:val="both"/>
        <w:rPr>
          <w:rFonts w:ascii="Arial" w:hAnsi="Arial"/>
          <w:color w:val="000000"/>
          <w:sz w:val="20"/>
        </w:rPr>
      </w:pPr>
      <w:r>
        <w:rPr>
          <w:rFonts w:ascii="Arial" w:hAnsi="Arial"/>
          <w:color w:val="000000"/>
          <w:sz w:val="20"/>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our trademarks and trade names are not adequately protected, then we may not be able to build name recognition in our markets of interest and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pStyle w:val="TextBody"/>
        <w:bidi w:val="0"/>
        <w:spacing w:before="0" w:after="240"/>
        <w:jc w:val="left"/>
        <w:rPr>
          <w:rFonts w:ascii="Arial" w:hAnsi="Arial"/>
          <w:b/>
          <w:i/>
          <w:color w:val="000000"/>
          <w:sz w:val="20"/>
        </w:rPr>
      </w:pPr>
      <w:r>
        <w:rPr>
          <w:rFonts w:ascii="Arial" w:hAnsi="Arial"/>
          <w:b/>
          <w:i/>
          <w:color w:val="000000"/>
          <w:sz w:val="20"/>
        </w:rPr>
        <w:t>If we are unable to protect the confidentiality of our trade secrets, our business, financial condition, results of operations, prospects and competitive position would be significantly harmed.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0" w:after="240"/>
        <w:jc w:val="both"/>
        <w:rPr>
          <w:rFonts w:ascii="Arial" w:hAnsi="Arial"/>
          <w:color w:val="000000"/>
          <w:sz w:val="20"/>
        </w:rPr>
      </w:pPr>
      <w:r>
        <w:rPr>
          <w:rFonts w:ascii="Arial" w:hAnsi="Arial"/>
          <w:color w:val="000000"/>
          <w:sz w:val="20"/>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be subject to claims that we or our employees have wrongfully used or disclosed alleged confidential information or trade secrets.</w:t>
      </w:r>
    </w:p>
    <w:p>
      <w:pPr>
        <w:pStyle w:val="TextBody"/>
        <w:bidi w:val="0"/>
        <w:spacing w:before="0" w:after="240"/>
        <w:jc w:val="both"/>
        <w:rPr>
          <w:rFonts w:ascii="Arial" w:hAnsi="Arial"/>
          <w:color w:val="000000"/>
          <w:sz w:val="20"/>
        </w:rPr>
      </w:pPr>
      <w:r>
        <w:rPr>
          <w:rFonts w:ascii="Arial" w:hAnsi="Arial"/>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palazestrant, OP-3136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pStyle w:val="TextBody"/>
        <w:bidi w:val="0"/>
        <w:spacing w:before="0" w:after="240"/>
        <w:jc w:val="both"/>
        <w:rPr>
          <w:rFonts w:ascii="Arial" w:hAnsi="Arial"/>
          <w:color w:val="000000"/>
          <w:sz w:val="20"/>
        </w:rPr>
      </w:pPr>
      <w:r>
        <w:rPr>
          <w:rFonts w:ascii="Arial" w:hAnsi="Arial"/>
          <w:color w:val="000000"/>
          <w:sz w:val="20"/>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Our rights to develop and commercialize our technology and product candidates may be subject, in part, to the terms and conditions of licenses granted to us by others.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may enter into license agreements in the future with others to advance our research or allow commercialization of palazestrant, OP-3136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pStyle w:val="TextBody"/>
        <w:bidi w:val="0"/>
        <w:spacing w:before="0" w:after="240"/>
        <w:jc w:val="both"/>
        <w:rPr>
          <w:rFonts w:ascii="Arial" w:hAnsi="Arial"/>
          <w:color w:val="000000"/>
          <w:sz w:val="20"/>
        </w:rPr>
      </w:pPr>
      <w:r>
        <w:rPr>
          <w:rFonts w:ascii="Arial" w:hAnsi="Arial"/>
          <w:color w:val="000000"/>
          <w:sz w:val="20"/>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pStyle w:val="TextBody"/>
        <w:bidi w:val="0"/>
        <w:spacing w:before="0" w:after="240"/>
        <w:jc w:val="both"/>
        <w:rPr>
          <w:rFonts w:ascii="Arial" w:hAnsi="Arial"/>
          <w:color w:val="000000"/>
          <w:sz w:val="20"/>
        </w:rPr>
      </w:pPr>
      <w:r>
        <w:rPr>
          <w:rFonts w:ascii="Arial" w:hAnsi="Arial"/>
          <w:color w:val="00000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pStyle w:val="TextBody"/>
        <w:bidi w:val="0"/>
        <w:spacing w:before="0" w:after="240"/>
        <w:jc w:val="both"/>
        <w:rPr>
          <w:rFonts w:ascii="Arial" w:hAnsi="Arial"/>
          <w:color w:val="000000"/>
          <w:sz w:val="20"/>
        </w:rPr>
      </w:pPr>
      <w:r>
        <w:rPr>
          <w:rFonts w:ascii="Arial" w:hAnsi="Arial"/>
          <w:color w:val="000000"/>
          <w:sz w:val="20"/>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before="0" w:after="240"/>
        <w:jc w:val="both"/>
        <w:rPr>
          <w:rFonts w:ascii="Arial" w:hAnsi="Arial"/>
          <w:color w:val="000000"/>
          <w:sz w:val="20"/>
        </w:rPr>
      </w:pPr>
      <w:r>
        <w:rPr>
          <w:rFonts w:ascii="Arial" w:hAnsi="Arial"/>
          <w:color w:val="000000"/>
          <w:sz w:val="20"/>
        </w:rPr>
        <w:t>Disputes may arise between us and our past, current or future licensors regarding intellectual property subject to a license agreement,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scope of rights granted under the license agreement and other interpretation-related issues;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whether and the extent to which our technology and processes infringe on intellectual property of the licensor that is not subject to the licensing agreement;</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right to sublicense patents and other rights to third parties;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diligence obligations under the license agreement and what activities satisfy those diligence obligations;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right to transfer or assign the license;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inventorship and ownership of inventions and know-how resulting from the joint creation or use of intellectual property by our licensors and us and our partners;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priority of invention of patented technology.</w:t>
      </w:r>
    </w:p>
    <w:p>
      <w:pPr>
        <w:pStyle w:val="TextBody"/>
        <w:bidi w:val="0"/>
        <w:spacing w:before="0" w:after="240"/>
        <w:jc w:val="both"/>
        <w:rPr>
          <w:rFonts w:ascii="Arial" w:hAnsi="Arial"/>
          <w:color w:val="000000"/>
          <w:sz w:val="20"/>
        </w:rPr>
      </w:pPr>
      <w:r>
        <w:rPr>
          <w:rFonts w:ascii="Arial" w:hAnsi="Arial"/>
          <w:color w:val="00000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pStyle w:val="TextBody"/>
        <w:bidi w:val="0"/>
        <w:spacing w:before="0" w:after="240"/>
        <w:jc w:val="both"/>
        <w:rPr>
          <w:rFonts w:ascii="Arial" w:hAnsi="Arial"/>
          <w:color w:val="000000"/>
          <w:sz w:val="20"/>
        </w:rPr>
      </w:pPr>
      <w:r>
        <w:rPr>
          <w:rFonts w:ascii="Arial" w:hAnsi="Arial"/>
          <w:color w:val="000000"/>
          <w:sz w:val="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pStyle w:val="TextBody"/>
        <w:bidi w:val="0"/>
        <w:spacing w:before="0" w:after="240"/>
        <w:jc w:val="both"/>
        <w:rPr>
          <w:rFonts w:ascii="Arial" w:hAnsi="Arial"/>
          <w:b/>
          <w:i/>
          <w:color w:val="000000"/>
          <w:sz w:val="20"/>
        </w:rPr>
      </w:pPr>
      <w:r>
        <w:rPr>
          <w:rFonts w:ascii="Arial" w:hAnsi="Arial"/>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0" w:after="240"/>
        <w:jc w:val="both"/>
        <w:rPr>
          <w:rFonts w:ascii="Times New Roman" w:hAnsi="Times New Roman"/>
          <w:sz w:val="20"/>
        </w:rPr>
      </w:pPr>
      <w:r>
        <w:rPr>
          <w:rFonts w:ascii="Arial" w:hAnsi="Arial"/>
          <w:color w:val="000000"/>
          <w:sz w:val="20"/>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 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pStyle w:val="TextBody"/>
        <w:bidi w:val="0"/>
        <w:spacing w:before="0" w:after="240"/>
        <w:jc w:val="left"/>
        <w:rPr>
          <w:rFonts w:ascii="Arial" w:hAnsi="Arial"/>
          <w:b/>
          <w:color w:val="000000"/>
          <w:sz w:val="20"/>
        </w:rPr>
      </w:pPr>
      <w:r>
        <w:rPr>
          <w:rFonts w:ascii="Arial" w:hAnsi="Arial"/>
          <w:b/>
          <w:color w:val="000000"/>
          <w:sz w:val="20"/>
        </w:rPr>
        <w:t>Risks related to our dependence on third parties</w:t>
      </w:r>
    </w:p>
    <w:p>
      <w:pPr>
        <w:pStyle w:val="TextBody"/>
        <w:bidi w:val="0"/>
        <w:spacing w:before="0" w:after="240"/>
        <w:jc w:val="both"/>
        <w:rPr>
          <w:rFonts w:ascii="Arial" w:hAnsi="Arial"/>
          <w:b/>
          <w:i/>
          <w:color w:val="000000"/>
          <w:sz w:val="20"/>
        </w:rPr>
      </w:pPr>
      <w:r>
        <w:rPr>
          <w:rFonts w:ascii="Arial" w:hAnsi="Arial"/>
          <w:b/>
          <w:i/>
          <w:color w:val="000000"/>
          <w:sz w:val="20"/>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palazestrant or OP-3136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state or foreign fraud and abuse or false claims laws and regulations or healthcare privacy and security laws.</w:t>
      </w:r>
    </w:p>
    <w:p>
      <w:pPr>
        <w:pStyle w:val="TextBody"/>
        <w:bidi w:val="0"/>
        <w:spacing w:before="0" w:after="240"/>
        <w:jc w:val="both"/>
        <w:rPr>
          <w:rFonts w:ascii="Times New Roman" w:hAnsi="Times New Roman"/>
          <w:sz w:val="20"/>
        </w:rPr>
      </w:pPr>
      <w:r>
        <w:rPr>
          <w:rFonts w:ascii="Arial" w:hAnsi="Arial"/>
          <w:color w:val="000000"/>
          <w:sz w:val="20"/>
        </w:rPr>
        <w:t>Further, these investigators and CROs are not our employees and we will not be able to control, other than by contract, the amount of resources, including time, which they devote to palazestrant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palazestrant or OP-3136,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palazestrant or OP-3136. As a result, our results of operations and the commercial prospects for palazestrant or OP-3136 would be harmed, our costs could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increase and our ability to generate revenues could be delayed or precluded entirely, and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pStyle w:val="TextBody"/>
        <w:bidi w:val="0"/>
        <w:spacing w:before="0" w:after="240"/>
        <w:jc w:val="both"/>
        <w:rPr>
          <w:rFonts w:ascii="Arial" w:hAnsi="Arial"/>
          <w:color w:val="000000"/>
          <w:sz w:val="20"/>
        </w:rPr>
      </w:pPr>
      <w:r>
        <w:rPr>
          <w:rFonts w:ascii="Arial" w:hAnsi="Arial"/>
          <w:color w:val="000000"/>
          <w:sz w:val="20"/>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contract with third parties for the manufacture of palazestrant for non-clinical studies and our ongoing clinical trials, and expect to continue to do so for additional clinical trials and ultimately for commercialization. This reliance on third parties increases the risk that we will not have sufficient quantities of palazestrant or other drugs necessary for the development or commercialization of palazestrant or such quantities at an acceptable cost, which could delay, prevent or impair our development or commercialization efforts.</w:t>
      </w:r>
    </w:p>
    <w:p>
      <w:pPr>
        <w:pStyle w:val="TextBody"/>
        <w:bidi w:val="0"/>
        <w:spacing w:before="0" w:after="240"/>
        <w:jc w:val="both"/>
        <w:rPr>
          <w:rFonts w:ascii="Arial" w:hAnsi="Arial"/>
          <w:color w:val="000000"/>
          <w:sz w:val="20"/>
        </w:rPr>
      </w:pPr>
      <w:r>
        <w:rPr>
          <w:rFonts w:ascii="Arial" w:hAnsi="Arial"/>
          <w:color w:val="000000"/>
          <w:sz w:val="20"/>
        </w:rPr>
        <w:t>We do not currently have the infrastructure or internal capability to manufacture supplies of palazestrant for use in development and commercialization. We rely, and expect to continue to rely, on third-party manufacturers for the production of palazestrant for non-clinical studies and clinical trials under the guidance of members of our organization. We do not have long-term supply agreements for palazestrant. Furthermore, the raw materials for palazestrant are sourced, in some cases, from a single-source supplier. If we were to experience an unexpected loss of supply of palazestrant for any reason, whether as a result of manufacturing, supply or storage issues or otherwise, we could experience delays, disruptions, suspensions or terminations of, or be required to restart or repeat, any pending or ongoing clinical trials.</w:t>
      </w:r>
    </w:p>
    <w:p>
      <w:pPr>
        <w:pStyle w:val="TextBody"/>
        <w:bidi w:val="0"/>
        <w:spacing w:before="0" w:after="240"/>
        <w:jc w:val="both"/>
        <w:rPr>
          <w:rFonts w:ascii="Arial" w:hAnsi="Arial"/>
          <w:color w:val="000000"/>
          <w:sz w:val="20"/>
        </w:rPr>
      </w:pPr>
      <w:r>
        <w:rPr>
          <w:rFonts w:ascii="Arial" w:hAnsi="Arial"/>
          <w:color w:val="000000"/>
          <w:sz w:val="20"/>
        </w:rPr>
        <w:t>We expect to continue to rely on third-party manufacturers for the commercial supply of palazestrant,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failure of the third party to manufacture palazestrant according to our schedule, or at all, including if our third-party contractors give greater priority to the supply of other products over palazestrant or otherwise do not satisfactorily perform according to the terms of the agreements between us and them;</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disruptions resulting from the impact of public health pandemics or epidemics;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reduction or termination of production or deliveries by suppliers, or the raising of prices or renegotiation of terms;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termination or nonrenewal of arrangements or agreements by our third-party contractors at a time that is costly or inconvenient for us;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breach by the third-party contractors of our agreements with them;</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failure of third-party contractors to comply with applicable regulatory requirements;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failure of the third party to manufacture palazestrant according to our specifications;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the mislabeling of clinical supplies, potentially resulting in the wrong dose amounts being supplied or active drug or placebo not being properly identified;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misappropriation of our proprietary information, including our trade secrets and know-how.</w:t>
      </w:r>
    </w:p>
    <w:p>
      <w:pPr>
        <w:pStyle w:val="TextBody"/>
        <w:bidi w:val="0"/>
        <w:jc w:val="both"/>
        <w:rPr>
          <w:rFonts w:ascii="Arial" w:hAnsi="Arial"/>
          <w:color w:val="000000"/>
          <w:sz w:val="20"/>
        </w:rPr>
      </w:pPr>
      <w:r>
        <w:rPr>
          <w:rFonts w:ascii="Arial" w:hAnsi="Arial"/>
          <w:color w:val="000000"/>
          <w:sz w:val="20"/>
        </w:rPr>
        <w:t>We have limited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EU or other foreign regulatory requirements, they will not be able to secure and/or maintain marketing approval for their manufacturing facilities. In addition, we have limited control over the ability of our contract manufacturers to maintain adequate quality control, quality assurance and qualified personnel. If the FDA, competent authorities of EU Member States or a comparable foreign regulatory authority does not approve these facilities for the manufacture of palazestrant, or if it withdraws any such approval in the future, we may need to find alternative manufacturing facilities, which would significantly impact our ability to develop, obtain marketing approval for or market palazestrant, if approved. We, or our contract manufacturers, any future collaborators and their contract manufacturers could be subject to periodic unannounced inspections by the FDA, competent authorities of EU Member States, or other comparable foreign regulatory authorities, to monitor and ensure compliance with cGMP.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Our failure, or the failure of our third-party manufacturers, to comply with applicable regulations could result in sanctions being imposed on us, including shutdown of the third-party vendor or invalidation of drug product lots or processes, fines, injunctions, civil penalties, delays, suspension, variation or withdrawal of approvals, license revocation, seizures or recalls of product candidates or drugs, operating restrictions and criminal prosecutions, any of which could significantly and adversely affect supplies of palazestrant or other drugs necessary for the development or commercialization of palazestrant and significantly harm our business, financial condition, results of operations and prospects.</w:t>
      </w:r>
    </w:p>
    <w:p>
      <w:pPr>
        <w:pStyle w:val="TextBody"/>
        <w:bidi w:val="0"/>
        <w:jc w:val="both"/>
        <w:rPr>
          <w:rFonts w:ascii="Times New Roman" w:hAnsi="Times New Roman"/>
          <w:sz w:val="20"/>
        </w:rPr>
      </w:pPr>
      <w:r>
        <w:rPr>
          <w:rFonts w:ascii="Arial" w:hAnsi="Arial"/>
          <w:color w:val="000000"/>
          <w:sz w:val="20"/>
        </w:rPr>
        <w:t>Furthermore, if the third-party providers of therapies or therapies in development used in combination with palazestrant are unable to produce sufficient quantities for clinical trials or for commercialization of palazestrant, or if the cost of combination therapies are prohibitive, our development and commercialization efforts would be impaired, which would significantly harm our business, financial condition, results of operations and prospects. For example, for our Phase 1b/2 clinical study of palazestrant in combination with KISQALI® (ribociclib) or PIQRAY® (alpelisib), or the Novartis Study Drugs, in patients with metastatic ER+ breast cancer, we entered into an Amended and Restated Clinical Collaboration and Supply Agreement with Novartis Institutes for BioMedical Research, Inc., as amended by Amendment No. 1 to Amended and Restated Clinical Collaboration and Supply Agreement between us and Novartis, and Amendment No. 2 to Amended and Restated Clinical Collaboration and Supply Agreement between us and Novartis (as amended,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Phase 1b/2 clinical study may be delayed and the cost to us to conduct this trial may significantly increase, which would significantly harm our business, financial condition, results of operations and prospects. In addition, for our Phase 3 clinical trial of palazestrant in combination with ribociclib in ER+/HER2- frontline advanced or metastatic breast cancer, we entered into a Clinical Trial Collaboration and Supply Agreement with Novartis Pharma. Under the terms of the Novartis Pharma Agreement, Novartis Pharma will manufacture and supply ribociclib. If Novartis Pharma is unable to timely manufacture or supply ribociclib, or if the Novartis Pharma Agreement terminates and we are unable to obtain ribociclib on the current terms, our Phase 3 clinical study may be delayed and the cost to us to conduct this trial may significantly increase. Either of these outcomes would significantly harm our business, financial condition, results of operations and prospects. Refer to Note 10 of our notes to the condensed consolidated financial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statements contained in this Quarterly Report on Form 10-Q for further information regarding the Novartis Agreement and the Novartis Pharma Agreement.</w:t>
      </w:r>
    </w:p>
    <w:p>
      <w:pPr>
        <w:pStyle w:val="TextBody"/>
        <w:bidi w:val="0"/>
        <w:spacing w:before="0" w:after="240"/>
        <w:jc w:val="both"/>
        <w:rPr>
          <w:rFonts w:ascii="Arial" w:hAnsi="Arial"/>
          <w:color w:val="000000"/>
          <w:sz w:val="20"/>
        </w:rPr>
      </w:pPr>
      <w:r>
        <w:rPr>
          <w:rFonts w:ascii="Arial" w:hAnsi="Arial"/>
          <w:color w:val="000000"/>
          <w:sz w:val="20"/>
        </w:rPr>
        <w:t>Our current and anticipated future dependence upon others for the manufacture of palazestrant or other drugs necessary for the development or commercialization of palazestrant may adversely affect our future profit margins and our ability to commercialize any product candidates that receive marketing approval on a timely and competitive basis.</w:t>
      </w:r>
    </w:p>
    <w:p>
      <w:pPr>
        <w:pStyle w:val="TextBody"/>
        <w:bidi w:val="0"/>
        <w:spacing w:before="0" w:after="240"/>
        <w:jc w:val="both"/>
        <w:rPr>
          <w:rFonts w:ascii="Arial" w:hAnsi="Arial"/>
          <w:b/>
          <w:i/>
          <w:color w:val="000000"/>
          <w:sz w:val="20"/>
        </w:rPr>
      </w:pPr>
      <w:r>
        <w:rPr>
          <w:rFonts w:ascii="Arial" w:hAnsi="Arial"/>
          <w:b/>
          <w:i/>
          <w:color w:val="000000"/>
          <w:sz w:val="20"/>
        </w:rPr>
        <w:t>The manufacture of drugs is complex, and our third-party manufacturers may encounter difficulties in production. If any of our third-party manufacturers encounter such difficulties, our ability to provide adequate supply of palazestrant for clinical trials or our product for patients, if approved, could be delayed or prevented.</w:t>
      </w:r>
    </w:p>
    <w:p>
      <w:pPr>
        <w:pStyle w:val="TextBody"/>
        <w:bidi w:val="0"/>
        <w:spacing w:before="0" w:after="240"/>
        <w:jc w:val="both"/>
        <w:rPr>
          <w:rFonts w:ascii="Arial" w:hAnsi="Arial"/>
          <w:color w:val="000000"/>
          <w:sz w:val="20"/>
        </w:rPr>
      </w:pPr>
      <w:r>
        <w:rPr>
          <w:rFonts w:ascii="Arial" w:hAnsi="Arial"/>
          <w:color w:val="000000"/>
          <w:sz w:val="20"/>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have engaged in and may in the future engage in additional acquisitions, strategic partnerships or in-licensing opportunities, that may increase our capital requirements, dilute our stockholders, cause us to incur debt or assume contingent liabilities, and subject us to other risks.</w:t>
      </w:r>
    </w:p>
    <w:p>
      <w:pPr>
        <w:pStyle w:val="TextBody"/>
        <w:bidi w:val="0"/>
        <w:spacing w:before="0" w:after="240"/>
        <w:jc w:val="both"/>
        <w:rPr>
          <w:rFonts w:ascii="Arial" w:hAnsi="Arial"/>
          <w:color w:val="000000"/>
          <w:sz w:val="20"/>
        </w:rPr>
      </w:pPr>
      <w:r>
        <w:rPr>
          <w:rFonts w:ascii="Arial" w:hAnsi="Arial"/>
          <w:color w:val="000000"/>
          <w:sz w:val="20"/>
        </w:rPr>
        <w:t>We have engaged in the past and may in the future engage in or evaluate various acquisition opportunities, strategic partnerships and in-licensing opportunities, including licensing or acquiring complementary products, intellectual property rights, technologies or businesses. Any potential acquisition or strategic partnership may entail numerous risks,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increased operating expenses and cash requirements;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assumption of contingent liabilities;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issuance of our equity securities;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assimilation of operations, intellectual property and products of an acquired company, including difficulties associated with integrating new personnel;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diversion of our management’s attention from our existing programs and initiatives in pursuing such a strategic merger or acquisition;</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retention of key employees, the loss of key personnel and uncertainties in our ability to maintain key business relationships;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risk of delay in receiving or the failure to receive anticipated benefits of any such transactions, or of facing unanticipated challenges;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risks and uncertainties associated with the other party to such a transaction, including the prospects of that party and their existing products or product candidates and marketing approvals;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before="0" w:after="240"/>
        <w:jc w:val="both"/>
        <w:rPr>
          <w:rFonts w:ascii="Arial" w:hAnsi="Arial"/>
          <w:color w:val="000000"/>
          <w:sz w:val="20"/>
        </w:rPr>
      </w:pPr>
      <w:r>
        <w:rPr>
          <w:rFonts w:ascii="Arial" w:hAnsi="Arial"/>
          <w:color w:val="000000"/>
          <w:sz w:val="20"/>
        </w:rPr>
        <w:t>In addition, if we undertake acquisitions or pursue partnerships or in-licensing opportunities in the future, we may issue dilutive securities, assume or incur debt obligations, incur large one-time expenses and acquire intangible assets that could result in significant future amortization expense. Moreover, we may devote substantial resources and fail to realize the anticipated benefits of such efforts, or we may incorrectly judge the value of an acquired or in-licensed product candidate, technology or other asset. Any such failure to realize the anticipated benefits of any or all of our acquisitions, strategic partnerships or in-licensing opportunities in the time frame expected, or at all, could result in additional costs or loss of revenue. Furthermore, we may not be able to locate suitable acquisition opportunities, and this inability could impair our ability to grow or obtain access to technology or products that may be important to the development of our business.</w:t>
      </w:r>
    </w:p>
    <w:p>
      <w:pPr>
        <w:pStyle w:val="TextBody"/>
        <w:bidi w:val="0"/>
        <w:spacing w:before="0" w:after="240"/>
        <w:jc w:val="both"/>
        <w:rPr>
          <w:rFonts w:ascii="Arial" w:hAnsi="Arial"/>
          <w:b/>
          <w:i/>
          <w:color w:val="000000"/>
          <w:sz w:val="20"/>
        </w:rPr>
      </w:pPr>
      <w:r>
        <w:rPr>
          <w:rFonts w:ascii="Arial" w:hAnsi="Arial"/>
          <w:b/>
          <w:i/>
          <w:color w:val="000000"/>
          <w:sz w:val="20"/>
        </w:rPr>
        <w:t>We have entered into collaborations with third parties for the development and commercialization of palazestrant. If those collaborations are not successful, we may not be able to capitalize on the market potential of palazestrant.</w:t>
      </w:r>
    </w:p>
    <w:p>
      <w:pPr>
        <w:pStyle w:val="TextBody"/>
        <w:bidi w:val="0"/>
        <w:spacing w:before="0" w:after="240"/>
        <w:jc w:val="both"/>
        <w:rPr>
          <w:rFonts w:ascii="Arial" w:hAnsi="Arial"/>
          <w:color w:val="000000"/>
          <w:sz w:val="20"/>
        </w:rPr>
      </w:pPr>
      <w:r>
        <w:rPr>
          <w:rFonts w:ascii="Arial" w:hAnsi="Arial"/>
          <w:color w:val="000000"/>
          <w:sz w:val="20"/>
        </w:rPr>
        <w:t>We have third-party collaborators for the development and commercialization of palazestrant. Our likely collaborators for any future collaboration arrangements include large and mid-size pharmaceutical companies, regional and national pharmaceutical companies and biotechnology companies.</w:t>
      </w:r>
    </w:p>
    <w:p>
      <w:pPr>
        <w:pStyle w:val="TextBody"/>
        <w:bidi w:val="0"/>
        <w:spacing w:before="0" w:after="240"/>
        <w:jc w:val="both"/>
        <w:rPr>
          <w:rFonts w:ascii="Arial" w:hAnsi="Arial"/>
          <w:color w:val="000000"/>
          <w:sz w:val="20"/>
        </w:rPr>
      </w:pPr>
      <w:r>
        <w:rPr>
          <w:rFonts w:ascii="Arial" w:hAnsi="Arial"/>
          <w:color w:val="000000"/>
          <w:sz w:val="20"/>
        </w:rPr>
        <w:t>We have, and will likely continue to have, limited control over the amount and timing of resources that our collaborators dedicate to the development or commercialization of palazestrant. Our ability to generate revenues from these arrangements will depend on our collaborators’ abilities and efforts to successfully perform the functions assigned to them in these arrangements. Collaborations involving palazestrant could pose numerous risks to us, including the following: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collaborators have significant discretion in determining the efforts and resources that they will apply to these collaborations and may not perform their obligations as expected;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collaborators may deemphasize or not pursue development and commercialization of palazestrant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collaborators could independently develop, or develop with third parties, products that compete directly or indirectly with palazestrant if the collaborators believe that competitive products are more likely to be successfully developed or can be commercialized under terms that are more economically attractive than ours;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 collaborator with marketing and distribution rights to multiple products may not commit sufficient resources to the marketing and distribution of our product relative to other products;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disputes may arise between the collaborators and us that result in the delay or termination of the research, development or commercialization of palazestrant or that result in costly litigation or arbitration that diverts management attention and resources;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collaborations may be terminated and, if terminated, may result in a need for additional capital to pursue further development or commercialization of the applicable product candidates;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collaboration agreements may not lead to development or commercialization of product candidates in the most efficient manner or at all;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if a collaborator of ours were to be involved in a business combination, the continued pursuit and emphasis on our drug development or commercialization program could be delayed, diminished or terminated.</w:t>
      </w:r>
    </w:p>
    <w:p>
      <w:pPr>
        <w:pStyle w:val="TextBody"/>
        <w:bidi w:val="0"/>
        <w:spacing w:before="0" w:after="240"/>
        <w:jc w:val="both"/>
        <w:rPr>
          <w:rFonts w:ascii="Arial" w:hAnsi="Arial"/>
          <w:b/>
          <w:i/>
          <w:color w:val="000000"/>
          <w:sz w:val="20"/>
        </w:rPr>
      </w:pPr>
      <w:r>
        <w:rPr>
          <w:rFonts w:ascii="Arial" w:hAnsi="Arial"/>
          <w:b/>
          <w:i/>
          <w:color w:val="000000"/>
          <w:sz w:val="20"/>
        </w:rPr>
        <w:t>If we decide to establish collaborations in the future but are not able to establish those collaborations on commercially reasonable terms, we may have to alter our development and commercialization plans.</w:t>
      </w:r>
    </w:p>
    <w:p>
      <w:pPr>
        <w:pStyle w:val="TextBody"/>
        <w:bidi w:val="0"/>
        <w:spacing w:before="0" w:after="240"/>
        <w:jc w:val="both"/>
        <w:rPr>
          <w:rFonts w:ascii="Arial" w:hAnsi="Arial"/>
          <w:color w:val="000000"/>
          <w:sz w:val="20"/>
        </w:rPr>
      </w:pPr>
      <w:r>
        <w:rPr>
          <w:rFonts w:ascii="Arial" w:hAnsi="Arial"/>
          <w:color w:val="000000"/>
          <w:sz w:val="20"/>
        </w:rPr>
        <w:t>Our drug development programs and the potential commercialization of palazestrant, OP-3136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0" w:after="240"/>
        <w:jc w:val="both"/>
        <w:rPr>
          <w:rFonts w:ascii="Arial" w:hAnsi="Arial"/>
          <w:color w:val="000000"/>
          <w:sz w:val="20"/>
        </w:rPr>
      </w:pPr>
      <w:r>
        <w:rPr>
          <w:rFonts w:ascii="Arial" w:hAnsi="Arial"/>
          <w:color w:val="000000"/>
          <w:sz w:val="20"/>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European Commission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palazestrant, OP-3136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before="0" w:after="240"/>
        <w:jc w:val="both"/>
        <w:rPr>
          <w:rFonts w:ascii="Arial" w:hAnsi="Arial"/>
          <w:color w:val="000000"/>
          <w:sz w:val="20"/>
        </w:rPr>
      </w:pPr>
      <w:r>
        <w:rPr>
          <w:rFonts w:ascii="Arial" w:hAnsi="Arial"/>
          <w:color w:val="000000"/>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before="0" w:after="240"/>
        <w:jc w:val="both"/>
        <w:rPr>
          <w:rFonts w:ascii="Arial" w:hAnsi="Arial"/>
          <w:color w:val="000000"/>
          <w:sz w:val="20"/>
        </w:rPr>
      </w:pPr>
      <w:r>
        <w:rPr>
          <w:rFonts w:ascii="Arial" w:hAnsi="Arial"/>
          <w:color w:val="000000"/>
          <w:sz w:val="20"/>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palazestrant, OP-3136 or any future product candidates we may develop or bring them to market and generate product revenue.</w:t>
      </w:r>
    </w:p>
    <w:p>
      <w:pPr>
        <w:pStyle w:val="TextBody"/>
        <w:bidi w:val="0"/>
        <w:spacing w:before="0" w:after="240"/>
        <w:jc w:val="left"/>
        <w:rPr>
          <w:rFonts w:ascii="Arial" w:hAnsi="Arial"/>
          <w:b/>
          <w:color w:val="000000"/>
          <w:sz w:val="20"/>
        </w:rPr>
      </w:pPr>
      <w:r>
        <w:rPr>
          <w:rFonts w:ascii="Arial" w:hAnsi="Arial"/>
          <w:b/>
          <w:color w:val="000000"/>
          <w:sz w:val="20"/>
        </w:rPr>
        <w:t>Risks related to ownership of our common stock</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An active trading market for our common stock may not be sustained.</w:t>
      </w:r>
    </w:p>
    <w:p>
      <w:pPr>
        <w:pStyle w:val="TextBody"/>
        <w:bidi w:val="0"/>
        <w:spacing w:before="0" w:after="240"/>
        <w:jc w:val="both"/>
        <w:rPr>
          <w:rFonts w:ascii="Arial" w:hAnsi="Arial"/>
          <w:color w:val="000000"/>
          <w:sz w:val="20"/>
        </w:rPr>
      </w:pPr>
      <w:r>
        <w:rPr>
          <w:rFonts w:ascii="Arial" w:hAnsi="Arial"/>
          <w:color w:val="000000"/>
          <w:sz w:val="20"/>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pStyle w:val="TextBody"/>
        <w:bidi w:val="0"/>
        <w:spacing w:before="0" w:after="240"/>
        <w:jc w:val="both"/>
        <w:rPr>
          <w:rFonts w:ascii="Arial" w:hAnsi="Arial"/>
          <w:b/>
          <w:i/>
          <w:color w:val="000000"/>
          <w:sz w:val="20"/>
        </w:rPr>
      </w:pPr>
      <w:r>
        <w:rPr>
          <w:rFonts w:ascii="Arial" w:hAnsi="Arial"/>
          <w:b/>
          <w:i/>
          <w:color w:val="000000"/>
          <w:sz w:val="20"/>
        </w:rPr>
        <w:t>The price of our stock has been and may continue to be volatile, and you could lose all or part of your investment.</w:t>
      </w:r>
    </w:p>
    <w:p>
      <w:pPr>
        <w:pStyle w:val="TextBody"/>
        <w:bidi w:val="0"/>
        <w:spacing w:before="0" w:after="240"/>
        <w:jc w:val="both"/>
        <w:rPr>
          <w:rFonts w:ascii="Arial" w:hAnsi="Arial"/>
          <w:color w:val="000000"/>
          <w:sz w:val="20"/>
        </w:rPr>
      </w:pPr>
      <w:r>
        <w:rPr>
          <w:rFonts w:ascii="Arial" w:hAnsi="Arial"/>
          <w:color w:val="000000"/>
          <w:sz w:val="20"/>
        </w:rPr>
        <w:t>The trading price of our common stock has been and may continue to be highly volatile and subject to wide fluctuations in response to various factors, some of which we cannot control. For example, the closing price of our common stock from January 1, 2024 to May 8, 2025 has ranged from a low of $3.06 to a high of $16.62. The stock market in general, and pharmaceutical and biotechnology companies in particular, have experienced extreme price and volume fluctuations that have often been unrelated or disproportionate to the operating performance of these companies.</w:t>
      </w:r>
    </w:p>
    <w:p>
      <w:pPr>
        <w:pStyle w:val="TextBody"/>
        <w:bidi w:val="0"/>
        <w:spacing w:before="0" w:after="240"/>
        <w:jc w:val="both"/>
        <w:rPr>
          <w:rFonts w:ascii="Arial" w:hAnsi="Arial"/>
          <w:color w:val="000000"/>
          <w:sz w:val="20"/>
        </w:rPr>
      </w:pPr>
      <w:r>
        <w:rPr>
          <w:rFonts w:ascii="Arial" w:hAnsi="Arial"/>
          <w:color w:val="000000"/>
          <w:sz w:val="20"/>
        </w:rPr>
        <w:t>Broad market and industry factors may negatively affect the market price of our common stock, regardless of our actual operating performance. In addition to the factors discussed in this “Risk Factors” section and elsewhere in this Quarterly Report on Form 10-Q, these factors include:</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the timing and results of non-clinical studies and clinical trials of palazestrant</w:t>
      </w:r>
      <w:r>
        <w:rPr>
          <w:rFonts w:ascii="Arial" w:hAnsi="Arial"/>
          <w:color w:val="000000"/>
          <w:sz w:val="20"/>
        </w:rPr>
        <w:t>, OP-3136</w:t>
      </w:r>
      <w:r>
        <w:rPr>
          <w:color w:val="231F20"/>
        </w:rPr>
        <w:t xml:space="preserve"> </w:t>
      </w:r>
      <w:r>
        <w:rPr>
          <w:rFonts w:ascii="Arial" w:hAnsi="Arial"/>
          <w:color w:val="231F20"/>
          <w:sz w:val="20"/>
        </w:rPr>
        <w:t>or any future product candidates we may develop or those of our competitors;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success of competitive products or announcements by potential competitors of their product development efforts;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regulatory actions with respect to our product candidates or our competitors’ products;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actual or anticipated changes in our growth rate relative to our competitors;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regulatory or legal developments in the United States and other countries;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developments or disputes concerning patent applications, issued patents or other proprietary rights;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recruitment or departure of key personnel;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announcements by us or our competitors of significant acquisitions, strategic collaborations, joint ventures, collaborations or capital commitments;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actual or anticipated changes in estimates as to financial results, development timelines or recommendations by securities analysts;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fluctuations in the valuation of companies perceived by investors to be comparable to us;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market conditions in the pharmaceutical and biotechnology sector;</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changes in the structure of healthcare payment systems;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share price and volume fluctuations attributable to inconsistent trading volume levels of our shares;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announcement or expectation of additional financing efforts;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sales of our common stock by us, our insiders or our other stockholders; and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120" w:after="240"/>
        <w:jc w:val="both"/>
        <w:rPr>
          <w:color w:val="231F20"/>
        </w:rPr>
      </w:pPr>
      <w:r>
        <w:rPr>
          <w:color w:val="231F20"/>
        </w:rPr>
        <w:t>•</w:t>
      </w:r>
    </w:p>
    <w:p>
      <w:pPr>
        <w:pStyle w:val="TextBody"/>
        <w:bidi w:val="0"/>
        <w:spacing w:before="120" w:after="240"/>
        <w:jc w:val="both"/>
        <w:rPr>
          <w:rFonts w:ascii="Arial" w:hAnsi="Arial"/>
          <w:color w:val="231F20"/>
          <w:sz w:val="20"/>
        </w:rPr>
      </w:pPr>
      <w:r>
        <w:rPr>
          <w:rFonts w:ascii="Arial" w:hAnsi="Arial"/>
          <w:color w:val="231F20"/>
          <w:sz w:val="20"/>
        </w:rPr>
        <w:t>the geopolitical and macroeconomic environment, generally, including economic uncertainty, market volatility, labor shortages, recent and changing tariff policy announcements, tariffs, trade tensions and retaliatory measures by other countries, supply chain disruptions, the ongoing conflicts between Ukraine and Russia and in the Middle East, as well as any related political or economic responses and counter-responses or otherwise by various global actors, inflationary pressures, monetary supply shifts, increased recession risk, and related financial instability.</w:t>
      </w:r>
    </w:p>
    <w:p>
      <w:pPr>
        <w:pStyle w:val="TextBody"/>
        <w:bidi w:val="0"/>
        <w:spacing w:before="0" w:after="240"/>
        <w:jc w:val="both"/>
        <w:rPr>
          <w:rFonts w:ascii="Arial" w:hAnsi="Arial"/>
          <w:color w:val="000000"/>
          <w:sz w:val="20"/>
        </w:rPr>
      </w:pPr>
      <w:r>
        <w:rPr>
          <w:rFonts w:ascii="Arial" w:hAnsi="Arial"/>
          <w:color w:val="000000"/>
          <w:sz w:val="20"/>
        </w:rPr>
        <w:t>In addition, the trading prices for common stock of other biopharmaceutical companies have been highly volatile as a result of factors unrelated to the specific company or its technology.</w:t>
      </w:r>
    </w:p>
    <w:p>
      <w:pPr>
        <w:pStyle w:val="TextBody"/>
        <w:bidi w:val="0"/>
        <w:jc w:val="both"/>
        <w:rPr>
          <w:rFonts w:ascii="Arial" w:hAnsi="Arial"/>
          <w:color w:val="000000"/>
          <w:sz w:val="20"/>
        </w:rPr>
      </w:pPr>
      <w:r>
        <w:rPr>
          <w:rFonts w:ascii="Arial" w:hAnsi="Arial"/>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0" w:after="240"/>
        <w:jc w:val="both"/>
        <w:rPr>
          <w:rFonts w:ascii="Arial" w:hAnsi="Arial"/>
          <w:b/>
          <w:i/>
          <w:color w:val="000000"/>
          <w:sz w:val="20"/>
        </w:rPr>
      </w:pPr>
      <w:r>
        <w:rPr>
          <w:rFonts w:ascii="Arial" w:hAnsi="Arial"/>
          <w:b/>
          <w:i/>
          <w:color w:val="000000"/>
          <w:sz w:val="20"/>
        </w:rPr>
        <w:t>Our quarterly operating results may fluctuate significantly or may fall below the expectations of investors or securities analysts, each of which may cause our stock price to fluctuate or decline.</w:t>
      </w:r>
    </w:p>
    <w:p>
      <w:pPr>
        <w:pStyle w:val="TextBody"/>
        <w:bidi w:val="0"/>
        <w:spacing w:before="0" w:after="240"/>
        <w:jc w:val="both"/>
        <w:rPr>
          <w:rFonts w:ascii="Arial" w:hAnsi="Arial"/>
          <w:color w:val="000000"/>
          <w:sz w:val="20"/>
        </w:rPr>
      </w:pPr>
      <w:r>
        <w:rPr>
          <w:rFonts w:ascii="Arial" w:hAnsi="Arial"/>
          <w:color w:val="000000"/>
          <w:sz w:val="20"/>
        </w:rPr>
        <w:t>We expect our operating results to be subject to quarterly fluctuations. Our net loss and other operating results will be affected by numerous factors,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timing and variations in the level of expense related to the ongoing development of palazestrant, OP-3136 or future development programs;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timing and status of enrollment for our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impacts from geopolitical and macroeconomic events on us or third parties with which we engage;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results of clinical trials, or the addition or termination of clinical trials or funding support by us or potential future partners;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execution of any collaboration, licensing or similar arrangements, and the timing of payments we may make or receive under potential future arrangements or the termination or modification of any such potential future arrangements;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any intellectual property infringement, misappropriation or violation lawsuit or opposition, interference or cancellation proceeding in which we may become involved;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additions and departures of key personnel;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strategic decisions by us or our competitors, such as acquisitions, divestitures, spin-offs, joint ventures, strategic investments or changes in business strategy;</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if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receive regulatory approval, the timing and terms of such approval and market acceptance and demand for such product candidates;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timing and cost to establish a sales, marketing and distribution infrastructure to commercialize any products for which we may obtain marketing approval and intend to commercialize on our own or jointly with current or future collaborators;</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regulatory developments affecting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or those of our competitors;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changes in general market and economic conditions.</w:t>
      </w:r>
    </w:p>
    <w:p>
      <w:pPr>
        <w:pStyle w:val="TextBody"/>
        <w:bidi w:val="0"/>
        <w:spacing w:before="0" w:after="240"/>
        <w:jc w:val="both"/>
        <w:rPr>
          <w:rFonts w:ascii="Times New Roman" w:hAnsi="Times New Roman"/>
          <w:sz w:val="20"/>
        </w:rPr>
      </w:pPr>
      <w:r>
        <w:rPr>
          <w:rFonts w:ascii="Arial" w:hAnsi="Arial"/>
          <w:color w:val="000000"/>
          <w:sz w:val="20"/>
        </w:rPr>
        <w:t>If our quarterly operating results fall below the expectations of investors or securities analysts, the price of our common stock could decline substantially. Furthermore, any quarterly fluctuations in our operating results may,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in turn, cause the price of our stock to fluctuate substantially. We believe that quarterly comparisons of our financial results are not necessarily meaningful and should not be relied upon as an indication of our future performance.</w:t>
      </w:r>
    </w:p>
    <w:p>
      <w:pPr>
        <w:pStyle w:val="TextBody"/>
        <w:bidi w:val="0"/>
        <w:spacing w:before="0" w:after="240"/>
        <w:jc w:val="both"/>
        <w:rPr>
          <w:rFonts w:ascii="Arial" w:hAnsi="Arial"/>
          <w:b/>
          <w:i/>
          <w:color w:val="000000"/>
          <w:sz w:val="20"/>
        </w:rPr>
      </w:pPr>
      <w:r>
        <w:rPr>
          <w:rFonts w:ascii="Arial" w:hAnsi="Arial"/>
          <w:b/>
          <w:i/>
          <w:color w:val="000000"/>
          <w:sz w:val="20"/>
        </w:rPr>
        <w:t>Our principal stockholders and management own a significant percentage of our stock and will be able to exert significant control over matters subject to stockholder approval.</w:t>
      </w:r>
    </w:p>
    <w:p>
      <w:pPr>
        <w:pStyle w:val="TextBody"/>
        <w:bidi w:val="0"/>
        <w:spacing w:before="0" w:after="240"/>
        <w:jc w:val="both"/>
        <w:rPr>
          <w:rFonts w:ascii="Arial" w:hAnsi="Arial"/>
          <w:color w:val="000000"/>
          <w:sz w:val="20"/>
        </w:rPr>
      </w:pPr>
      <w:r>
        <w:rPr>
          <w:rFonts w:ascii="Arial" w:hAnsi="Arial"/>
          <w:color w:val="000000"/>
          <w:sz w:val="20"/>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0" w:after="240"/>
        <w:jc w:val="both"/>
        <w:rPr>
          <w:rFonts w:ascii="Arial" w:hAnsi="Arial"/>
          <w:b/>
          <w:i/>
          <w:color w:val="000000"/>
          <w:sz w:val="20"/>
        </w:rPr>
      </w:pPr>
      <w:r>
        <w:rPr>
          <w:rFonts w:ascii="Arial" w:hAnsi="Arial"/>
          <w:b/>
          <w:i/>
          <w:color w:val="000000"/>
          <w:sz w:val="20"/>
        </w:rPr>
        <w:t>Sales of a substantial number of shares of our common stock in the public market could cause our stock price to fall.</w:t>
      </w:r>
    </w:p>
    <w:p>
      <w:pPr>
        <w:pStyle w:val="TextBody"/>
        <w:bidi w:val="0"/>
        <w:spacing w:before="0" w:after="240"/>
        <w:jc w:val="both"/>
        <w:rPr>
          <w:rFonts w:ascii="Arial" w:hAnsi="Arial"/>
          <w:color w:val="000000"/>
          <w:sz w:val="20"/>
        </w:rPr>
      </w:pPr>
      <w:r>
        <w:rPr>
          <w:rFonts w:ascii="Arial" w:hAnsi="Arial"/>
          <w:color w:val="000000"/>
          <w:sz w:val="20"/>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pStyle w:val="TextBody"/>
        <w:bidi w:val="0"/>
        <w:spacing w:before="0" w:after="240"/>
        <w:jc w:val="both"/>
        <w:rPr>
          <w:rFonts w:ascii="Arial" w:hAnsi="Arial"/>
          <w:color w:val="000000"/>
          <w:sz w:val="20"/>
        </w:rPr>
      </w:pPr>
      <w:r>
        <w:rPr>
          <w:rFonts w:ascii="Arial" w:hAnsi="Arial"/>
          <w:color w:val="000000"/>
          <w:sz w:val="20"/>
        </w:rPr>
        <w:t>As of May 8, 2025, we had 68,421,277 shares of common stock and pre-funded warrants to purchase up to 17,094,163 shares of common stock outstanding. Shares issued upon the exercise of any such pre-funded warrants as well as stock options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pStyle w:val="TextBody"/>
        <w:bidi w:val="0"/>
        <w:spacing w:before="0" w:after="240"/>
        <w:jc w:val="both"/>
        <w:rPr>
          <w:rFonts w:ascii="Arial" w:hAnsi="Arial"/>
          <w:color w:val="000000"/>
          <w:sz w:val="20"/>
        </w:rPr>
      </w:pPr>
      <w:r>
        <w:rPr>
          <w:rFonts w:ascii="Arial" w:hAnsi="Arial"/>
          <w:color w:val="000000"/>
          <w:sz w:val="20"/>
        </w:rPr>
        <w:t>We were obligated to file registration statements with the Securities and Exchange Commission to register all of the shares, including shares issuable upon the exercise of pre-funded warrants, issued in each of our private placement transactions for public resale, and are required to maintain effectiveness of both registration statements until the earliest of (i) the second anniversary of the effective date of such registration statement, (ii) such time as all of the shares issued in such private placement have been sold pursuant to such registration statement, or (iii) such time as the shares issued in such private placement become eligible for resale by non-affiliates without any volume limitations or other restrictions pursuant to Rule 144(b)(1)(i) under the Securities Act or any other rule of similar effect. In January 2025, we filed a universal shelf registration statement pursuant to which we may offer and sell shares from time to time, including 2025 ATM Shares pursuant to our at-the-marketing offering program currently in place.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pStyle w:val="TextBody"/>
        <w:bidi w:val="0"/>
        <w:spacing w:before="0" w:after="240"/>
        <w:jc w:val="both"/>
        <w:rPr>
          <w:rFonts w:ascii="Arial" w:hAnsi="Arial"/>
          <w:color w:val="000000"/>
          <w:sz w:val="20"/>
        </w:rPr>
      </w:pPr>
      <w:r>
        <w:rPr>
          <w:rFonts w:ascii="Arial" w:hAnsi="Arial"/>
          <w:color w:val="000000"/>
          <w:sz w:val="20"/>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pStyle w:val="TextBody"/>
        <w:bidi w:val="0"/>
        <w:spacing w:before="0" w:after="240"/>
        <w:jc w:val="both"/>
        <w:rPr>
          <w:rFonts w:ascii="Arial" w:hAnsi="Arial"/>
          <w:b/>
          <w:i/>
          <w:color w:val="000000"/>
          <w:sz w:val="20"/>
        </w:rPr>
      </w:pPr>
      <w:r>
        <w:rPr>
          <w:rFonts w:ascii="Arial" w:hAnsi="Arial"/>
          <w:b/>
          <w:i/>
          <w:color w:val="000000"/>
          <w:sz w:val="20"/>
        </w:rPr>
        <w:t>Raising additional capital may cause dilution to our existing stockholders, restrict our operations or require us to relinquish rights to palazestrant, OP-3136 or future product candidates we may develop on unfavorable terms to us.</w:t>
      </w:r>
    </w:p>
    <w:p>
      <w:pPr>
        <w:pStyle w:val="TextBody"/>
        <w:bidi w:val="0"/>
        <w:jc w:val="both"/>
        <w:rPr>
          <w:rFonts w:ascii="Times New Roman" w:hAnsi="Times New Roman"/>
          <w:sz w:val="20"/>
        </w:rPr>
      </w:pPr>
      <w:r>
        <w:rPr>
          <w:rFonts w:ascii="Arial" w:hAnsi="Arial"/>
          <w:color w:val="000000"/>
          <w:sz w:val="20"/>
        </w:rPr>
        <w:t>We have in the past, and may again in the future seek additional capital through a variety of means, including through public or private equity offerings, debt financings or other sources, including up-front payments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milestone payments from strategic collaborations. For example, in December 2024, we completed a private placement of 19,928,875 shares of our common stock and pre-funded warrants to purchase up to 7,604,163 shares of our common stock to selected institutional and accredited investors pursuant to a securities purchase and exchange agreement in connection with the 2024 Private Placement. In addition, in January 2025, we entered into the 2025 Sales Agreement with TD Cowen pursuant to which we may offer and sell, from time to time through TD Cowen, at our option, shares of our common stock having an aggregate offering price of up to $150.0 million in one or more at-the-market offerings which replaced the 2024 Sales Agreement with Cowen and Company. As of the quarter ended March 31, 2025, we have issued 1,772,278 shares of our common stock under the 2024 Sales Agreement and we have not issued any shares of common stock under the 2025 Sales Agreement. To the extent that we raise additional capital through the sale of equity or convertible debt or equity securities, including pursuant to exercises of outstanding pre-funded warrants or sales under the 2025 Sales Agreement, your ownership interest will be diluted, our stock price could fall and the terms may include liquidation or other preferences that adversely affect your rights as a stockholder. Future financing activities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palazestrant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spacing w:before="0" w:after="240"/>
        <w:jc w:val="both"/>
        <w:rPr>
          <w:rFonts w:ascii="Arial" w:hAnsi="Arial"/>
          <w:b/>
          <w:i/>
          <w:color w:val="000000"/>
          <w:sz w:val="20"/>
        </w:rPr>
      </w:pPr>
      <w:r>
        <w:rPr>
          <w:rFonts w:ascii="Arial" w:hAnsi="Arial"/>
          <w:b/>
          <w:i/>
          <w:color w:val="000000"/>
          <w:sz w:val="20"/>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pStyle w:val="TextBody"/>
        <w:bidi w:val="0"/>
        <w:spacing w:before="0" w:after="240"/>
        <w:jc w:val="both"/>
        <w:rPr>
          <w:rFonts w:ascii="Arial" w:hAnsi="Arial"/>
          <w:color w:val="000000"/>
          <w:sz w:val="20"/>
        </w:rPr>
      </w:pPr>
      <w:r>
        <w:rPr>
          <w:rFonts w:ascii="Arial" w:hAnsi="Arial"/>
          <w:color w:val="000000"/>
          <w:sz w:val="20"/>
        </w:rPr>
        <w:t>Because our annual revenue was less than $100.0 million during the most recently completed fiscal year and the market value of our voting and non-voting common stock held by non-affiliates was less than $700.0 million measured on the last business day of our second fiscal quarter for the year ended December 31, 2024, we qualify as a “smaller reporting company” as defined in the Exchange Act. We may take advantage of certain of the scaled disclosures available to smaller reporting companies including, among other things, not being required to comply with the auditor attestation requirements of Section 404 of the Sarbanes-Oxley Act (Section 404), presenting only the two most recent fiscal years of audited financial statements in our Annual Report on Form 10-K and presenting reduced disclosure obligations regarding executive compensation in our periodic reports and proxy statements.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before="0" w:after="240"/>
        <w:jc w:val="both"/>
        <w:rPr>
          <w:rFonts w:ascii="Arial" w:hAnsi="Arial"/>
          <w:b/>
          <w:i/>
          <w:color w:val="000000"/>
          <w:sz w:val="20"/>
        </w:rPr>
      </w:pPr>
      <w:r>
        <w:rPr>
          <w:rFonts w:ascii="Arial" w:hAnsi="Arial"/>
          <w:b/>
          <w:i/>
          <w:color w:val="000000"/>
          <w:sz w:val="20"/>
        </w:rPr>
        <w:t>New or future changes to tax laws could materially adversely affect our company.</w:t>
      </w:r>
    </w:p>
    <w:p>
      <w:pPr>
        <w:pStyle w:val="TextBody"/>
        <w:bidi w:val="0"/>
        <w:spacing w:before="0" w:after="240"/>
        <w:jc w:val="both"/>
        <w:rPr>
          <w:rFonts w:ascii="Times New Roman" w:hAnsi="Times New Roman"/>
          <w:sz w:val="20"/>
        </w:rPr>
      </w:pPr>
      <w:r>
        <w:rPr>
          <w:rFonts w:ascii="Arial" w:hAnsi="Arial"/>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United States passed the Inflation Reduction Act in 2022,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 In addition, the pricing of our intercompany transactions may be challenged by taxing authorities, with potential increases in income and other taxes that could impact our business and financial condition.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pStyle w:val="TextBody"/>
        <w:bidi w:val="0"/>
        <w:spacing w:before="0" w:after="240"/>
        <w:jc w:val="both"/>
        <w:rPr>
          <w:rFonts w:ascii="Arial" w:hAnsi="Arial"/>
          <w:color w:val="000000"/>
          <w:sz w:val="20"/>
        </w:rPr>
      </w:pPr>
      <w:r>
        <w:rPr>
          <w:rFonts w:ascii="Arial" w:hAnsi="Arial"/>
          <w:color w:val="000000"/>
          <w:sz w:val="20"/>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establish a classified Board of Directors such that not all members of our Board of Directors are elected at one time;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allow the authorized number of our directors to be changed only by resolution of our Board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limit the manner in which stockholders can remove directors from our Board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establish advance notice requirements for stockholder proposals that can be acted on at stockholder meetings and nominations to our Board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require that stockholder actions must be effected at a duly called stockholder meeting and prohibit actions by our stockholders by written consent;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prohibit our stockholders from calling a special meeting of our stockholders;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prohibit cumulative voting;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require the approval of the holders of at least 66 2⁄3% of the votes that all our stockholders would be entitled to cast to amend or repeal certain provisions of our amended and restated certificate of incorporations or amended and restated bylaws.</w:t>
      </w:r>
    </w:p>
    <w:p>
      <w:pPr>
        <w:pStyle w:val="TextBody"/>
        <w:bidi w:val="0"/>
        <w:spacing w:before="0" w:after="240"/>
        <w:jc w:val="both"/>
        <w:rPr>
          <w:rFonts w:ascii="Arial" w:hAnsi="Arial"/>
          <w:color w:val="000000"/>
          <w:sz w:val="20"/>
        </w:rPr>
      </w:pPr>
      <w:r>
        <w:rPr>
          <w:rFonts w:ascii="Arial" w:hAnsi="Arial"/>
          <w:color w:val="000000"/>
          <w:sz w:val="20"/>
        </w:rPr>
        <w:t>Moreover, because we are incorporated in Delaware, we are governed by the provisions of Section 203 of the Delaware General Corporation Law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0" w:after="240"/>
        <w:jc w:val="both"/>
        <w:rPr>
          <w:rFonts w:ascii="Arial" w:hAnsi="Arial"/>
          <w:b/>
          <w:i/>
          <w:color w:val="000000"/>
          <w:sz w:val="20"/>
        </w:rPr>
      </w:pPr>
      <w:r>
        <w:rPr>
          <w:rFonts w:ascii="Arial" w:hAnsi="Arial"/>
          <w:b/>
          <w:i/>
          <w:color w:val="000000"/>
          <w:sz w:val="20"/>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derivative action or proceeding brought on our behalf;</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action asserting a claim of breach of fiduciary duty;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action asserting a claim against us arising under the DGCL, our amended and restated certificate of incorporation or our amended and restated bylaws;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action asserting a claim against us that is governed by the internal-affairs doctrine or otherwise related to our internal affairs.</w:t>
      </w:r>
    </w:p>
    <w:p>
      <w:pPr>
        <w:pStyle w:val="TextBody"/>
        <w:bidi w:val="0"/>
        <w:spacing w:before="0" w:after="240"/>
        <w:jc w:val="both"/>
        <w:rPr>
          <w:rFonts w:ascii="Arial" w:hAnsi="Arial"/>
          <w:color w:val="000000"/>
          <w:sz w:val="20"/>
        </w:rPr>
      </w:pPr>
      <w:r>
        <w:rPr>
          <w:rFonts w:ascii="Arial" w:hAnsi="Arial"/>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0" w:after="240"/>
        <w:jc w:val="both"/>
        <w:rPr>
          <w:rFonts w:ascii="Arial" w:hAnsi="Arial"/>
          <w:color w:val="000000"/>
          <w:sz w:val="20"/>
        </w:rPr>
      </w:pPr>
      <w:r>
        <w:rPr>
          <w:rFonts w:ascii="Arial" w:hAnsi="Arial"/>
          <w:color w:val="000000"/>
          <w:sz w:val="20"/>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do not currently intend to pay dividends on our common stock and, consequently, your ability to achieve a return on your investment will depend on appreciation of the value of our common stock.</w:t>
      </w:r>
    </w:p>
    <w:p>
      <w:pPr>
        <w:pStyle w:val="TextBody"/>
        <w:bidi w:val="0"/>
        <w:spacing w:before="0" w:after="240"/>
        <w:jc w:val="both"/>
        <w:rPr>
          <w:rFonts w:ascii="Arial" w:hAnsi="Arial"/>
          <w:color w:val="000000"/>
          <w:sz w:val="20"/>
        </w:rPr>
      </w:pPr>
      <w:r>
        <w:rPr>
          <w:rFonts w:ascii="Arial" w:hAnsi="Arial"/>
          <w:color w:val="000000"/>
          <w:sz w:val="20"/>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In addition, the terms of the Loan Agreement restrict our ability to declare and pay dividends. Any return to stockholders will therefore be limited to any appreciation in the value of our common stock, which is not certain.</w:t>
      </w:r>
    </w:p>
    <w:p>
      <w:pPr>
        <w:pStyle w:val="TextBody"/>
        <w:bidi w:val="0"/>
        <w:spacing w:before="0" w:after="240"/>
        <w:jc w:val="both"/>
        <w:rPr>
          <w:rFonts w:ascii="Arial" w:hAnsi="Arial"/>
          <w:b/>
          <w:color w:val="000000"/>
          <w:sz w:val="20"/>
        </w:rPr>
      </w:pPr>
      <w:r>
        <w:rPr>
          <w:rFonts w:ascii="Arial" w:hAnsi="Arial"/>
          <w:b/>
          <w:color w:val="000000"/>
          <w:sz w:val="20"/>
        </w:rPr>
        <w:t>General risk factors</w:t>
      </w:r>
    </w:p>
    <w:p>
      <w:pPr>
        <w:pStyle w:val="TextBody"/>
        <w:bidi w:val="0"/>
        <w:spacing w:before="0" w:after="240"/>
        <w:jc w:val="both"/>
        <w:rPr>
          <w:rFonts w:ascii="Arial" w:hAnsi="Arial"/>
          <w:b/>
          <w:i/>
          <w:color w:val="000000"/>
          <w:sz w:val="20"/>
        </w:rPr>
      </w:pPr>
      <w:r>
        <w:rPr>
          <w:rFonts w:ascii="Arial" w:hAnsi="Arial"/>
          <w:b/>
          <w:i/>
          <w:color w:val="000000"/>
          <w:sz w:val="20"/>
        </w:rPr>
        <w:t>The requirements of being a public company may strain our resources, result in more litigation and divert management’s attention.</w:t>
      </w:r>
    </w:p>
    <w:p>
      <w:pPr>
        <w:pStyle w:val="TextBody"/>
        <w:bidi w:val="0"/>
        <w:spacing w:before="0" w:after="240"/>
        <w:jc w:val="both"/>
        <w:rPr>
          <w:rFonts w:ascii="Times New Roman" w:hAnsi="Times New Roman"/>
          <w:sz w:val="20"/>
        </w:rPr>
      </w:pPr>
      <w:r>
        <w:rPr>
          <w:rFonts w:ascii="Arial" w:hAnsi="Arial"/>
          <w:color w:val="000000"/>
          <w:sz w:val="20"/>
        </w:rPr>
        <w:t>As a public company, we are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pStyle w:val="TextBody"/>
        <w:bidi w:val="0"/>
        <w:spacing w:before="0" w:after="240"/>
        <w:jc w:val="both"/>
        <w:rPr>
          <w:rFonts w:ascii="Arial" w:hAnsi="Arial"/>
          <w:color w:val="000000"/>
          <w:sz w:val="20"/>
        </w:rPr>
      </w:pPr>
      <w:r>
        <w:rPr>
          <w:rFonts w:ascii="Arial" w:hAnsi="Arial"/>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pStyle w:val="TextBody"/>
        <w:bidi w:val="0"/>
        <w:spacing w:before="0" w:after="240"/>
        <w:jc w:val="both"/>
        <w:rPr>
          <w:rFonts w:ascii="Arial" w:hAnsi="Arial"/>
          <w:color w:val="000000"/>
          <w:sz w:val="20"/>
        </w:rPr>
      </w:pPr>
      <w:r>
        <w:rPr>
          <w:rFonts w:ascii="Arial" w:hAnsi="Arial"/>
          <w:color w:val="000000"/>
          <w:sz w:val="20"/>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jc w:val="both"/>
        <w:rPr>
          <w:rFonts w:ascii="Arial" w:hAnsi="Arial"/>
          <w:color w:val="000000"/>
          <w:sz w:val="20"/>
        </w:rPr>
      </w:pPr>
      <w:r>
        <w:rPr>
          <w:rFonts w:ascii="Arial" w:hAnsi="Arial"/>
          <w:color w:val="000000"/>
          <w:sz w:val="20"/>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In addition, the market price of our common stock has been and may continue to be volatile and, in the past, companies that have experienced volatility in the market price of their stock have been subject to securities class action litigation and stockholder derivative actions. We may be the target of these types of litigation and claims in the future. Even if any such claims do not result in litigation or are resolved in our favor, the time and resources needed to resolve them could divert our management’s resources and seriously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0" w:after="240"/>
        <w:jc w:val="both"/>
        <w:rPr>
          <w:rFonts w:ascii="Arial" w:hAnsi="Arial"/>
          <w:color w:val="000000"/>
          <w:sz w:val="20"/>
        </w:rPr>
      </w:pPr>
      <w:r>
        <w:rPr>
          <w:rFonts w:ascii="Arial" w:hAnsi="Arial"/>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If securities or industry analysts do not publish research or reports, or if they publish adverse or misleading research or reports, regarding us, our business or our market, our stock price and trading volume could decline.</w:t>
      </w:r>
    </w:p>
    <w:p>
      <w:pPr>
        <w:pStyle w:val="TextBody"/>
        <w:bidi w:val="0"/>
        <w:spacing w:before="0" w:after="240"/>
        <w:jc w:val="both"/>
        <w:rPr>
          <w:rFonts w:ascii="Arial" w:hAnsi="Arial"/>
          <w:color w:val="000000"/>
          <w:sz w:val="20"/>
        </w:rPr>
      </w:pPr>
      <w:r>
        <w:rPr>
          <w:rFonts w:ascii="Arial" w:hAnsi="Arial"/>
          <w:color w:val="000000"/>
          <w:sz w:val="20"/>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0" w:after="240"/>
        <w:jc w:val="both"/>
        <w:rPr>
          <w:rFonts w:ascii="Arial" w:hAnsi="Arial"/>
          <w:b/>
          <w:i/>
          <w:color w:val="000000"/>
          <w:sz w:val="20"/>
        </w:rPr>
      </w:pPr>
      <w:r>
        <w:rPr>
          <w:rFonts w:ascii="Arial" w:hAnsi="Arial"/>
          <w:b/>
          <w:i/>
          <w:color w:val="000000"/>
          <w:sz w:val="20"/>
        </w:rPr>
        <w:t>Our disclosure controls and procedures may not prevent or detect all errors or acts of fraud.</w:t>
      </w:r>
    </w:p>
    <w:p>
      <w:pPr>
        <w:pStyle w:val="TextBody"/>
        <w:bidi w:val="0"/>
        <w:spacing w:before="0" w:after="240"/>
        <w:jc w:val="both"/>
        <w:rPr>
          <w:rFonts w:ascii="Arial" w:hAnsi="Arial"/>
          <w:color w:val="000000"/>
          <w:sz w:val="20"/>
        </w:rPr>
      </w:pPr>
      <w:r>
        <w:rPr>
          <w:rFonts w:ascii="Arial" w:hAnsi="Arial"/>
          <w:color w:val="000000"/>
          <w:sz w:val="20"/>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pStyle w:val="TextBody"/>
        <w:bidi w:val="0"/>
        <w:spacing w:before="0" w:after="240"/>
        <w:jc w:val="both"/>
        <w:rPr>
          <w:rFonts w:ascii="Arial" w:hAnsi="Arial"/>
          <w:color w:val="000000"/>
          <w:sz w:val="20"/>
        </w:rPr>
      </w:pPr>
      <w:r>
        <w:rPr>
          <w:rFonts w:ascii="Arial" w:hAnsi="Arial"/>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1"/>
        <w:bidi w:val="0"/>
        <w:spacing w:before="240" w:after="283"/>
        <w:jc w:val="both"/>
        <w:rPr>
          <w:rFonts w:ascii="Arial" w:hAnsi="Arial"/>
          <w:b/>
          <w:color w:val="000000"/>
          <w:sz w:val="20"/>
        </w:rPr>
      </w:pPr>
      <w:bookmarkStart w:id="16" w:name="item2unregisteredsalesofequitysecurities"/>
      <w:bookmarkEnd w:id="16"/>
      <w:r>
        <w:rPr>
          <w:rFonts w:ascii="Arial" w:hAnsi="Arial"/>
          <w:b/>
          <w:color w:val="000000"/>
          <w:sz w:val="20"/>
        </w:rPr>
        <w:t>Item 2. Unregistered Sales of Equity Securities and Use of Proceeds.</w:t>
      </w:r>
    </w:p>
    <w:p>
      <w:pPr>
        <w:pStyle w:val="TextBody"/>
        <w:bidi w:val="0"/>
        <w:spacing w:before="240" w:after="283"/>
        <w:jc w:val="both"/>
        <w:rPr>
          <w:rFonts w:ascii="Arial" w:hAnsi="Arial"/>
          <w:b/>
          <w:color w:val="000000"/>
          <w:sz w:val="20"/>
        </w:rPr>
      </w:pPr>
      <w:r>
        <w:rPr>
          <w:rFonts w:ascii="Arial" w:hAnsi="Arial"/>
          <w:b/>
          <w:color w:val="000000"/>
          <w:sz w:val="20"/>
        </w:rPr>
        <w:t>Recent Sales of Unregistered Securities</w:t>
      </w:r>
    </w:p>
    <w:p>
      <w:pPr>
        <w:pStyle w:val="TextBody"/>
        <w:bidi w:val="0"/>
        <w:spacing w:before="240" w:after="283"/>
        <w:jc w:val="both"/>
        <w:rPr>
          <w:rFonts w:ascii="Arial" w:hAnsi="Arial"/>
          <w:color w:val="000000"/>
          <w:sz w:val="20"/>
        </w:rPr>
      </w:pPr>
      <w:r>
        <w:rPr>
          <w:rFonts w:ascii="Arial" w:hAnsi="Arial"/>
          <w:color w:val="000000"/>
          <w:sz w:val="20"/>
        </w:rPr>
        <w:t>There were no sales of equity securities during the period covered by this report that were not registered under the Securities Act and were not previously reported in a Current Report on Form 8-K filed by the Company.</w:t>
      </w:r>
    </w:p>
    <w:p>
      <w:pPr>
        <w:pStyle w:val="TextBody"/>
        <w:bidi w:val="0"/>
        <w:spacing w:before="240" w:after="283"/>
        <w:jc w:val="both"/>
        <w:rPr>
          <w:rFonts w:ascii="Arial" w:hAnsi="Arial"/>
          <w:b/>
          <w:color w:val="000000"/>
          <w:sz w:val="20"/>
        </w:rPr>
      </w:pPr>
      <w:r>
        <w:rPr>
          <w:rFonts w:ascii="Arial" w:hAnsi="Arial"/>
          <w:b/>
          <w:color w:val="000000"/>
          <w:sz w:val="20"/>
        </w:rPr>
        <w:t>Repurchase of Shares of Company Equity Securities</w:t>
      </w:r>
    </w:p>
    <w:p>
      <w:pPr>
        <w:pStyle w:val="TextBody"/>
        <w:bidi w:val="0"/>
        <w:spacing w:before="240" w:after="283"/>
        <w:jc w:val="both"/>
        <w:rPr>
          <w:rFonts w:ascii="Arial" w:hAnsi="Arial"/>
          <w:color w:val="000000"/>
          <w:sz w:val="20"/>
        </w:rPr>
      </w:pPr>
      <w:r>
        <w:rPr>
          <w:rFonts w:ascii="Arial" w:hAnsi="Arial"/>
          <w:color w:val="000000"/>
          <w:sz w:val="20"/>
        </w:rPr>
        <w:t>None.</w:t>
      </w:r>
    </w:p>
    <w:p>
      <w:pPr>
        <w:pStyle w:val="Heading1"/>
        <w:bidi w:val="0"/>
        <w:spacing w:before="240" w:after="283"/>
        <w:jc w:val="both"/>
        <w:rPr>
          <w:rFonts w:ascii="Arial" w:hAnsi="Arial"/>
          <w:b/>
          <w:color w:val="000000"/>
          <w:sz w:val="20"/>
        </w:rPr>
      </w:pPr>
      <w:bookmarkStart w:id="17" w:name="item3defaultsuponseniorsecurities_285444"/>
      <w:bookmarkEnd w:id="17"/>
      <w:r>
        <w:rPr>
          <w:rFonts w:ascii="Arial" w:hAnsi="Arial"/>
          <w:b/>
          <w:color w:val="000000"/>
          <w:sz w:val="20"/>
        </w:rPr>
        <w:t>Item 3. Defaults Upon Senior Securities.</w:t>
      </w:r>
    </w:p>
    <w:p>
      <w:pPr>
        <w:pStyle w:val="TextBody"/>
        <w:bidi w:val="0"/>
        <w:spacing w:before="240" w:after="283"/>
        <w:jc w:val="both"/>
        <w:rPr>
          <w:rFonts w:ascii="Arial" w:hAnsi="Arial"/>
          <w:color w:val="000000"/>
          <w:sz w:val="20"/>
        </w:rPr>
      </w:pPr>
      <w:r>
        <w:rPr>
          <w:rFonts w:ascii="Arial" w:hAnsi="Arial"/>
          <w:color w:val="000000"/>
          <w:sz w:val="20"/>
        </w:rPr>
        <w:t>None.</w:t>
      </w:r>
    </w:p>
    <w:p>
      <w:pPr>
        <w:pStyle w:val="Heading1"/>
        <w:bidi w:val="0"/>
        <w:spacing w:before="240" w:after="283"/>
        <w:jc w:val="both"/>
        <w:rPr>
          <w:rFonts w:ascii="Arial" w:hAnsi="Arial"/>
          <w:b/>
          <w:color w:val="000000"/>
          <w:sz w:val="20"/>
        </w:rPr>
      </w:pPr>
      <w:bookmarkStart w:id="18" w:name="item4minesafetydisclosures_363877"/>
      <w:bookmarkEnd w:id="18"/>
      <w:r>
        <w:rPr>
          <w:rFonts w:ascii="Arial" w:hAnsi="Arial"/>
          <w:b/>
          <w:color w:val="000000"/>
          <w:sz w:val="20"/>
        </w:rPr>
        <w:t>Item 4. Mine Safety Disclosures.</w:t>
      </w:r>
    </w:p>
    <w:p>
      <w:pPr>
        <w:pStyle w:val="TextBody"/>
        <w:bidi w:val="0"/>
        <w:spacing w:before="240" w:after="283"/>
        <w:jc w:val="both"/>
        <w:rPr>
          <w:rFonts w:ascii="Arial" w:hAnsi="Arial"/>
          <w:color w:val="000000"/>
          <w:sz w:val="20"/>
        </w:rPr>
      </w:pPr>
      <w:r>
        <w:rPr>
          <w:rFonts w:ascii="Arial" w:hAnsi="Arial"/>
          <w:color w:val="000000"/>
          <w:sz w:val="20"/>
        </w:rPr>
        <w:t>Not applicable.</w:t>
      </w:r>
    </w:p>
    <w:p>
      <w:pPr>
        <w:pStyle w:val="Heading1"/>
        <w:bidi w:val="0"/>
        <w:spacing w:before="240" w:after="283"/>
        <w:jc w:val="both"/>
        <w:rPr>
          <w:rFonts w:ascii="Arial" w:hAnsi="Arial"/>
          <w:b/>
          <w:color w:val="000000"/>
          <w:sz w:val="20"/>
        </w:rPr>
      </w:pPr>
      <w:bookmarkStart w:id="19" w:name="item5otherinformation_250924"/>
      <w:bookmarkEnd w:id="19"/>
      <w:r>
        <w:rPr>
          <w:rFonts w:ascii="Arial" w:hAnsi="Arial"/>
          <w:b/>
          <w:color w:val="000000"/>
          <w:sz w:val="20"/>
        </w:rPr>
        <w:t>Item 5. Other Information.</w:t>
      </w:r>
    </w:p>
    <w:p>
      <w:pPr>
        <w:pStyle w:val="TextBody"/>
        <w:bidi w:val="0"/>
        <w:spacing w:before="240" w:after="283"/>
        <w:jc w:val="both"/>
        <w:rPr>
          <w:rFonts w:ascii="Arial" w:hAnsi="Arial"/>
          <w:color w:val="000000"/>
          <w:sz w:val="20"/>
        </w:rPr>
      </w:pPr>
      <w:r>
        <w:rPr>
          <w:rFonts w:ascii="Arial" w:hAnsi="Arial"/>
          <w:color w:val="000000"/>
          <w:sz w:val="20"/>
        </w:rPr>
        <w:t>None.</w:t>
      </w:r>
    </w:p>
    <w:p>
      <w:pPr>
        <w:pStyle w:val="TextBody"/>
        <w:bidi w:val="0"/>
        <w:spacing w:before="0" w:after="16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Heading1"/>
        <w:bidi w:val="0"/>
        <w:jc w:val="left"/>
        <w:rPr>
          <w:rFonts w:ascii="Arial" w:hAnsi="Arial"/>
          <w:b/>
          <w:color w:val="000000"/>
          <w:sz w:val="20"/>
        </w:rPr>
      </w:pPr>
      <w:bookmarkStart w:id="20" w:name="item6exhibits_686387"/>
      <w:bookmarkEnd w:id="20"/>
      <w:r>
        <w:rPr>
          <w:rFonts w:ascii="Arial" w:hAnsi="Arial"/>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67"/>
        <w:gridCol w:w="5726"/>
        <w:gridCol w:w="976"/>
        <w:gridCol w:w="1068"/>
        <w:gridCol w:w="766"/>
        <w:gridCol w:w="802"/>
      </w:tblGrid>
      <w:tr>
        <w:trPr/>
        <w:tc>
          <w:tcPr>
            <w:tcW w:w="867" w:type="dxa"/>
            <w:tcBorders/>
            <w:vAlign w:val="center"/>
          </w:tcPr>
          <w:p>
            <w:pPr>
              <w:pStyle w:val="TableContents"/>
              <w:bidi w:val="0"/>
              <w:spacing w:before="0" w:after="283"/>
              <w:jc w:val="left"/>
              <w:rPr>
                <w:sz w:val="4"/>
                <w:szCs w:val="4"/>
              </w:rPr>
            </w:pPr>
            <w:r>
              <w:rPr>
                <w:sz w:val="4"/>
                <w:szCs w:val="4"/>
              </w:rPr>
            </w:r>
          </w:p>
        </w:tc>
        <w:tc>
          <w:tcPr>
            <w:tcW w:w="57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867" w:type="dxa"/>
            <w:tcBorders/>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2" w:type="dxa"/>
            <w:gridSpan w:val="4"/>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Incorporated by Reference</w:t>
            </w:r>
          </w:p>
        </w:tc>
      </w:tr>
      <w:tr>
        <w:trPr/>
        <w:tc>
          <w:tcPr>
            <w:tcW w:w="867"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w:t>
              <w:br/>
              <w:t>Number</w:t>
            </w:r>
          </w:p>
        </w:tc>
        <w:tc>
          <w:tcPr>
            <w:tcW w:w="57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c>
          <w:tcPr>
            <w:tcW w:w="97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Schedule</w:t>
              <w:br/>
              <w:t>Form</w:t>
            </w:r>
          </w:p>
        </w:tc>
        <w:tc>
          <w:tcPr>
            <w:tcW w:w="106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File Number</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w:t>
            </w:r>
          </w:p>
        </w:tc>
        <w:tc>
          <w:tcPr>
            <w:tcW w:w="80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Filing</w:t>
              <w:br/>
              <w:t>Date</w:t>
            </w:r>
          </w:p>
        </w:tc>
      </w:tr>
      <w:tr>
        <w:trPr/>
        <w:tc>
          <w:tcPr>
            <w:tcW w:w="867" w:type="dxa"/>
            <w:tcBorders/>
            <w:tcMar>
              <w:top w:w="0" w:type="dxa"/>
              <w:left w:w="0" w:type="dxa"/>
              <w:bottom w:w="0" w:type="dxa"/>
              <w:right w:w="0" w:type="dxa"/>
            </w:tcMar>
            <w:vAlign w:val="center"/>
          </w:tcPr>
          <w:p>
            <w:pPr>
              <w:pStyle w:val="TableContents"/>
              <w:bidi w:val="0"/>
              <w:spacing w:before="0" w:after="283"/>
              <w:jc w:val="left"/>
              <w:rPr/>
            </w:pPr>
            <w:r>
              <w:rPr/>
              <w:t> </w:t>
            </w:r>
          </w:p>
        </w:tc>
        <w:tc>
          <w:tcPr>
            <w:tcW w:w="572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0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1.1</w:t>
            </w:r>
          </w:p>
        </w:tc>
        <w:tc>
          <w:tcPr>
            <w:tcW w:w="5726"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Sales Agreement between Olema Pharmaceuticals, Inc. and TD Securities (USA) LLC, dated January 6, 2025</w:t>
              </w:r>
            </w:hyperlink>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S-3</w:t>
            </w:r>
          </w:p>
        </w:tc>
        <w:tc>
          <w:tcPr>
            <w:tcW w:w="106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333-284146</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w:t>
            </w:r>
          </w:p>
        </w:tc>
        <w:tc>
          <w:tcPr>
            <w:tcW w:w="80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1/6/2025</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5726"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Certificate of Incorporation.</w:t>
              </w:r>
            </w:hyperlink>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w:t>
              <w:noBreakHyphen/>
              <w:t>K</w:t>
            </w:r>
          </w:p>
        </w:tc>
        <w:tc>
          <w:tcPr>
            <w:tcW w:w="106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w:t>
              <w:noBreakHyphen/>
              <w:t>39712</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80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11/23/2020</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572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Amended and Restated Bylaws.</w:t>
              </w:r>
            </w:hyperlink>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w:t>
              <w:noBreakHyphen/>
              <w:t>K</w:t>
            </w:r>
          </w:p>
        </w:tc>
        <w:tc>
          <w:tcPr>
            <w:tcW w:w="106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w:t>
              <w:noBreakHyphen/>
              <w:t>39712</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80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12/16/2022</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572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Form of Exchange Warrant</w:t>
              </w:r>
            </w:hyperlink>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06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001-39712</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80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1/10/2025</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5726" w:type="dxa"/>
            <w:tcBorders/>
            <w:tcMar>
              <w:top w:w="0" w:type="dxa"/>
              <w:left w:w="0" w:type="dxa"/>
              <w:bottom w:w="0" w:type="dxa"/>
              <w:right w:w="0" w:type="dxa"/>
            </w:tcMar>
            <w:vAlign w:val="center"/>
          </w:tcPr>
          <w:p>
            <w:pPr>
              <w:pStyle w:val="TableContents"/>
              <w:bidi w:val="0"/>
              <w:spacing w:before="0" w:after="283"/>
              <w:jc w:val="left"/>
              <w:rPr/>
            </w:pPr>
            <w:hyperlink w:anchor="olma-ex10_1.htm">
              <w:r>
                <w:rPr>
                  <w:rStyle w:val="InternetLink"/>
                  <w:rFonts w:ascii="Arial" w:hAnsi="Arial"/>
                  <w:color w:val="0000FF"/>
                  <w:sz w:val="20"/>
                  <w:u w:val="single"/>
                </w:rPr>
                <w:t>Olema Pharmaceuticals, Inc. Amended and Restated Non-Employee Director Compensation Policy</w:t>
              </w:r>
            </w:hyperlink>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5726"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20"/>
                  <w:u w:val="single"/>
                </w:rPr>
                <w:t>Offer Letter by and between the Registrant and Shawnte Mitchell, dated January 7, 2025</w:t>
              </w:r>
            </w:hyperlink>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10-K</w:t>
            </w:r>
          </w:p>
        </w:tc>
        <w:tc>
          <w:tcPr>
            <w:tcW w:w="1068"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001-39712</w:t>
            </w:r>
          </w:p>
        </w:tc>
        <w:tc>
          <w:tcPr>
            <w:tcW w:w="7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10.18</w:t>
            </w:r>
          </w:p>
        </w:tc>
        <w:tc>
          <w:tcPr>
            <w:tcW w:w="80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3/18/2025</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5726" w:type="dxa"/>
            <w:tcBorders/>
            <w:tcMar>
              <w:top w:w="0" w:type="dxa"/>
              <w:left w:w="0" w:type="dxa"/>
              <w:bottom w:w="0" w:type="dxa"/>
              <w:right w:w="0" w:type="dxa"/>
            </w:tcMar>
            <w:vAlign w:val="center"/>
          </w:tcPr>
          <w:p>
            <w:pPr>
              <w:pStyle w:val="TableContents"/>
              <w:bidi w:val="0"/>
              <w:spacing w:before="0" w:after="283"/>
              <w:jc w:val="left"/>
              <w:rPr/>
            </w:pPr>
            <w:hyperlink w:anchor="olma-ex31_1.htm">
              <w:r>
                <w:rPr>
                  <w:rStyle w:val="InternetLink"/>
                  <w:rFonts w:ascii="Arial" w:hAnsi="Arial"/>
                  <w:color w:val="0000FF"/>
                  <w:sz w:val="20"/>
                  <w:u w:val="single"/>
                </w:rPr>
                <w:t>Certification of Chief Executive Officer Pursuant to Rules 13a</w:t>
                <w:noBreakHyphen/>
                <w:t>14(a) and 15d</w:t>
                <w:noBreakHyphen/>
                <w:t>14(a) under the Securities Exchange Act of 1934, as Adopted Pursuant to Section 302 of the Sarbanes-Oxley Act of 2002.</w:t>
              </w:r>
            </w:hyperlink>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5726" w:type="dxa"/>
            <w:tcBorders/>
            <w:tcMar>
              <w:top w:w="0" w:type="dxa"/>
              <w:left w:w="0" w:type="dxa"/>
              <w:bottom w:w="0" w:type="dxa"/>
              <w:right w:w="0" w:type="dxa"/>
            </w:tcMar>
            <w:vAlign w:val="center"/>
          </w:tcPr>
          <w:p>
            <w:pPr>
              <w:pStyle w:val="TableContents"/>
              <w:bidi w:val="0"/>
              <w:spacing w:before="0" w:after="283"/>
              <w:jc w:val="left"/>
              <w:rPr/>
            </w:pPr>
            <w:hyperlink w:anchor="olma-ex31_2.htm">
              <w:r>
                <w:rPr>
                  <w:rStyle w:val="InternetLink"/>
                  <w:rFonts w:ascii="Arial" w:hAnsi="Arial"/>
                  <w:color w:val="0000FF"/>
                  <w:sz w:val="20"/>
                  <w:u w:val="single"/>
                </w:rPr>
                <w:t>Certification of Chief Financial Officer Pursuant to Rules 13a</w:t>
                <w:noBreakHyphen/>
                <w:t>14(a) and 15d</w:t>
                <w:noBreakHyphen/>
                <w:t>14(a) under the Securities Exchange Act of 1934, as Adopted Pursuant to Section 302 of the Sarbanes-Oxley Act of 2002.</w:t>
              </w:r>
            </w:hyperlink>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5726" w:type="dxa"/>
            <w:tcBorders/>
            <w:tcMar>
              <w:top w:w="0" w:type="dxa"/>
              <w:left w:w="0" w:type="dxa"/>
              <w:bottom w:w="0" w:type="dxa"/>
              <w:right w:w="0" w:type="dxa"/>
            </w:tcMar>
            <w:vAlign w:val="center"/>
          </w:tcPr>
          <w:p>
            <w:pPr>
              <w:pStyle w:val="TableContents"/>
              <w:bidi w:val="0"/>
              <w:spacing w:before="0" w:after="283"/>
              <w:jc w:val="left"/>
              <w:rPr/>
            </w:pPr>
            <w:hyperlink w:anchor="olma-ex32_1.htm">
              <w:r>
                <w:rPr>
                  <w:rStyle w:val="InternetLink"/>
                  <w:rFonts w:ascii="Arial" w:hAnsi="Arial"/>
                  <w:color w:val="0000FF"/>
                  <w:sz w:val="20"/>
                  <w:u w:val="single"/>
                </w:rPr>
                <w:t>Certification of Chief Executive Officer and Chief Financial Officer Pursuant to 18 U.S.C. Section 1350, as Adopted Pursuant to Section 906 of the Sarbanes-Oxley Act of 2002.</w:t>
              </w:r>
            </w:hyperlink>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57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as its XBRL tags are embedded within the Inline XBRL document</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57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57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formatted as Inline XBRL and contained in Exhibit 101</w:t>
            </w:r>
          </w:p>
        </w:tc>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Filed herewith.</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Indicates management contract or compensatory plan or arrangement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The certifications attached as Exhibit 32.1 accompany this Quarterly Report on Form 10-Q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irrespective of any general incorporation language contained in any such filing.</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both"/>
        <w:rPr/>
      </w:pPr>
      <w:r>
        <w:rPr/>
        <w:t> </w:t>
      </w:r>
    </w:p>
    <w:tbl>
      <w:tblPr>
        <w:tblW w:w="7608" w:type="dxa"/>
        <w:jc w:val="left"/>
        <w:tblInd w:w="0" w:type="dxa"/>
        <w:tblLayout w:type="fixed"/>
        <w:tblCellMar>
          <w:top w:w="28" w:type="dxa"/>
          <w:left w:w="28" w:type="dxa"/>
          <w:bottom w:w="28" w:type="dxa"/>
          <w:right w:w="28" w:type="dxa"/>
        </w:tblCellMar>
      </w:tblPr>
      <w:tblGrid>
        <w:gridCol w:w="1831"/>
        <w:gridCol w:w="406"/>
        <w:gridCol w:w="5371"/>
      </w:tblGrid>
      <w:tr>
        <w:trPr/>
        <w:tc>
          <w:tcPr>
            <w:tcW w:w="183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71" w:type="dxa"/>
            <w:tcBorders/>
            <w:vAlign w:val="center"/>
          </w:tcPr>
          <w:p>
            <w:pPr>
              <w:pStyle w:val="TableContents"/>
              <w:bidi w:val="0"/>
              <w:spacing w:before="0" w:after="283"/>
              <w:jc w:val="left"/>
              <w:rPr>
                <w:sz w:val="4"/>
                <w:szCs w:val="4"/>
              </w:rPr>
            </w:pPr>
            <w:r>
              <w:rPr>
                <w:sz w:val="4"/>
                <w:szCs w:val="4"/>
              </w:rPr>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5777"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Olema Pharmaceuticals, Inc.</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13,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3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Sean Bohen, M.D., Ph.D.</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Sean Bohen, M.D., Ph.D.</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President and Chief Executive Officer</w:t>
            </w:r>
          </w:p>
          <w:p>
            <w:pPr>
              <w:pStyle w:val="TableContents"/>
              <w:bidi w:val="0"/>
              <w:spacing w:before="0" w:after="283"/>
              <w:jc w:val="center"/>
              <w:rPr>
                <w:rFonts w:ascii="Times New Roman" w:hAnsi="Times New Roman"/>
                <w:sz w:val="20"/>
              </w:rPr>
            </w:pPr>
            <w:r>
              <w:rPr>
                <w:rFonts w:ascii="Arial" w:hAnsi="Arial"/>
                <w:color w:val="000000"/>
                <w:sz w:val="20"/>
              </w:rPr>
              <w:t>(</w:t>
            </w:r>
            <w:r>
              <w:rPr>
                <w:rFonts w:ascii="Arial" w:hAnsi="Arial"/>
                <w:i/>
                <w:color w:val="000000"/>
                <w:sz w:val="20"/>
              </w:rPr>
              <w:t>Principal Executive Officer</w:t>
            </w:r>
            <w:r>
              <w:rPr>
                <w:rFonts w:ascii="Arial" w:hAnsi="Arial"/>
                <w:color w:val="000000"/>
                <w:sz w:val="20"/>
              </w:rPr>
              <w:t>)</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5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5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13,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3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Shane Kovacs</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Shane Kovacs</w:t>
            </w:r>
          </w:p>
        </w:tc>
      </w:tr>
      <w:tr>
        <w:trPr/>
        <w:tc>
          <w:tcPr>
            <w:tcW w:w="183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Chief Operating and Financial Officer</w:t>
            </w:r>
          </w:p>
          <w:p>
            <w:pPr>
              <w:pStyle w:val="TableContents"/>
              <w:bidi w:val="0"/>
              <w:spacing w:before="0" w:after="283"/>
              <w:jc w:val="center"/>
              <w:rPr>
                <w:rFonts w:ascii="Times New Roman" w:hAnsi="Times New Roman"/>
                <w:sz w:val="20"/>
              </w:rPr>
            </w:pPr>
            <w:r>
              <w:rPr>
                <w:rFonts w:ascii="Arial" w:hAnsi="Arial"/>
                <w:color w:val="000000"/>
                <w:sz w:val="20"/>
              </w:rPr>
              <w:t>(</w:t>
            </w:r>
            <w:r>
              <w:rPr>
                <w:rFonts w:ascii="Arial" w:hAnsi="Arial"/>
                <w:i/>
                <w:color w:val="000000"/>
                <w:sz w:val="20"/>
              </w:rPr>
              <w:t>Principal Financial Officer and Principal Accounting Officer</w:t>
            </w:r>
            <w:r>
              <w:rPr>
                <w:rFonts w:ascii="Arial" w:hAnsi="Arial"/>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107</w:t>
      </w:r>
    </w:p>
    <w:p>
      <w:pPr>
        <w:pStyle w:val="HorizontalLine"/>
        <w:pBdr>
          <w:bottom w:val="double" w:sz="2" w:space="0" w:color="808080"/>
        </w:pBdr>
        <w:bidi w:val="0"/>
        <w:spacing w:before="0" w:after="283"/>
        <w:jc w:val="left"/>
        <w:rPr/>
      </w:pPr>
      <w:r>
        <w:rPr/>
      </w:r>
    </w:p>
    <w:p>
      <w:pPr>
        <w:pStyle w:val="TextBody"/>
        <w:bidi w:val="0"/>
        <w:jc w:val="right"/>
        <w:rPr/>
      </w:pPr>
      <w:bookmarkStart w:id="21" w:name="olma-ex10_1.htm"/>
      <w:bookmarkStart w:id="22" w:name="ksolmaex10_1"/>
      <w:bookmarkEnd w:id="21"/>
      <w:bookmarkEnd w:id="22"/>
      <w:r>
        <w:rPr/>
        <w:t> </w:t>
      </w:r>
      <w:r>
        <w:br w:type="page"/>
      </w:r>
    </w:p>
    <w:p>
      <w:pPr>
        <w:pStyle w:val="TextBody"/>
        <w:bidi w:val="0"/>
        <w:jc w:val="right"/>
        <w:rPr>
          <w:rFonts w:ascii="Times New Roman" w:hAnsi="Times New Roman"/>
          <w:b/>
          <w:smallCaps/>
          <w:color w:val="000000"/>
          <w:sz w:val="24"/>
        </w:rPr>
      </w:pPr>
      <w:r>
        <w:rPr>
          <w:rFonts w:ascii="Times New Roman" w:hAnsi="Times New Roman"/>
          <w:b/>
          <w:smallCaps/>
          <w:color w:val="000000"/>
          <w:sz w:val="24"/>
        </w:rPr>
        <w:t>Exhibit 10.1</w:t>
      </w:r>
    </w:p>
    <w:p>
      <w:pPr>
        <w:pStyle w:val="TextBody"/>
        <w:bidi w:val="0"/>
        <w:jc w:val="center"/>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Olema Pharmaceuticals, Inc.</w:t>
      </w:r>
    </w:p>
    <w:p>
      <w:pPr>
        <w:pStyle w:val="TextBody"/>
        <w:bidi w:val="0"/>
        <w:jc w:val="center"/>
        <w:rPr/>
      </w:pPr>
      <w:r>
        <w:rPr/>
        <w:t> </w:t>
      </w:r>
    </w:p>
    <w:p>
      <w:pPr>
        <w:pStyle w:val="TextBody"/>
        <w:bidi w:val="0"/>
        <w:jc w:val="center"/>
        <w:rPr>
          <w:rFonts w:ascii="Times New Roman" w:hAnsi="Times New Roman"/>
          <w:b/>
          <w:smallCaps/>
          <w:color w:val="000000"/>
          <w:sz w:val="24"/>
        </w:rPr>
      </w:pPr>
      <w:r>
        <w:rPr>
          <w:rFonts w:ascii="Times New Roman" w:hAnsi="Times New Roman"/>
          <w:b/>
          <w:smallCaps/>
          <w:color w:val="000000"/>
          <w:sz w:val="24"/>
        </w:rPr>
        <w:t>Non-Employee Director Compensation Policy</w:t>
      </w:r>
    </w:p>
    <w:p>
      <w:pPr>
        <w:pStyle w:val="TextBody"/>
        <w:pBdr>
          <w:bottom w:val="single" w:sz="4" w:space="9" w:color="000000"/>
        </w:pBdr>
        <w:bidi w:val="0"/>
        <w:spacing w:before="0" w:after="240"/>
        <w:jc w:val="left"/>
        <w:rPr/>
      </w:pPr>
      <w:r>
        <w:rPr/>
        <w:t> </w:t>
      </w:r>
    </w:p>
    <w:p>
      <w:pPr>
        <w:pStyle w:val="TextBody"/>
        <w:bidi w:val="0"/>
        <w:jc w:val="both"/>
        <w:rPr>
          <w:rFonts w:ascii="Times New Roman" w:hAnsi="Times New Roman"/>
          <w:sz w:val="20"/>
        </w:rPr>
      </w:pPr>
      <w:r>
        <w:rPr>
          <w:rFonts w:ascii="Times New Roman" w:hAnsi="Times New Roman"/>
          <w:color w:val="000000"/>
          <w:sz w:val="22"/>
        </w:rPr>
        <w:t>Each member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Olema Pharmaceuticals,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who is not also serving as an employee of the Company or any of its subsidiaries (each such member, an “</w:t>
      </w:r>
      <w:r>
        <w:rPr>
          <w:rFonts w:ascii="Times New Roman" w:hAnsi="Times New Roman"/>
          <w:b/>
          <w:i/>
          <w:color w:val="000000"/>
          <w:sz w:val="22"/>
        </w:rPr>
        <w:t>Eligible Director</w:t>
      </w:r>
      <w:r>
        <w:rPr>
          <w:rFonts w:ascii="Times New Roman" w:hAnsi="Times New Roman"/>
          <w:color w:val="000000"/>
          <w:sz w:val="20"/>
        </w:rPr>
        <w:t>”</w:t>
      </w:r>
      <w:r>
        <w:rPr>
          <w:rFonts w:ascii="Times New Roman" w:hAnsi="Times New Roman"/>
          <w:color w:val="000000"/>
          <w:sz w:val="22"/>
        </w:rPr>
        <w:t>) will receive the compensation described in this Non-Employee Director Compensation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An Eligible Director may decline all or any portion of his or her compensation by giving notice to the Company prior to the date cash is to be paid or equity awards are to be granted, as the case may be. This Policy may be amended at any time in the sole discretion of the Board, or by the Compensation Committee of the Board at the recommendation of the Board.</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Annual Cash Compensation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annual cash compensation amount set forth below is payable to Eligible Directors in equal quarterly installments, payable in arrears on the last day of each fiscal quarter in which the service occurred. If an Eligible Director joins the Board or a committee of the Board at a time other than effective as of the first day of a fiscal quarter, his or her first quarterly installment will be pro-rated based on days served in the applicable quarter. All annual cash fees are vested upon payment.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Annual Board Service Retainer</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a. All Eligible Directors: $40,000</w:t>
      </w:r>
    </w:p>
    <w:p>
      <w:pPr>
        <w:pStyle w:val="TextBody"/>
        <w:bidi w:val="0"/>
        <w:jc w:val="both"/>
        <w:rPr>
          <w:rFonts w:ascii="Times New Roman" w:hAnsi="Times New Roman"/>
          <w:color w:val="000000"/>
          <w:sz w:val="22"/>
        </w:rPr>
      </w:pPr>
      <w:r>
        <w:rPr>
          <w:rFonts w:ascii="Times New Roman" w:hAnsi="Times New Roman"/>
          <w:color w:val="000000"/>
          <w:sz w:val="22"/>
        </w:rPr>
        <w:t>b. Non-executive chairperson of the Board: $70,000 (inclusive of Annual Board Service Retainer)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Annual Committee Member (non-Chair) Service Retainer</w:t>
      </w:r>
      <w:r>
        <w:rPr>
          <w:rFonts w:ascii="Times New Roman" w:hAnsi="Times New Roman"/>
          <w:color w:val="000000"/>
          <w:sz w:val="22"/>
        </w:rPr>
        <w:t>:</w:t>
      </w:r>
    </w:p>
    <w:p>
      <w:pPr>
        <w:pStyle w:val="TextBody"/>
        <w:bidi w:val="0"/>
        <w:jc w:val="both"/>
        <w:rPr>
          <w:rFonts w:ascii="Times New Roman" w:hAnsi="Times New Roman"/>
          <w:color w:val="000000"/>
          <w:sz w:val="22"/>
        </w:rPr>
      </w:pPr>
      <w:r>
        <w:rPr>
          <w:rFonts w:ascii="Times New Roman" w:hAnsi="Times New Roman"/>
          <w:color w:val="000000"/>
          <w:sz w:val="22"/>
        </w:rPr>
        <w:t>a. Member of the Audit Committee: $8,000 until June 30, 2025; $10,000 thereafter</w:t>
      </w:r>
    </w:p>
    <w:p>
      <w:pPr>
        <w:pStyle w:val="TextBody"/>
        <w:bidi w:val="0"/>
        <w:jc w:val="both"/>
        <w:rPr>
          <w:rFonts w:ascii="Times New Roman" w:hAnsi="Times New Roman"/>
          <w:color w:val="000000"/>
          <w:sz w:val="22"/>
        </w:rPr>
      </w:pPr>
      <w:r>
        <w:rPr>
          <w:rFonts w:ascii="Times New Roman" w:hAnsi="Times New Roman"/>
          <w:color w:val="000000"/>
          <w:sz w:val="22"/>
        </w:rPr>
        <w:t>b. Member of the Compensation Committee: $6,000 until June 30, 2025; $7,500 thereafter</w:t>
      </w:r>
    </w:p>
    <w:p>
      <w:pPr>
        <w:pStyle w:val="TextBody"/>
        <w:bidi w:val="0"/>
        <w:jc w:val="both"/>
        <w:rPr>
          <w:rFonts w:ascii="Times New Roman" w:hAnsi="Times New Roman"/>
          <w:color w:val="000000"/>
          <w:sz w:val="22"/>
        </w:rPr>
      </w:pPr>
      <w:r>
        <w:rPr>
          <w:rFonts w:ascii="Times New Roman" w:hAnsi="Times New Roman"/>
          <w:color w:val="000000"/>
          <w:sz w:val="22"/>
        </w:rPr>
        <w:t>c. Member of the Nominating and Corporate Governance Committee: $5,000</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Annual Committee Chair Service Retainer (inclusive of Committee Member Service Retainer):</w:t>
      </w:r>
    </w:p>
    <w:p>
      <w:pPr>
        <w:pStyle w:val="TextBody"/>
        <w:bidi w:val="0"/>
        <w:jc w:val="both"/>
        <w:rPr>
          <w:rFonts w:ascii="Times New Roman" w:hAnsi="Times New Roman"/>
          <w:color w:val="000000"/>
          <w:sz w:val="22"/>
        </w:rPr>
      </w:pPr>
      <w:r>
        <w:rPr>
          <w:rFonts w:ascii="Times New Roman" w:hAnsi="Times New Roman"/>
          <w:color w:val="000000"/>
          <w:sz w:val="22"/>
        </w:rPr>
        <w:t>a. Chairperson of the Audit Committee: $18,750 until June 30, 2025; $20,000 thereafter</w:t>
      </w:r>
    </w:p>
    <w:p>
      <w:pPr>
        <w:pStyle w:val="TextBody"/>
        <w:bidi w:val="0"/>
        <w:jc w:val="both"/>
        <w:rPr>
          <w:rFonts w:ascii="Times New Roman" w:hAnsi="Times New Roman"/>
          <w:color w:val="000000"/>
          <w:sz w:val="22"/>
        </w:rPr>
      </w:pPr>
      <w:r>
        <w:rPr>
          <w:rFonts w:ascii="Times New Roman" w:hAnsi="Times New Roman"/>
          <w:color w:val="000000"/>
          <w:sz w:val="22"/>
        </w:rPr>
        <w:t>b. Chairperson of the Compensation Committee: $12,000 until June 30, 2025; $15,000 thereafter</w:t>
      </w:r>
    </w:p>
    <w:p>
      <w:pPr>
        <w:pStyle w:val="TextBody"/>
        <w:bidi w:val="0"/>
        <w:jc w:val="both"/>
        <w:rPr>
          <w:rFonts w:ascii="Times New Roman" w:hAnsi="Times New Roman"/>
          <w:color w:val="000000"/>
          <w:sz w:val="22"/>
        </w:rPr>
      </w:pPr>
      <w:r>
        <w:rPr>
          <w:rFonts w:ascii="Times New Roman" w:hAnsi="Times New Roman"/>
          <w:color w:val="000000"/>
          <w:sz w:val="22"/>
        </w:rPr>
        <w:t>c. Chairperson of the Nominating and Corporate Governance Committee: $10,000</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Company will also reimburse each of the Eligible Directors for his or her travel expenses incurred in connection with his or her attendance at Board and committee meetings. Such reimbursements shall be paid on the same date as the annual cash fees are paid.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Equity Compensation</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The equity compensation set forth below will be granted under the Company’s 2020 Equity Incentive Plan, as the same may be amended or restated from time to time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Capitalized terms used below not otherwise defined in this Policy shall have the meanings given to them in the Plan All stock options granted under this Policy will be nonstatutory stock options, with an exercise price per share equal to 100% of the Fair Market Value (as defined in the Plan) of the underlying common stock on the date of grant, a term of 10 years from the date of grant (subject to earlier termination in connection with a termination of service as provided in the Plan), and subject to all the terms, conditions and limits set forth in the Plan and the applicable award agreement. For the avoidance of doubt, the share numbers in this Policy shall be subject to adjustment as provided in the Plan.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Initial Grant</w:t>
      </w:r>
      <w:r>
        <w:rPr>
          <w:rFonts w:ascii="Times New Roman" w:hAnsi="Times New Roman"/>
          <w:color w:val="000000"/>
          <w:sz w:val="22"/>
        </w:rPr>
        <w:t>: For each Eligible Director who is first elected or appointed to the Board after the effective date of this Policy, on the date of such Eligible Director’s initial election or appointment to the Board (or, if such date is not a market trading day, the first market trading day thereafter), the Eligible Director will be automatically, and without further action by the Board or Compensation Committee of the Board, granted a stock option to purchase a number of shares of the Company’s common stock equal to 24,150 shares of the Company’s common stock. The shares subject to each such stock option will vest monthly over a three-year period, subject to the Eligible Director’s Continuous Service on each vesting date, and will vest in full upon a Change in Control, subject to the Eligible Director’s Continuous Service through such date. In addition, on the date of such Eligible Director’s initial election or appointment to the Board (or, if such date is not a market trading day, the first market trading day thereafter), such Eligible Director shall automatically, and without further action by the Board or Compensation Committee of the Board, be granted an additional stock option representing the Annual Grant (as defined below) he or she would have received had he or she been elected to the Board at the prior annual meeting of stockholders, pro-rated for the partial year of service. For example, if an Eligible Director is appointed to the Board on December 1, 2025, and the Company’s last annual meeting were on June 1, 2026, the Eligible Director would receive an additional pro-rated grant for 50% of the Annual Grant, with such pro-rated grant vesting upon the earlier of (a) the first anniversary of the date the Annual Grants to non-employee directors were last made and (b) the next annual meeting of stockholders. Such additional option will vest in full upon a Change in Control, subject to the Eligible Director’s Continuous Service through such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Annual Grant</w:t>
      </w:r>
      <w:r>
        <w:rPr>
          <w:rFonts w:ascii="Times New Roman" w:hAnsi="Times New Roman"/>
          <w:color w:val="000000"/>
          <w:sz w:val="22"/>
        </w:rPr>
        <w:t>: On the first market trading day after each annual stockholders meeting of the Company, each Eligible Director who continues to serve as a member of the Board through and following such stockholders meeting will be automatically, and without further action by the Board or Compensation Committee of the Board, granted a stock option to purchase 24,150 shares of the Company’s common stock (the “</w:t>
      </w:r>
      <w:r>
        <w:rPr>
          <w:rFonts w:ascii="Times New Roman" w:hAnsi="Times New Roman"/>
          <w:b/>
          <w:i/>
          <w:color w:val="000000"/>
          <w:sz w:val="22"/>
        </w:rPr>
        <w:t>Annual Grant</w:t>
      </w:r>
      <w:r>
        <w:rPr>
          <w:rFonts w:ascii="Times New Roman" w:hAnsi="Times New Roman"/>
          <w:color w:val="000000"/>
          <w:sz w:val="20"/>
        </w:rPr>
        <w:t>”</w:t>
      </w:r>
      <w:r>
        <w:rPr>
          <w:rFonts w:ascii="Times New Roman" w:hAnsi="Times New Roman"/>
          <w:color w:val="000000"/>
          <w:sz w:val="22"/>
        </w:rPr>
        <w:t>). The shares subject to each such stock option will vest monthly over a one-year period following the grant date, and will vest in full on the date of the Company’s next annual stockholders meeting if such stock option is not otherwise fully vested by such date, subject to the Eligible Director’s Continuous Service on each vesting date. Such option will vest in full upon a Change in Control, subject to the Eligible Director’s Continuous Service through such date.</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Compensation Limits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Notwithstanding anything to the contrary in this Policy, all compensation payable under this Policy will be subject to any limits on the maximum amount of Eligible Director compensation set forth in the Plan, as in effect from time to time.</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Adopted by the Board of Directors: March 18, 2025</w:t>
      </w:r>
    </w:p>
    <w:p>
      <w:pPr>
        <w:pStyle w:val="TextBody"/>
        <w:bidi w:val="0"/>
        <w:jc w:val="both"/>
        <w:rPr>
          <w:rFonts w:ascii="Times New Roman" w:hAnsi="Times New Roman"/>
          <w:b/>
          <w:color w:val="000000"/>
          <w:sz w:val="22"/>
        </w:rPr>
      </w:pPr>
      <w:r>
        <w:rPr>
          <w:rFonts w:ascii="Times New Roman" w:hAnsi="Times New Roman"/>
          <w:b/>
          <w:color w:val="000000"/>
          <w:sz w:val="22"/>
        </w:rPr>
        <w:t>Effective: March 18, 2025</w:t>
      </w:r>
    </w:p>
    <w:p>
      <w:pPr>
        <w:pStyle w:val="TextBody"/>
        <w:bidi w:val="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3" w:name="olma-ex31_1.htm"/>
      <w:bookmarkStart w:id="24" w:name="ksolmaex31_1"/>
      <w:bookmarkEnd w:id="23"/>
      <w:bookmarkEnd w:id="24"/>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Sean Bohen,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Olema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58" w:type="dxa"/>
        <w:jc w:val="left"/>
        <w:tblInd w:w="0" w:type="dxa"/>
        <w:tblLayout w:type="fixed"/>
        <w:tblCellMar>
          <w:top w:w="28" w:type="dxa"/>
          <w:left w:w="28" w:type="dxa"/>
          <w:bottom w:w="28" w:type="dxa"/>
          <w:right w:w="28" w:type="dxa"/>
        </w:tblCellMar>
      </w:tblPr>
      <w:tblGrid>
        <w:gridCol w:w="1741"/>
        <w:gridCol w:w="406"/>
        <w:gridCol w:w="321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Bohen, M.D., Ph.D.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Bohen, M.D., Ph.D.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5" w:name="olma-ex31_2.htm"/>
      <w:bookmarkStart w:id="26" w:name="ksolmaex31_2"/>
      <w:bookmarkEnd w:id="25"/>
      <w:bookmarkEnd w:id="26"/>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Shane Kovacs,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Olema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018" w:type="dxa"/>
        <w:jc w:val="left"/>
        <w:tblInd w:w="0" w:type="dxa"/>
        <w:tblLayout w:type="fixed"/>
        <w:tblCellMar>
          <w:top w:w="28" w:type="dxa"/>
          <w:left w:w="28" w:type="dxa"/>
          <w:bottom w:w="28" w:type="dxa"/>
          <w:right w:w="28" w:type="dxa"/>
        </w:tblCellMar>
      </w:tblPr>
      <w:tblGrid>
        <w:gridCol w:w="1741"/>
        <w:gridCol w:w="406"/>
        <w:gridCol w:w="387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Shane Kovacs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Shane Kovacs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and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olma-ex32_1.htm"/>
      <w:bookmarkStart w:id="28" w:name="ksolmaex32_1"/>
      <w:bookmarkEnd w:id="27"/>
      <w:bookmarkEnd w:id="28"/>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AND CHIEF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Sean Bohen, M.D. Ph.D., Chief Executive Officer of Olema Pharmaceuticals, Inc. (the “Company”), and Shane Kovacs, Chief Financial Officer of the Company, each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March 31, 2025, to which this Certification is attached as Exhibit 32.1 (the “Periodic Report”), fully complies with the requirements of Section 13(a) or Section 15(d) of the Exchange Act;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jc w:val="left"/>
        <w:rPr/>
      </w:pPr>
      <w:r>
        <w:rPr/>
        <w:t> </w:t>
      </w:r>
    </w:p>
    <w:tbl>
      <w:tblPr>
        <w:tblW w:w="5358" w:type="dxa"/>
        <w:jc w:val="left"/>
        <w:tblInd w:w="0" w:type="dxa"/>
        <w:tblLayout w:type="fixed"/>
        <w:tblCellMar>
          <w:top w:w="28" w:type="dxa"/>
          <w:left w:w="28" w:type="dxa"/>
          <w:bottom w:w="28" w:type="dxa"/>
          <w:right w:w="28" w:type="dxa"/>
        </w:tblCellMar>
      </w:tblPr>
      <w:tblGrid>
        <w:gridCol w:w="1741"/>
        <w:gridCol w:w="406"/>
        <w:gridCol w:w="321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Bohen, M.D., Ph.D.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Bohen, M.D., Ph.D.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Shane Kovacs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Shane Kovacs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and Financial Officer</w:t>
            </w:r>
          </w:p>
        </w:tc>
      </w:tr>
    </w:tbl>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Olema Pharmaceuticals,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0284/000119312525002157/d901834dex12.htm" TargetMode="External"/><Relationship Id="rId3" Type="http://schemas.openxmlformats.org/officeDocument/2006/relationships/hyperlink" Target="https://www.sec.gov/Archives/edgar/data/1750284/000110465920128482/tm2027048d18_ex3-1.htm" TargetMode="External"/><Relationship Id="rId4" Type="http://schemas.openxmlformats.org/officeDocument/2006/relationships/hyperlink" Target="https://www.sec.gov/Archives/edgar/data/1750284/000155837022018762/olma-20221215xex3d1.htm" TargetMode="External"/><Relationship Id="rId5" Type="http://schemas.openxmlformats.org/officeDocument/2006/relationships/hyperlink" Target="https://www.sec.gov/Archives/edgar/data/1750284/000119312525004427/d915597dex41.htm" TargetMode="External"/><Relationship Id="rId6" Type="http://schemas.openxmlformats.org/officeDocument/2006/relationships/hyperlink" Target="https://www.sec.gov/Archives/edgar/data/1750284/000095017025041204/olma-ex10_18.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69683</Words>
  <Characters>394655</Characters>
  <CharactersWithSpaces>464407</CharactersWithSpaces>
  <Paragraphs>5237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