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olma-20230930x10q.htm"/>
        <w:bookmarkStart w:id="1" w:name="ksolma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36"/>
        </w:rPr>
      </w:pPr>
      <w:bookmarkStart w:id="2" w:name="_173befb2_d4cb_4be9_bb76_3fb0dbc25f68"/>
      <w:bookmarkEnd w:id="2"/>
      <w:r>
        <w:rPr>
          <w:rFonts w:ascii="Arial;Helvetica;sans-serif" w:hAnsi="Arial;Helvetica;sans-serif"/>
          <w:b/>
          <w:sz w:val="36"/>
        </w:rPr>
        <w:t>UNITED STATES</w:t>
      </w:r>
    </w:p>
    <w:p>
      <w:pPr>
        <w:pStyle w:val="TextBody"/>
        <w:bidi w:val="0"/>
        <w:spacing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bidi w:val="0"/>
        <w:spacing w:before="0" w:after="14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before="0" w:after="140"/>
        <w:ind w:left="0" w:right="0" w:hanging="0"/>
        <w:jc w:val="center"/>
        <w:rPr>
          <w:rFonts w:ascii="Arial;Helvetica;sans-serif" w:hAnsi="Arial;Helvetica;sans-serif"/>
          <w:b/>
          <w:sz w:val="36"/>
        </w:rPr>
      </w:pPr>
      <w:r>
        <w:rPr>
          <w:rFonts w:ascii="Arial;Helvetica;sans-serif" w:hAnsi="Arial;Helvetica;sans-serif"/>
          <w:b/>
          <w:sz w:val="36"/>
        </w:rPr>
        <w:t>FORM 10-Q</w:t>
      </w:r>
    </w:p>
    <w:p>
      <w:pPr>
        <w:pStyle w:val="TextBody"/>
        <w:bidi w:val="0"/>
        <w:spacing w:before="0" w:after="240"/>
        <w:ind w:left="0" w:right="0" w:hanging="0"/>
        <w:jc w:val="center"/>
        <w:rPr/>
      </w:pPr>
      <w:r>
        <w:rPr/>
        <w:t>​</w:t>
      </w:r>
    </w:p>
    <w:p>
      <w:pPr>
        <w:pStyle w:val="TextBody"/>
        <w:bidi w:val="0"/>
        <w:spacing w:before="0" w:after="140"/>
        <w:ind w:left="0" w:right="0" w:hanging="0"/>
        <w:jc w:val="left"/>
        <w:rPr>
          <w:rFonts w:ascii="Arial;Helvetica;sans-serif" w:hAnsi="Arial;Helvetica;sans-serif"/>
          <w:b/>
          <w:sz w:val="16"/>
        </w:rPr>
      </w:pPr>
      <w:r>
        <w:rPr>
          <w:rFonts w:ascii="Arial;Helvetica;sans-serif" w:hAnsi="Arial;Helvetica;sans-serif"/>
          <w:b/>
          <w:sz w:val="16"/>
        </w:rPr>
        <w:t>(Mark One)</w:t>
      </w:r>
    </w:p>
    <w:p>
      <w:pPr>
        <w:pStyle w:val="Normal"/>
        <w:bidi w:val="0"/>
        <w:spacing w:before="0" w:after="0"/>
        <w:jc w:val="left"/>
        <w:rPr>
          <w:sz w:val="4"/>
          <w:szCs w:val="4"/>
        </w:rPr>
      </w:pPr>
      <w:r>
        <w:rPr>
          <w:sz w:val="4"/>
          <w:szCs w:val="4"/>
        </w:rPr>
      </w:r>
      <w:bookmarkStart w:id="3" w:name="Tc_y6AUBF6kS0OOMAXr0ELJcQ_1_1"/>
      <w:bookmarkStart w:id="4" w:name="_bfe7ed3b_44ab_4753_a074_d8d944fe88b7"/>
      <w:bookmarkStart w:id="5" w:name="Tc_y6AUBF6kS0OOMAXr0ELJcQ_1_1"/>
      <w:bookmarkStart w:id="6" w:name="_bfe7ed3b_44ab_4753_a074_d8d944fe88b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For the quarterly period ended September 30, 2023</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OR</w:t>
      </w:r>
    </w:p>
    <w:p>
      <w:pPr>
        <w:pStyle w:val="Normal"/>
        <w:bidi w:val="0"/>
        <w:spacing w:before="0" w:after="0"/>
        <w:jc w:val="left"/>
        <w:rPr>
          <w:sz w:val="4"/>
          <w:szCs w:val="4"/>
        </w:rPr>
      </w:pPr>
      <w:r>
        <w:rPr>
          <w:sz w:val="4"/>
          <w:szCs w:val="4"/>
        </w:rPr>
      </w:r>
      <w:bookmarkStart w:id="7" w:name="Tc_Cpr7rhe9Bky3eQeY3FZwXQ_1_1"/>
      <w:bookmarkStart w:id="8" w:name="_8418304c_393a_49f4_a6d6_864d5844c8c1"/>
      <w:bookmarkStart w:id="9" w:name="Tc_Cpr7rhe9Bky3eQeY3FZwXQ_1_1"/>
      <w:bookmarkStart w:id="10" w:name="_8418304c_393a_49f4_a6d6_864d5844c8c1"/>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transition period from _______ to _______</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Commission File Number: 001-39712</w:t>
      </w:r>
    </w:p>
    <w:p>
      <w:pPr>
        <w:pStyle w:val="TextBody"/>
        <w:bidi w:val="0"/>
        <w:spacing w:before="0" w:after="0"/>
        <w:ind w:left="0" w:right="0" w:hanging="0"/>
        <w:jc w:val="center"/>
        <w:rPr>
          <w:rFonts w:ascii="Arial;Helvetica;sans-serif" w:hAnsi="Arial;Helvetica;sans-serif"/>
          <w:b/>
          <w:sz w:val="48"/>
        </w:rPr>
      </w:pPr>
      <w:r>
        <w:rPr>
          <w:rFonts w:ascii="Arial;Helvetica;sans-serif" w:hAnsi="Arial;Helvetica;sans-serif"/>
          <w:b/>
          <w:sz w:val="48"/>
        </w:rPr>
        <w:t>OLEMA PHARMACEUTICALS, INC.</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(Exact Name of Registrant as Specified in its Charter)</w:t>
      </w:r>
    </w:p>
    <w:p>
      <w:pPr>
        <w:pStyle w:val="Normal"/>
        <w:bidi w:val="0"/>
        <w:spacing w:before="0" w:after="0"/>
        <w:jc w:val="left"/>
        <w:rPr>
          <w:sz w:val="4"/>
          <w:szCs w:val="4"/>
        </w:rPr>
      </w:pPr>
      <w:r>
        <w:rPr>
          <w:sz w:val="4"/>
          <w:szCs w:val="4"/>
        </w:rPr>
      </w:r>
      <w:bookmarkStart w:id="11" w:name="Tc_wq8PF3JX2k2ngVgJXlD-YQ_4_1"/>
      <w:bookmarkStart w:id="12" w:name="Tc_G4dD-lR87UmOq2Ey6rd7zA_4_0"/>
      <w:bookmarkStart w:id="13" w:name="Tc_09rvK3J4Vk2Szm7ORJrYqg_3_0"/>
      <w:bookmarkStart w:id="14" w:name="Tc_qlNvH5OuCkqJ0-beQV1Jog_2_1"/>
      <w:bookmarkStart w:id="15" w:name="Tc_2SDB_eARkU6RAs6av4eQgQ_2_0"/>
      <w:bookmarkStart w:id="16" w:name="_ff2997ac_9b48_48f0_959a_f7c7c3fb3d13"/>
      <w:bookmarkStart w:id="17" w:name="Tc_wq8PF3JX2k2ngVgJXlD-YQ_4_1"/>
      <w:bookmarkStart w:id="18" w:name="Tc_G4dD-lR87UmOq2Ey6rd7zA_4_0"/>
      <w:bookmarkStart w:id="19" w:name="Tc_09rvK3J4Vk2Szm7ORJrYqg_3_0"/>
      <w:bookmarkStart w:id="20" w:name="Tc_qlNvH5OuCkqJ0-beQV1Jog_2_1"/>
      <w:bookmarkStart w:id="21" w:name="Tc_2SDB_eARkU6RAs6av4eQgQ_2_0"/>
      <w:bookmarkStart w:id="22" w:name="_ff2997ac_9b48_48f0_959a_f7c7c3fb3d13"/>
      <w:bookmarkEnd w:id="17"/>
      <w:bookmarkEnd w:id="18"/>
      <w:bookmarkEnd w:id="19"/>
      <w:bookmarkEnd w:id="20"/>
      <w:bookmarkEnd w:id="21"/>
      <w:bookmarkEnd w:id="22"/>
    </w:p>
    <w:tbl>
      <w:tblPr>
        <w:tblW w:w="3947" w:type="dxa"/>
        <w:jc w:val="left"/>
        <w:tblInd w:w="0" w:type="dxa"/>
        <w:tblLayout w:type="fixed"/>
        <w:tblCellMar>
          <w:top w:w="0" w:type="dxa"/>
          <w:left w:w="0" w:type="dxa"/>
          <w:bottom w:w="0" w:type="dxa"/>
          <w:right w:w="0" w:type="dxa"/>
        </w:tblCellMar>
      </w:tblPr>
      <w:tblGrid>
        <w:gridCol w:w="2656"/>
        <w:gridCol w:w="12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2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129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30-0409740</w:t>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(State or other jurisdiction of</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incorporation or organization)</w:t>
            </w:r>
          </w:p>
        </w:tc>
        <w:tc>
          <w:tcPr>
            <w:tcW w:w="129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b/>
                <w:sz w:val="14"/>
              </w:rPr>
              <w:t>(I.R.S. Employer</w:t>
            </w:r>
            <w:r>
              <w:rPr>
                <w:rFonts w:ascii="Arial;Helvetica;sans-serif" w:hAnsi="Arial;Helvetica;sans-serif"/>
                <w:sz w:val="14"/>
              </w:rPr>
              <w:br/>
            </w:r>
            <w:r>
              <w:rPr>
                <w:rFonts w:ascii="Arial;Helvetica;sans-serif" w:hAnsi="Arial;Helvetica;sans-serif"/>
                <w:b/>
                <w:sz w:val="14"/>
              </w:rPr>
              <w:t>Identification No.)</w:t>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780 Brannan Street</w:t>
            </w:r>
          </w:p>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San Francisco, CA</w:t>
            </w:r>
          </w:p>
        </w:tc>
        <w:tc>
          <w:tcPr>
            <w:tcW w:w="129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94103</w:t>
            </w:r>
          </w:p>
        </w:tc>
      </w:tr>
      <w:tr>
        <w:trPr/>
        <w:tc>
          <w:tcPr>
            <w:tcW w:w="265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(Address of principal executive offices)</w:t>
            </w:r>
          </w:p>
        </w:tc>
        <w:tc>
          <w:tcPr>
            <w:tcW w:w="129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(Zip Code)</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Registrant’s telephone number, including area code: (650) 243-5555</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(Former name, former address and former fiscal year, if changed since last report)</w:t>
      </w:r>
    </w:p>
    <w:p>
      <w:pPr>
        <w:pStyle w:val="TextBody"/>
        <w:bidi w:val="0"/>
        <w:spacing w:before="120" w:after="14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Normal"/>
        <w:bidi w:val="0"/>
        <w:spacing w:before="0" w:after="0"/>
        <w:jc w:val="left"/>
        <w:rPr>
          <w:sz w:val="4"/>
          <w:szCs w:val="4"/>
        </w:rPr>
      </w:pPr>
      <w:r>
        <w:rPr>
          <w:sz w:val="4"/>
          <w:szCs w:val="4"/>
        </w:rPr>
      </w:r>
      <w:bookmarkStart w:id="23" w:name="Tc_yXhrigCKskeW7o47X8j69g_2_0"/>
      <w:bookmarkStart w:id="24" w:name="Tc_giXhtO7in0-H7smUSPbZsQ_1_2"/>
      <w:bookmarkStart w:id="25" w:name="Tc_moYUbEYyIUuRFXVb4Zsmug_1_1"/>
      <w:bookmarkStart w:id="26" w:name="Tc_35igdABBW0m_RKteFfDnzw_1_0"/>
      <w:bookmarkStart w:id="27" w:name="_1ac96aaa_9ea1_4f0c_8041_b91cad9d5f19"/>
      <w:bookmarkStart w:id="28" w:name="Tc_yXhrigCKskeW7o47X8j69g_2_0"/>
      <w:bookmarkStart w:id="29" w:name="Tc_giXhtO7in0-H7smUSPbZsQ_1_2"/>
      <w:bookmarkStart w:id="30" w:name="Tc_moYUbEYyIUuRFXVb4Zsmug_1_1"/>
      <w:bookmarkStart w:id="31" w:name="Tc_35igdABBW0m_RKteFfDnzw_1_0"/>
      <w:bookmarkStart w:id="32" w:name="_1ac96aaa_9ea1_4f0c_8041_b91cad9d5f19"/>
      <w:bookmarkEnd w:id="28"/>
      <w:bookmarkEnd w:id="29"/>
      <w:bookmarkEnd w:id="30"/>
      <w:bookmarkEnd w:id="31"/>
      <w:bookmarkEnd w:id="32"/>
    </w:p>
    <w:tbl>
      <w:tblPr>
        <w:tblW w:w="10205" w:type="dxa"/>
        <w:jc w:val="left"/>
        <w:tblInd w:w="0" w:type="dxa"/>
        <w:tblLayout w:type="fixed"/>
        <w:tblCellMar>
          <w:top w:w="0" w:type="dxa"/>
          <w:left w:w="0" w:type="dxa"/>
          <w:bottom w:w="0" w:type="dxa"/>
          <w:right w:w="0" w:type="dxa"/>
        </w:tblCellMar>
      </w:tblPr>
      <w:tblGrid>
        <w:gridCol w:w="3702"/>
        <w:gridCol w:w="1410"/>
        <w:gridCol w:w="5093"/>
      </w:tblGrid>
      <w:tr>
        <w:trPr/>
        <w:tc>
          <w:tcPr>
            <w:tcW w:w="3702" w:type="dxa"/>
            <w:tcBorders/>
            <w:vAlign w:val="center"/>
          </w:tcPr>
          <w:p>
            <w:pPr>
              <w:pStyle w:val="TableContents"/>
              <w:bidi w:val="0"/>
              <w:spacing w:before="0" w:after="283"/>
              <w:ind w:left="0" w:right="0" w:hanging="0"/>
              <w:jc w:val="left"/>
              <w:rPr>
                <w:sz w:val="4"/>
                <w:szCs w:val="4"/>
              </w:rPr>
            </w:pPr>
            <w:r>
              <w:rPr>
                <w:sz w:val="4"/>
                <w:szCs w:val="4"/>
              </w:rPr>
            </w:r>
          </w:p>
        </w:tc>
        <w:tc>
          <w:tcPr>
            <w:tcW w:w="1410" w:type="dxa"/>
            <w:tcBorders/>
            <w:vAlign w:val="center"/>
          </w:tcPr>
          <w:p>
            <w:pPr>
              <w:pStyle w:val="TableContents"/>
              <w:bidi w:val="0"/>
              <w:spacing w:before="0" w:after="283"/>
              <w:ind w:left="0" w:right="0" w:hanging="0"/>
              <w:jc w:val="left"/>
              <w:rPr>
                <w:sz w:val="4"/>
                <w:szCs w:val="4"/>
              </w:rPr>
            </w:pPr>
            <w:r>
              <w:rPr>
                <w:sz w:val="4"/>
                <w:szCs w:val="4"/>
              </w:rPr>
            </w:r>
          </w:p>
        </w:tc>
        <w:tc>
          <w:tcPr>
            <w:tcW w:w="5093" w:type="dxa"/>
            <w:tcBorders/>
            <w:vAlign w:val="center"/>
          </w:tcPr>
          <w:p>
            <w:pPr>
              <w:pStyle w:val="TableContents"/>
              <w:bidi w:val="0"/>
              <w:spacing w:before="0" w:after="283"/>
              <w:ind w:left="0" w:right="0" w:hanging="0"/>
              <w:jc w:val="left"/>
              <w:rPr>
                <w:sz w:val="4"/>
                <w:szCs w:val="4"/>
              </w:rPr>
            </w:pPr>
            <w:r>
              <w:rPr>
                <w:sz w:val="4"/>
                <w:szCs w:val="4"/>
              </w:rPr>
            </w:r>
          </w:p>
        </w:tc>
      </w:tr>
      <w:tr>
        <w:trPr/>
        <w:tc>
          <w:tcPr>
            <w:tcW w:w="3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Title of Each Class of Securities Registered</w:t>
            </w:r>
          </w:p>
        </w:tc>
        <w:tc>
          <w:tcPr>
            <w:tcW w:w="1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Trading Symbol</w:t>
            </w:r>
          </w:p>
        </w:tc>
        <w:tc>
          <w:tcPr>
            <w:tcW w:w="50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Name of Each Exchange on which Securities are Registered</w:t>
            </w:r>
          </w:p>
        </w:tc>
      </w:tr>
      <w:tr>
        <w:trPr/>
        <w:tc>
          <w:tcPr>
            <w:tcW w:w="3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Common Stock, par value $0.0001 per share</w:t>
            </w:r>
          </w:p>
        </w:tc>
        <w:tc>
          <w:tcPr>
            <w:tcW w:w="1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OLMA</w:t>
            </w:r>
          </w:p>
        </w:tc>
        <w:tc>
          <w:tcPr>
            <w:tcW w:w="50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The Nasdaq Global Select Market</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14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14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33" w:name="Tc_E0Tiza6oPEiEV3tZbniEBQ_3_0"/>
      <w:bookmarkStart w:id="34" w:name="Tc_TnJVolDW3k-dGjhvn2dRSg_2_3"/>
      <w:bookmarkStart w:id="35" w:name="Tc_jQwJPI1D6UaoMOTXfpF5QA_2_1"/>
      <w:bookmarkStart w:id="36" w:name="Tc_WLMB5FP98USa464-dUB3NQ_1_4"/>
      <w:bookmarkStart w:id="37" w:name="Tc_9JDKrmsN90qig6frz_5CmQ_1_3"/>
      <w:bookmarkStart w:id="38" w:name="Tc_TCLboEsHBEic78W5Z4qyXQ_1_1"/>
      <w:bookmarkStart w:id="39" w:name="Tc_gooVKwXc5UyGBdXfvSUbLQ_1_0"/>
      <w:bookmarkStart w:id="40" w:name="_9331af3b_6a68_463c_9a7c_80fba0e0dec0"/>
      <w:bookmarkStart w:id="41" w:name="Tc_E0Tiza6oPEiEV3tZbniEBQ_3_0"/>
      <w:bookmarkStart w:id="42" w:name="Tc_TnJVolDW3k-dGjhvn2dRSg_2_3"/>
      <w:bookmarkStart w:id="43" w:name="Tc_jQwJPI1D6UaoMOTXfpF5QA_2_1"/>
      <w:bookmarkStart w:id="44" w:name="Tc_WLMB5FP98USa464-dUB3NQ_1_4"/>
      <w:bookmarkStart w:id="45" w:name="Tc_9JDKrmsN90qig6frz_5CmQ_1_3"/>
      <w:bookmarkStart w:id="46" w:name="Tc_TCLboEsHBEic78W5Z4qyXQ_1_1"/>
      <w:bookmarkStart w:id="47" w:name="Tc_gooVKwXc5UyGBdXfvSUbLQ_1_0"/>
      <w:bookmarkStart w:id="48" w:name="_9331af3b_6a68_463c_9a7c_80fba0e0dec0"/>
      <w:bookmarkEnd w:id="41"/>
      <w:bookmarkEnd w:id="42"/>
      <w:bookmarkEnd w:id="43"/>
      <w:bookmarkEnd w:id="44"/>
      <w:bookmarkEnd w:id="45"/>
      <w:bookmarkEnd w:id="46"/>
      <w:bookmarkEnd w:id="47"/>
      <w:bookmarkEnd w:id="48"/>
    </w:p>
    <w:tbl>
      <w:tblPr>
        <w:tblW w:w="5408" w:type="dxa"/>
        <w:jc w:val="left"/>
        <w:tblInd w:w="0" w:type="dxa"/>
        <w:tblLayout w:type="fixed"/>
        <w:tblCellMar>
          <w:top w:w="0" w:type="dxa"/>
          <w:left w:w="0" w:type="dxa"/>
          <w:bottom w:w="0" w:type="dxa"/>
          <w:right w:w="0" w:type="dxa"/>
        </w:tblCellMar>
      </w:tblPr>
      <w:tblGrid>
        <w:gridCol w:w="2311"/>
        <w:gridCol w:w="316"/>
        <w:gridCol w:w="109"/>
        <w:gridCol w:w="2311"/>
        <w:gridCol w:w="36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40"/>
        <w:ind w:left="0" w:right="0" w:hanging="0"/>
        <w:jc w:val="both"/>
        <w:rPr>
          <w:rFonts w:ascii="Arial;Helvetica;sans-serif" w:hAnsi="Arial;Helvetica;sans-serif"/>
          <w:sz w:val="20"/>
        </w:rPr>
      </w:pPr>
      <w:r>
        <w:rPr>
          <w:rFonts w:ascii="Arial;Helvetica;sans-serif" w:hAnsi="Arial;Helvetica;sans-serif"/>
          <w:sz w:val="18"/>
        </w:rPr>
        <w:t xml:space="preserve">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As of November 3, 2023, the number of outstanding shares of the Registrant’s common stock was 54,769,800.</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9" w:name="TOC"/>
      <w:bookmarkStart w:id="50" w:name="_0c698776_7770_44e9_8da9_b268102c82d6"/>
      <w:bookmarkEnd w:id="49"/>
      <w:bookmarkEnd w:id="50"/>
      <w:r>
        <w:rPr>
          <w:rFonts w:ascii="Arial;Helvetica;sans-serif" w:hAnsi="Arial;Helvetica;sans-serif"/>
          <w:b/>
          <w:sz w:val="20"/>
        </w:rPr>
        <w:t>Table of Contents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 xml:space="preserve">PART I-FINANCIAL INFORMATION </w:t>
      </w:r>
    </w:p>
    <w:tbl>
      <w:tblPr>
        <w:tblW w:w="9246" w:type="dxa"/>
        <w:jc w:val="left"/>
        <w:tblInd w:w="0" w:type="dxa"/>
        <w:tblLayout w:type="fixed"/>
        <w:tblCellMar>
          <w:top w:w="0" w:type="dxa"/>
          <w:left w:w="0" w:type="dxa"/>
          <w:bottom w:w="0" w:type="dxa"/>
          <w:right w:w="0" w:type="dxa"/>
        </w:tblCellMar>
      </w:tblPr>
      <w:tblGrid>
        <w:gridCol w:w="8536"/>
        <w:gridCol w:w="109"/>
        <w:gridCol w:w="601"/>
      </w:tblGrid>
      <w:tr>
        <w:trPr/>
        <w:tc>
          <w:tcPr>
            <w:tcW w:w="8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420360" cy="175260"/>
                      <wp:effectExtent l="0" t="0" r="0" b="0"/>
                      <wp:wrapNone/>
                      <wp:docPr id="1" name="Frame1"/>
                      <a:graphic xmlns:a="http://schemas.openxmlformats.org/drawingml/2006/main">
                        <a:graphicData uri="http://schemas.microsoft.com/office/word/2010/wordprocessingShape">
                          <wps:wsp>
                            <wps:cNvSpPr txBox="1"/>
                            <wps:spPr>
                              <a:xfrm>
                                <a:off x="0" y="0"/>
                                <a:ext cx="542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81635" cy="175260"/>
                      <wp:effectExtent l="0" t="0" r="0" b="0"/>
                      <wp:wrapNone/>
                      <wp:docPr id="3" name="Frame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3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Item 1. Financial Statements.</w:t>
            </w:r>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240"/>
              <w:ind w:left="0" w:right="0" w:hanging="0"/>
              <w:jc w:val="center"/>
              <w:rPr/>
            </w:pPr>
            <w:r>
              <w:rPr/>
              <w:t>​</w:t>
            </w:r>
          </w:p>
        </w:tc>
      </w:tr>
      <w:tr>
        <w:trPr/>
        <w:tc>
          <w:tcPr>
            <w:tcW w:w="8536"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Page</w:t>
            </w:r>
          </w:p>
        </w:tc>
      </w:tr>
      <w:tr>
        <w:trPr/>
        <w:tc>
          <w:tcPr>
            <w:tcW w:w="8536" w:type="dxa"/>
            <w:tcBorders/>
            <w:vAlign w:val="center"/>
          </w:tcPr>
          <w:p>
            <w:pPr>
              <w:pStyle w:val="TableContents"/>
              <w:bidi w:val="0"/>
              <w:spacing w:before="0" w:after="0"/>
              <w:ind w:left="0" w:right="0" w:hanging="0"/>
              <w:jc w:val="both"/>
              <w:rPr/>
            </w:pPr>
            <w:hyperlink w:anchor="PARTIFINANCIALINFORMATION_243352">
              <w:r>
                <w:rPr>
                  <w:rStyle w:val="InternetLink"/>
                  <w:rFonts w:ascii="Arial;Helvetica;sans-serif" w:hAnsi="Arial;Helvetica;sans-serif"/>
                  <w:b w:val="false"/>
                  <w:i w:val="false"/>
                  <w:caps w:val="false"/>
                  <w:smallCaps w:val="false"/>
                  <w:sz w:val="20"/>
                </w:rPr>
                <w:t>PART I. FINANCIAL INFORMATION</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both"/>
              <w:rPr/>
            </w:pPr>
            <w:hyperlink w:anchor="Item1FinancialStatements_533031">
              <w:r>
                <w:rPr>
                  <w:rStyle w:val="InternetLink"/>
                  <w:rFonts w:ascii="Arial;Helvetica;sans-serif" w:hAnsi="Arial;Helvetica;san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both"/>
              <w:rPr/>
            </w:pPr>
            <w:hyperlink w:anchor="CondensedConsolidatedBalanceSheets_65975">
              <w:r>
                <w:rPr>
                  <w:rStyle w:val="InternetLink"/>
                  <w:rFonts w:ascii="Arial;Helvetica;sans-serif" w:hAnsi="Arial;Helvetica;sans-serif"/>
                  <w:b w:val="false"/>
                  <w:i w:val="false"/>
                  <w:caps w:val="false"/>
                  <w:smallCaps w:val="false"/>
                  <w:sz w:val="20"/>
                </w:rPr>
                <w:t>Condensed Consolidated Balance Sheets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both"/>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Loss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536" w:type="dxa"/>
            <w:tcBorders/>
            <w:vAlign w:val="center"/>
          </w:tcPr>
          <w:p>
            <w:pPr>
              <w:pStyle w:val="TableContents"/>
              <w:bidi w:val="0"/>
              <w:spacing w:before="0" w:after="0"/>
              <w:ind w:left="0" w:right="0" w:hanging="0"/>
              <w:jc w:val="both"/>
              <w:rPr/>
            </w:pPr>
            <w:hyperlink w:anchor="CondensedConsolidatedStatementsofconvert">
              <w:r>
                <w:rPr>
                  <w:rStyle w:val="InternetLink"/>
                  <w:rFonts w:ascii="Arial;Helvetica;sans-serif" w:hAnsi="Arial;Helvetica;sans-serif"/>
                  <w:b w:val="false"/>
                  <w:i w:val="false"/>
                  <w:caps w:val="false"/>
                  <w:smallCaps w:val="false"/>
                  <w:sz w:val="20"/>
                </w:rPr>
                <w:t>Condensed Consolidated Statements of Stockholders’ Equity</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536" w:type="dxa"/>
            <w:tcBorders/>
            <w:vAlign w:val="center"/>
          </w:tcPr>
          <w:p>
            <w:pPr>
              <w:pStyle w:val="TableContents"/>
              <w:bidi w:val="0"/>
              <w:spacing w:before="0" w:after="0"/>
              <w:ind w:left="0" w:right="0" w:hanging="0"/>
              <w:jc w:val="both"/>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536" w:type="dxa"/>
            <w:tcBorders/>
            <w:vAlign w:val="center"/>
          </w:tcPr>
          <w:p>
            <w:pPr>
              <w:pStyle w:val="TableContents"/>
              <w:bidi w:val="0"/>
              <w:spacing w:before="0" w:after="0"/>
              <w:ind w:left="0" w:right="0" w:hanging="0"/>
              <w:jc w:val="both"/>
              <w:rPr/>
            </w:pPr>
            <w:hyperlink w:anchor="Notestocondensedconsolidatedfinancialsta">
              <w:r>
                <w:rPr>
                  <w:rStyle w:val="InternetLink"/>
                  <w:rFonts w:ascii="Arial;Helvetica;sans-serif" w:hAnsi="Arial;Helvetica;sans-serif"/>
                  <w:b w:val="false"/>
                  <w:i w:val="false"/>
                  <w:caps w:val="false"/>
                  <w:smallCaps w:val="false"/>
                  <w:sz w:val="20"/>
                </w:rPr>
                <w:t>Notes to Unaudited Condensed Consolidated Financial Statements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536" w:type="dxa"/>
            <w:tcBorders/>
            <w:vAlign w:val="center"/>
          </w:tcPr>
          <w:p>
            <w:pPr>
              <w:pStyle w:val="TableContents"/>
              <w:bidi w:val="0"/>
              <w:spacing w:before="0" w:after="0"/>
              <w:ind w:left="0" w:right="0" w:hanging="0"/>
              <w:jc w:val="both"/>
              <w:rPr/>
            </w:pPr>
            <w:hyperlink w:anchor="Item2ManagementsDiscussionandAnalysisofF">
              <w:r>
                <w:rPr>
                  <w:rStyle w:val="InternetLink"/>
                  <w:rFonts w:ascii="Arial;Helvetica;sans-serif" w:hAnsi="Arial;Helvetica;san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r>
      <w:tr>
        <w:trPr/>
        <w:tc>
          <w:tcPr>
            <w:tcW w:w="8536" w:type="dxa"/>
            <w:tcBorders/>
            <w:vAlign w:val="center"/>
          </w:tcPr>
          <w:p>
            <w:pPr>
              <w:pStyle w:val="TableContents"/>
              <w:bidi w:val="0"/>
              <w:spacing w:before="0" w:after="0"/>
              <w:ind w:left="0" w:right="0" w:hanging="0"/>
              <w:jc w:val="both"/>
              <w:rPr/>
            </w:pPr>
            <w:hyperlink w:anchor="Item3Quantitative">
              <w:r>
                <w:rPr>
                  <w:rStyle w:val="InternetLink"/>
                  <w:rFonts w:ascii="Arial;Helvetica;sans-serif" w:hAnsi="Arial;Helvetica;san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vAlign w:val="center"/>
          </w:tcPr>
          <w:p>
            <w:pPr>
              <w:pStyle w:val="TableContents"/>
              <w:bidi w:val="0"/>
              <w:spacing w:before="0" w:after="0"/>
              <w:ind w:left="0" w:right="0" w:hanging="0"/>
              <w:jc w:val="both"/>
              <w:rPr/>
            </w:pPr>
            <w:hyperlink w:anchor="Item4ControlsandProcedures">
              <w:r>
                <w:rPr>
                  <w:rStyle w:val="InternetLink"/>
                  <w:rFonts w:ascii="Arial;Helvetica;sans-serif" w:hAnsi="Arial;Helvetica;sans-serif"/>
                  <w:b w:val="false"/>
                  <w:i w:val="false"/>
                  <w:caps w:val="false"/>
                  <w:smallCaps w:val="false"/>
                  <w:sz w:val="20"/>
                </w:rPr>
                <w:t>Item 4. Controls and Procedures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536" w:type="dxa"/>
            <w:tcBorders/>
            <w:vAlign w:val="center"/>
          </w:tcPr>
          <w:p>
            <w:pPr>
              <w:pStyle w:val="TableContents"/>
              <w:bidi w:val="0"/>
              <w:spacing w:before="0" w:after="0"/>
              <w:ind w:left="0" w:right="0" w:hanging="0"/>
              <w:jc w:val="both"/>
              <w:rPr/>
            </w:pPr>
            <w:hyperlink w:anchor="PARTIIOTHERINFORMATION_169197">
              <w:r>
                <w:rPr>
                  <w:rStyle w:val="InternetLink"/>
                  <w:rFonts w:ascii="Arial;Helvetica;sans-serif" w:hAnsi="Arial;Helvetica;sans-serif"/>
                  <w:b w:val="false"/>
                  <w:i w:val="false"/>
                  <w:caps w:val="false"/>
                  <w:smallCaps w:val="false"/>
                  <w:sz w:val="20"/>
                </w:rPr>
                <w:t>PART II. OTHER INFORMATION</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536" w:type="dxa"/>
            <w:tcBorders/>
            <w:vAlign w:val="center"/>
          </w:tcPr>
          <w:p>
            <w:pPr>
              <w:pStyle w:val="TableContents"/>
              <w:bidi w:val="0"/>
              <w:spacing w:before="0" w:after="0"/>
              <w:ind w:left="0" w:right="0" w:hanging="0"/>
              <w:jc w:val="both"/>
              <w:rPr/>
            </w:pPr>
            <w:hyperlink w:anchor="Item1LegalProceedings_105808">
              <w:r>
                <w:rPr>
                  <w:rStyle w:val="InternetLink"/>
                  <w:rFonts w:ascii="Arial;Helvetica;sans-serif" w:hAnsi="Arial;Helvetica;sans-serif"/>
                  <w:b w:val="false"/>
                  <w:i w:val="false"/>
                  <w:caps w:val="false"/>
                  <w:smallCaps w:val="false"/>
                  <w:sz w:val="20"/>
                </w:rPr>
                <w:t>Item 1. Legal Proceedings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536" w:type="dxa"/>
            <w:tcBorders/>
            <w:vAlign w:val="center"/>
          </w:tcPr>
          <w:p>
            <w:pPr>
              <w:pStyle w:val="TableContents"/>
              <w:bidi w:val="0"/>
              <w:spacing w:before="0" w:after="0"/>
              <w:ind w:left="0" w:right="0" w:hanging="0"/>
              <w:jc w:val="both"/>
              <w:rPr/>
            </w:pPr>
            <w:hyperlink w:anchor="Item_1A_Risk_Factors">
              <w:r>
                <w:rPr>
                  <w:rStyle w:val="InternetLink"/>
                  <w:rFonts w:ascii="Arial;Helvetica;sans-serif" w:hAnsi="Arial;Helvetica;sans-serif"/>
                  <w:b w:val="false"/>
                  <w:i w:val="false"/>
                  <w:caps w:val="false"/>
                  <w:smallCaps w:val="false"/>
                  <w:sz w:val="20"/>
                </w:rPr>
                <w:t>Item 1A. Risk Factors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536" w:type="dxa"/>
            <w:tcBorders/>
            <w:vAlign w:val="center"/>
          </w:tcPr>
          <w:p>
            <w:pPr>
              <w:pStyle w:val="TableContents"/>
              <w:bidi w:val="0"/>
              <w:spacing w:before="0" w:after="0"/>
              <w:ind w:left="0" w:right="0" w:hanging="0"/>
              <w:jc w:val="both"/>
              <w:rPr/>
            </w:pPr>
            <w:hyperlink w:anchor="Item2UnregisteredSalesofEquitySecurities">
              <w:r>
                <w:rPr>
                  <w:rStyle w:val="InternetLink"/>
                  <w:rFonts w:ascii="Arial;Helvetica;sans-serif" w:hAnsi="Arial;Helvetica;san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8536" w:type="dxa"/>
            <w:tcBorders/>
            <w:vAlign w:val="center"/>
          </w:tcPr>
          <w:p>
            <w:pPr>
              <w:pStyle w:val="TableContents"/>
              <w:bidi w:val="0"/>
              <w:spacing w:before="0" w:after="0"/>
              <w:ind w:left="0" w:right="0" w:hanging="0"/>
              <w:jc w:val="both"/>
              <w:rPr/>
            </w:pPr>
            <w:hyperlink w:anchor="Item3DefaultsUponSeniorSecurities_285444">
              <w:r>
                <w:rPr>
                  <w:rStyle w:val="InternetLink"/>
                  <w:rFonts w:ascii="Arial;Helvetica;sans-serif" w:hAnsi="Arial;Helvetica;san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8536" w:type="dxa"/>
            <w:tcBorders/>
            <w:vAlign w:val="center"/>
          </w:tcPr>
          <w:p>
            <w:pPr>
              <w:pStyle w:val="TableContents"/>
              <w:bidi w:val="0"/>
              <w:spacing w:before="0" w:after="0"/>
              <w:ind w:left="0" w:right="0" w:hanging="0"/>
              <w:jc w:val="both"/>
              <w:rPr/>
            </w:pPr>
            <w:hyperlink w:anchor="Item4MineSafetyDisclosures_363877">
              <w:r>
                <w:rPr>
                  <w:rStyle w:val="InternetLink"/>
                  <w:rFonts w:ascii="Arial;Helvetica;sans-serif" w:hAnsi="Arial;Helvetica;sans-serif"/>
                  <w:b w:val="false"/>
                  <w:i w:val="false"/>
                  <w:caps w:val="false"/>
                  <w:smallCaps w:val="false"/>
                  <w:sz w:val="20"/>
                </w:rPr>
                <w:t>Item 4. Mine Safety Disclosures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8536" w:type="dxa"/>
            <w:tcBorders/>
            <w:vAlign w:val="center"/>
          </w:tcPr>
          <w:p>
            <w:pPr>
              <w:pStyle w:val="TableContents"/>
              <w:bidi w:val="0"/>
              <w:spacing w:before="0" w:after="0"/>
              <w:ind w:left="0" w:right="0" w:hanging="0"/>
              <w:jc w:val="both"/>
              <w:rPr/>
            </w:pPr>
            <w:hyperlink w:anchor="Item5OtherInformation_250924">
              <w:r>
                <w:rPr>
                  <w:rStyle w:val="InternetLink"/>
                  <w:rFonts w:ascii="Arial;Helvetica;sans-serif" w:hAnsi="Arial;Helvetica;sans-serif"/>
                  <w:b w:val="false"/>
                  <w:i w:val="false"/>
                  <w:caps w:val="false"/>
                  <w:smallCaps w:val="false"/>
                  <w:sz w:val="20"/>
                </w:rPr>
                <w:t>Item 5. Other Information</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r>
      <w:tr>
        <w:trPr/>
        <w:tc>
          <w:tcPr>
            <w:tcW w:w="8536" w:type="dxa"/>
            <w:tcBorders/>
            <w:vAlign w:val="center"/>
          </w:tcPr>
          <w:p>
            <w:pPr>
              <w:pStyle w:val="TableContents"/>
              <w:bidi w:val="0"/>
              <w:spacing w:before="0" w:after="0"/>
              <w:ind w:left="0" w:right="0" w:hanging="0"/>
              <w:jc w:val="both"/>
              <w:rPr/>
            </w:pPr>
            <w:hyperlink w:anchor="Item6Exhibits_686387">
              <w:r>
                <w:rPr>
                  <w:rStyle w:val="InternetLink"/>
                  <w:rFonts w:ascii="Arial;Helvetica;sans-serif" w:hAnsi="Arial;Helvetica;sans-serif"/>
                  <w:b w:val="false"/>
                  <w:i w:val="false"/>
                  <w:caps w:val="false"/>
                  <w:smallCaps w:val="false"/>
                  <w:sz w:val="20"/>
                </w:rPr>
                <w:t>Item 6. Exhibits</w:t>
              </w:r>
            </w:hyperlink>
          </w:p>
        </w:tc>
        <w:tc>
          <w:tcPr>
            <w:tcW w:w="109" w:type="dxa"/>
            <w:tcBorders/>
            <w:vAlign w:val="center"/>
          </w:tcPr>
          <w:p>
            <w:pPr>
              <w:pStyle w:val="TableContents"/>
              <w:bidi w:val="0"/>
              <w:spacing w:before="0" w:after="24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51" w:name="PARTIFINANCIALINFORMATION_243352"/>
      <w:bookmarkStart w:id="52" w:name="_e8289620_8cf2_4a7b_8ecc_62f95228a20f"/>
      <w:bookmarkEnd w:id="51"/>
      <w:bookmarkEnd w:id="52"/>
      <w:r>
        <w:rPr>
          <w:rFonts w:ascii="Arial;Helvetica;sans-serif" w:hAnsi="Arial;Helvetica;sans-serif"/>
          <w:b/>
          <w:sz w:val="20"/>
        </w:rPr>
        <w:t>PART I – FINANCIAL INFORMATION</w:t>
      </w:r>
    </w:p>
    <w:p>
      <w:pPr>
        <w:pStyle w:val="TextBody"/>
        <w:bidi w:val="0"/>
        <w:spacing w:before="0" w:after="240"/>
        <w:ind w:left="0" w:right="0" w:hanging="0"/>
        <w:jc w:val="left"/>
        <w:rPr>
          <w:rFonts w:ascii="Arial;Helvetica;sans-serif" w:hAnsi="Arial;Helvetica;sans-serif"/>
          <w:b/>
          <w:sz w:val="20"/>
        </w:rPr>
      </w:pPr>
      <w:bookmarkStart w:id="53" w:name="Item1FinancialStatements_533031"/>
      <w:bookmarkEnd w:id="53"/>
      <w:r>
        <w:rPr>
          <w:rFonts w:ascii="Arial;Helvetica;sans-serif" w:hAnsi="Arial;Helvetica;sans-serif"/>
          <w:b/>
          <w:sz w:val="20"/>
        </w:rPr>
        <w:t>Item 1.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Olema Pharmaceuticals, Inc.</w:t>
      </w:r>
    </w:p>
    <w:p>
      <w:pPr>
        <w:pStyle w:val="TextBody"/>
        <w:bidi w:val="0"/>
        <w:spacing w:before="0" w:after="0"/>
        <w:ind w:left="0" w:right="0" w:hanging="0"/>
        <w:jc w:val="center"/>
        <w:rPr>
          <w:rFonts w:ascii="Arial;Helvetica;sans-serif" w:hAnsi="Arial;Helvetica;sans-serif"/>
          <w:b/>
          <w:sz w:val="20"/>
        </w:rPr>
      </w:pPr>
      <w:bookmarkStart w:id="54" w:name="CondensedConsolidatedBalanceSheets_65975"/>
      <w:bookmarkEnd w:id="54"/>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(Amounts in thousands, except for share amounts)</w:t>
      </w:r>
    </w:p>
    <w:p>
      <w:pPr>
        <w:pStyle w:val="Normal"/>
        <w:bidi w:val="0"/>
        <w:spacing w:before="0" w:after="0"/>
        <w:jc w:val="left"/>
        <w:rPr>
          <w:sz w:val="4"/>
          <w:szCs w:val="4"/>
        </w:rPr>
      </w:pPr>
      <w:r>
        <w:rPr>
          <w:sz w:val="4"/>
          <w:szCs w:val="4"/>
        </w:rPr>
      </w:r>
      <w:bookmarkStart w:id="55" w:name="Tc_aqffIj4ijUGEM5uZeiyGpw_30_5"/>
      <w:bookmarkStart w:id="56" w:name="Tc_262a9Qqy8Eej7Ys6SyFw7g_30_2"/>
      <w:bookmarkStart w:id="57" w:name="Tc_PeQWbE4hN0SsPrJEJKKUXQ_30_0"/>
      <w:bookmarkStart w:id="58" w:name="Tc_SgENNtCEYkOX1mw8s0f-_Q_29_0"/>
      <w:bookmarkStart w:id="59" w:name="Tc_vhugQFxuV02kHT0Ij0PReQ_28_0"/>
      <w:bookmarkStart w:id="60" w:name="Tc_zTj5PEh3LE6pWQlJsYXpCQ_27_0"/>
      <w:bookmarkStart w:id="61" w:name="Tc__mjwTHe6nU2ZL9os31Pdjg_26_0"/>
      <w:bookmarkStart w:id="62" w:name="Tc_uv5fqRQbyUq0E0K3aHKSIw_25_0"/>
      <w:bookmarkStart w:id="63" w:name="_1e081172_1a73_4f48_9ad6_96cf66e4d9a8_3"/>
      <w:bookmarkStart w:id="64" w:name="_1e081172_1a73_4f48_9ad6_96cf66e4d9a8_2"/>
      <w:bookmarkStart w:id="65" w:name="_1e081172_1a73_4f48_9ad6_96cf66e4d9a8"/>
      <w:bookmarkStart w:id="66" w:name="Tc_UPy9iQSiQkqc_hrop05RdA_24_0"/>
      <w:bookmarkStart w:id="67" w:name="Tc_FOyVln1UgUCkycDpGCcthQ_23_0"/>
      <w:bookmarkStart w:id="68" w:name="Tc_S2xasu4HoE-NC88jZCAQFA_22_0"/>
      <w:bookmarkStart w:id="69" w:name="Tc_PdDrXsKN3UyCDWWuD6-Itw_21_0"/>
      <w:bookmarkStart w:id="70" w:name="Tc_AcTFNi1Ng0OVcZOWTeEwZA_20_0"/>
      <w:bookmarkStart w:id="71" w:name="Tc_3iF7Zuwt8EKZHBO2rdrzOQ_19_0"/>
      <w:bookmarkStart w:id="72" w:name="Tc_0eqhn6di0kSkFwYYaHb_jQ_18_0"/>
      <w:bookmarkStart w:id="73" w:name="Tc_xnQ8_cW7U0OkJc9muhENQQ_17_0"/>
      <w:bookmarkStart w:id="74" w:name="Tc_F-1kp6nL0kS40-94PxMgtA_16_5"/>
      <w:bookmarkStart w:id="75" w:name="Tc_y36J7MtErUuJv_c47t-aJg_16_2"/>
      <w:bookmarkStart w:id="76" w:name="Tc_Qqu8XMXYHEG9YhK1qt0UCg_16_0"/>
      <w:bookmarkStart w:id="77" w:name="Tc_ceq88c5eqUm3dsBXyhcRKg_15_0"/>
      <w:bookmarkStart w:id="78" w:name="Tc_s9fErEMYqE-2axEWC-U1VA_14_0"/>
      <w:bookmarkStart w:id="79" w:name="Tc_5NubUElenUeKYng0ltqpyg_12_5"/>
      <w:bookmarkStart w:id="80" w:name="Tc_eEegtbKtG0e0gcwUrwEhaQ_12_2"/>
      <w:bookmarkStart w:id="81" w:name="Tc_D3aU-nZHyUiExvqk_jn4qw_12_0"/>
      <w:bookmarkStart w:id="82" w:name="Tc_ku52dWYkAU-spFeU0KxSNg_11_0"/>
      <w:bookmarkStart w:id="83" w:name="Tc_1uVW0HXRvkC3V97hdRiCzQ_10_0"/>
      <w:bookmarkStart w:id="84" w:name="Tc_aiNXqBgXT0i2zfWgwxOJ4A_9_0"/>
      <w:bookmarkStart w:id="85" w:name="Tc_mIx-hDSmB0KcrDV2FEBhKA_8_0"/>
      <w:bookmarkStart w:id="86" w:name="Tc_VVHeHUAucEWHmkAjrpNy0A_7_0"/>
      <w:bookmarkStart w:id="87" w:name="Tc_g-t-2lCmFk2voDUWrZzkhw_6_0"/>
      <w:bookmarkStart w:id="88" w:name="Tc_oNOf5GLXsE-e5RSo4hGPZw_5_5"/>
      <w:bookmarkStart w:id="89" w:name="Tc_A6RcT2kSrUSvmRv_X9IReQ_5_2"/>
      <w:bookmarkStart w:id="90" w:name="Tc_nZ-VB3ZEskCsDz4j7OWvZg_5_0"/>
      <w:bookmarkStart w:id="91" w:name="Tc_dM24BAwzL0mcMpBTuU0k8A_4_0"/>
      <w:bookmarkStart w:id="92" w:name="Tc_L9KdftH6x0mDUfCNYA_-HA_3_0"/>
      <w:bookmarkStart w:id="93" w:name="Tc_aP6AM1sX4UGeyO39zx69aw_2_5"/>
      <w:bookmarkStart w:id="94" w:name="Tc_UG3Fnlc07UGtOFapqrnApg_2_2"/>
      <w:bookmarkStart w:id="95" w:name="Tc_IVyflDyIVk-oxGG9nlYOuQ_1_6"/>
      <w:bookmarkStart w:id="96" w:name="Tc_rWePh2PsCE6m-ytnOx5hdQ_1_3"/>
      <w:bookmarkStart w:id="97" w:name="_e36e3899_9d9b_44fc_b0ce_f444e53266a0"/>
      <w:bookmarkStart w:id="98" w:name="Tc_aqffIj4ijUGEM5uZeiyGpw_30_5"/>
      <w:bookmarkStart w:id="99" w:name="Tc_262a9Qqy8Eej7Ys6SyFw7g_30_2"/>
      <w:bookmarkStart w:id="100" w:name="Tc_PeQWbE4hN0SsPrJEJKKUXQ_30_0"/>
      <w:bookmarkStart w:id="101" w:name="Tc_SgENNtCEYkOX1mw8s0f-_Q_29_0"/>
      <w:bookmarkStart w:id="102" w:name="Tc_vhugQFxuV02kHT0Ij0PReQ_28_0"/>
      <w:bookmarkStart w:id="103" w:name="Tc_zTj5PEh3LE6pWQlJsYXpCQ_27_0"/>
      <w:bookmarkStart w:id="104" w:name="Tc__mjwTHe6nU2ZL9os31Pdjg_26_0"/>
      <w:bookmarkStart w:id="105" w:name="Tc_uv5fqRQbyUq0E0K3aHKSIw_25_0"/>
      <w:bookmarkStart w:id="106" w:name="_1e081172_1a73_4f48_9ad6_96cf66e4d9a8_3"/>
      <w:bookmarkStart w:id="107" w:name="_1e081172_1a73_4f48_9ad6_96cf66e4d9a8_2"/>
      <w:bookmarkStart w:id="108" w:name="_1e081172_1a73_4f48_9ad6_96cf66e4d9a8"/>
      <w:bookmarkStart w:id="109" w:name="Tc_UPy9iQSiQkqc_hrop05RdA_24_0"/>
      <w:bookmarkStart w:id="110" w:name="Tc_FOyVln1UgUCkycDpGCcthQ_23_0"/>
      <w:bookmarkStart w:id="111" w:name="Tc_S2xasu4HoE-NC88jZCAQFA_22_0"/>
      <w:bookmarkStart w:id="112" w:name="Tc_PdDrXsKN3UyCDWWuD6-Itw_21_0"/>
      <w:bookmarkStart w:id="113" w:name="Tc_AcTFNi1Ng0OVcZOWTeEwZA_20_0"/>
      <w:bookmarkStart w:id="114" w:name="Tc_3iF7Zuwt8EKZHBO2rdrzOQ_19_0"/>
      <w:bookmarkStart w:id="115" w:name="Tc_0eqhn6di0kSkFwYYaHb_jQ_18_0"/>
      <w:bookmarkStart w:id="116" w:name="Tc_xnQ8_cW7U0OkJc9muhENQQ_17_0"/>
      <w:bookmarkStart w:id="117" w:name="Tc_F-1kp6nL0kS40-94PxMgtA_16_5"/>
      <w:bookmarkStart w:id="118" w:name="Tc_y36J7MtErUuJv_c47t-aJg_16_2"/>
      <w:bookmarkStart w:id="119" w:name="Tc_Qqu8XMXYHEG9YhK1qt0UCg_16_0"/>
      <w:bookmarkStart w:id="120" w:name="Tc_ceq88c5eqUm3dsBXyhcRKg_15_0"/>
      <w:bookmarkStart w:id="121" w:name="Tc_s9fErEMYqE-2axEWC-U1VA_14_0"/>
      <w:bookmarkStart w:id="122" w:name="Tc_5NubUElenUeKYng0ltqpyg_12_5"/>
      <w:bookmarkStart w:id="123" w:name="Tc_eEegtbKtG0e0gcwUrwEhaQ_12_2"/>
      <w:bookmarkStart w:id="124" w:name="Tc_D3aU-nZHyUiExvqk_jn4qw_12_0"/>
      <w:bookmarkStart w:id="125" w:name="Tc_ku52dWYkAU-spFeU0KxSNg_11_0"/>
      <w:bookmarkStart w:id="126" w:name="Tc_1uVW0HXRvkC3V97hdRiCzQ_10_0"/>
      <w:bookmarkStart w:id="127" w:name="Tc_aiNXqBgXT0i2zfWgwxOJ4A_9_0"/>
      <w:bookmarkStart w:id="128" w:name="Tc_mIx-hDSmB0KcrDV2FEBhKA_8_0"/>
      <w:bookmarkStart w:id="129" w:name="Tc_VVHeHUAucEWHmkAjrpNy0A_7_0"/>
      <w:bookmarkStart w:id="130" w:name="Tc_g-t-2lCmFk2voDUWrZzkhw_6_0"/>
      <w:bookmarkStart w:id="131" w:name="Tc_oNOf5GLXsE-e5RSo4hGPZw_5_5"/>
      <w:bookmarkStart w:id="132" w:name="Tc_A6RcT2kSrUSvmRv_X9IReQ_5_2"/>
      <w:bookmarkStart w:id="133" w:name="Tc_nZ-VB3ZEskCsDz4j7OWvZg_5_0"/>
      <w:bookmarkStart w:id="134" w:name="Tc_dM24BAwzL0mcMpBTuU0k8A_4_0"/>
      <w:bookmarkStart w:id="135" w:name="Tc_L9KdftH6x0mDUfCNYA_-HA_3_0"/>
      <w:bookmarkStart w:id="136" w:name="Tc_aP6AM1sX4UGeyO39zx69aw_2_5"/>
      <w:bookmarkStart w:id="137" w:name="Tc_UG3Fnlc07UGtOFapqrnApg_2_2"/>
      <w:bookmarkStart w:id="138" w:name="Tc_IVyflDyIVk-oxGG9nlYOuQ_1_6"/>
      <w:bookmarkStart w:id="139" w:name="Tc_rWePh2PsCE6m-ytnOx5hdQ_1_3"/>
      <w:bookmarkStart w:id="140" w:name="_e36e3899_9d9b_44fc_b0ce_f444e53266a0"/>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6740"/>
        <w:gridCol w:w="326"/>
        <w:gridCol w:w="211"/>
        <w:gridCol w:w="1202"/>
        <w:gridCol w:w="326"/>
        <w:gridCol w:w="211"/>
        <w:gridCol w:w="1189"/>
      </w:tblGrid>
      <w:tr>
        <w:trPr/>
        <w:tc>
          <w:tcPr>
            <w:tcW w:w="6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79900" cy="175260"/>
                      <wp:effectExtent l="0" t="0" r="0" b="0"/>
                      <wp:wrapNone/>
                      <wp:docPr id="4" name="Frame4"/>
                      <a:graphic xmlns:a="http://schemas.openxmlformats.org/drawingml/2006/main">
                        <a:graphicData uri="http://schemas.microsoft.com/office/word/2010/wordprocessingShape">
                          <wps:wsp>
                            <wps:cNvSpPr txBox="1"/>
                            <wps:spPr>
                              <a:xfrm>
                                <a:off x="0" y="0"/>
                                <a:ext cx="427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63270" cy="175260"/>
                      <wp:effectExtent l="0" t="0" r="0" b="0"/>
                      <wp:wrapNone/>
                      <wp:docPr id="7" name="Frame7"/>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55015" cy="175260"/>
                      <wp:effectExtent l="0" t="0" r="0" b="0"/>
                      <wp:wrapNone/>
                      <wp:docPr id="10" name="Frame10"/>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40"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202"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September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189"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6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pPr>
            <w:r>
              <w:rPr/>
              <w:t>​</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pPr>
            <w:r>
              <w:rPr/>
              <w:t>​</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117,407</w:t>
            </w:r>
          </w:p>
        </w:tc>
        <w:tc>
          <w:tcPr>
            <w:tcW w:w="32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23,702</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Marketable securities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159,494</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pPr>
            <w:r>
              <w:rPr/>
              <w:t>​</w:t>
            </w:r>
          </w:p>
        </w:tc>
        <w:tc>
          <w:tcPr>
            <w:tcW w:w="11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180,719</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Prepaid expenses and other current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1202"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5,107</w:t>
            </w:r>
          </w:p>
        </w:tc>
        <w:tc>
          <w:tcPr>
            <w:tcW w:w="326" w:type="dxa"/>
            <w:tcBorders>
              <w:bottom w:val="single" w:sz="2" w:space="0" w:color="231F2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1189"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4,478</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11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208,899</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1,480</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2,495</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and long-term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1202"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7,177</w:t>
            </w:r>
          </w:p>
        </w:tc>
        <w:tc>
          <w:tcPr>
            <w:tcW w:w="326" w:type="dxa"/>
            <w:tcBorders>
              <w:bottom w:val="single" w:sz="2" w:space="0" w:color="231F2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pPr>
            <w:r>
              <w:rPr/>
              <w:t> </w:t>
            </w:r>
          </w:p>
        </w:tc>
        <w:tc>
          <w:tcPr>
            <w:tcW w:w="1189" w:type="dxa"/>
            <w:tcBorders>
              <w:bottom w:val="single" w:sz="2" w:space="0" w:color="231F2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2,771</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assets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292,799</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215,645</w:t>
            </w:r>
          </w:p>
        </w:tc>
      </w:tr>
      <w:tr>
        <w:trPr/>
        <w:tc>
          <w:tcPr>
            <w:tcW w:w="674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89" w:type="dxa"/>
            <w:tcBorders/>
            <w:shd w:fill="CCEEFF" w:val="clear"/>
            <w:vAlign w:val="center"/>
          </w:tcPr>
          <w:p>
            <w:pPr>
              <w:pStyle w:val="TableContents"/>
              <w:bidi w:val="0"/>
              <w:spacing w:before="0" w:after="1"/>
              <w:ind w:left="0" w:right="0" w:hanging="0"/>
              <w:jc w:val="left"/>
              <w:rPr/>
            </w:pPr>
            <w:r>
              <w:rPr/>
              <w:t>​</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89" w:type="dxa"/>
            <w:tcBorders/>
            <w:vAlign w:val="center"/>
          </w:tcPr>
          <w:p>
            <w:pPr>
              <w:pStyle w:val="TableContents"/>
              <w:bidi w:val="0"/>
              <w:spacing w:before="0" w:after="1"/>
              <w:ind w:left="0" w:right="0" w:hanging="0"/>
              <w:jc w:val="left"/>
              <w:rPr/>
            </w:pPr>
            <w:r>
              <w:rPr/>
              <w:t>​</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89" w:type="dxa"/>
            <w:tcBorders/>
            <w:shd w:fill="CCEEFF" w:val="clear"/>
            <w:vAlign w:val="center"/>
          </w:tcPr>
          <w:p>
            <w:pPr>
              <w:pStyle w:val="TableContents"/>
              <w:bidi w:val="0"/>
              <w:spacing w:before="0" w:after="1"/>
              <w:ind w:left="0" w:right="0" w:hanging="0"/>
              <w:jc w:val="left"/>
              <w:rPr/>
            </w:pPr>
            <w:r>
              <w:rPr/>
              <w:t>​</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 liabilities, current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1,015</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and 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12,835</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15,160</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16,549</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 net of current portion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1,699</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17,665</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18,099</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 (Note 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89" w:type="dxa"/>
            <w:tcBorders/>
            <w:vAlign w:val="center"/>
          </w:tcPr>
          <w:p>
            <w:pPr>
              <w:pStyle w:val="TableContents"/>
              <w:bidi w:val="0"/>
              <w:spacing w:before="0" w:after="1"/>
              <w:ind w:left="0" w:right="0" w:hanging="0"/>
              <w:jc w:val="right"/>
              <w:rPr/>
            </w:pPr>
            <w:r>
              <w:rPr/>
              <w:t>​</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89" w:type="dxa"/>
            <w:tcBorders/>
            <w:shd w:fill="CCEEFF" w:val="clear"/>
            <w:vAlign w:val="center"/>
          </w:tcPr>
          <w:p>
            <w:pPr>
              <w:pStyle w:val="TableContents"/>
              <w:bidi w:val="0"/>
              <w:spacing w:before="0" w:after="1"/>
              <w:ind w:left="0" w:right="0" w:hanging="0"/>
              <w:jc w:val="right"/>
              <w:rPr/>
            </w:pPr>
            <w:r>
              <w:rPr/>
              <w:t>​</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 xml:space="preserve">Preferred stock, $0.0001 par value; 10,000,000 shares authorized as of September 30, 2023 and December 31, 2022; no shares issued and outstanding as of September 30, 2023 and December 31, 2022.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8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$0.0001 par value; 490,000,000 shares authorized as of September 30, 2023 and December 31, 2022; 54,749,472 and 40,601,648 shares issued as of September 30, 2023 and December 31, 2022, respectively; 54,601,516 and 40,287,097 shares outstanding as of September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11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554,231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color w:val="231F20"/>
              </w:rPr>
            </w:pPr>
            <w:r>
              <w:rPr>
                <w:color w:val="231F20"/>
              </w:rPr>
              <w:t> </w:t>
            </w:r>
          </w:p>
        </w:tc>
        <w:tc>
          <w:tcPr>
            <w:tcW w:w="11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408,333</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18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(1,813)</w:t>
            </w:r>
          </w:p>
        </w:tc>
      </w:tr>
      <w:tr>
        <w:trPr/>
        <w:tc>
          <w:tcPr>
            <w:tcW w:w="6740"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(278,860)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1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(208,977)</w:t>
            </w:r>
          </w:p>
        </w:tc>
      </w:tr>
      <w:tr>
        <w:trPr/>
        <w:tc>
          <w:tcPr>
            <w:tcW w:w="674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275,134</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 </w:t>
            </w:r>
          </w:p>
        </w:tc>
        <w:tc>
          <w:tcPr>
            <w:tcW w:w="11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197,546</w:t>
            </w:r>
          </w:p>
        </w:tc>
      </w:tr>
      <w:tr>
        <w:trPr/>
        <w:tc>
          <w:tcPr>
            <w:tcW w:w="67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Total liabilities and stockholders’ equity</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292,799</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215,645</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41" w:name="_e66cff4a_1754_4db1_bf7b_c2a4ea2a9312"/>
      <w:bookmarkEnd w:id="141"/>
      <w:r>
        <w:rPr>
          <w:rFonts w:ascii="Arial;Helvetica;sans-serif" w:hAnsi="Arial;Helvetica;sans-serif"/>
          <w:b/>
          <w:sz w:val="20"/>
        </w:rPr>
        <w:t>Olema Pharmaceuticals,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sz w:val="20"/>
        </w:rPr>
      </w:pPr>
      <w:bookmarkStart w:id="142" w:name="CondensedConsolidatedStatementsofoperati"/>
      <w:bookmarkEnd w:id="142"/>
      <w:r>
        <w:rPr>
          <w:rFonts w:ascii="Arial;Helvetica;sans-serif" w:hAnsi="Arial;Helvetica;sans-serif"/>
          <w:b/>
          <w:sz w:val="20"/>
        </w:rPr>
        <w:t>(Unaudited)</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(Amounts in thousands, except for share and per share amounts)</w:t>
      </w:r>
    </w:p>
    <w:p>
      <w:pPr>
        <w:pStyle w:val="Normal"/>
        <w:bidi w:val="0"/>
        <w:spacing w:before="0" w:after="0"/>
        <w:jc w:val="left"/>
        <w:rPr>
          <w:sz w:val="4"/>
          <w:szCs w:val="4"/>
        </w:rPr>
      </w:pPr>
      <w:r>
        <w:rPr>
          <w:sz w:val="4"/>
          <w:szCs w:val="4"/>
        </w:rPr>
      </w:r>
      <w:bookmarkStart w:id="143" w:name="Tc_hMiBqvID1Ei3Wg7Gj_Nb4g_14_0"/>
      <w:bookmarkStart w:id="144" w:name="Tc_0GL73tb0aU2y-8PowOQ-KA_13_11"/>
      <w:bookmarkStart w:id="145" w:name="Tc_2bhU6EruXkyAbx_vxgXsCw_13_8"/>
      <w:bookmarkStart w:id="146" w:name="Tc_Bouq39fBe02ZkO0_GR32rA_13_5"/>
      <w:bookmarkStart w:id="147" w:name="Tc_p4qG3FiBq0exI6i7GlVyIw_13_2"/>
      <w:bookmarkStart w:id="148" w:name="Tc_1gIrohMaO06PhisG0cDQIQ_13_0"/>
      <w:bookmarkStart w:id="149" w:name="Tc_G6oEO24LV0uAVpWE3bNGrA_12_11"/>
      <w:bookmarkStart w:id="150" w:name="Tc_fZkeC1Jng0eIY7RxFhhBFA_12_8"/>
      <w:bookmarkStart w:id="151" w:name="Tc_lBMM1XBqt0aWceMkG50szA_12_5"/>
      <w:bookmarkStart w:id="152" w:name="Tc_kRR8ezfpKkm3DRBD6ydQ5A_12_2"/>
      <w:bookmarkStart w:id="153" w:name="Tc_RrMSM2Wbx0CQ12lfTEK0zQ_12_0"/>
      <w:bookmarkStart w:id="154" w:name="Tc_UyOQSaUgikKfKGd4K1DGzQ_11_0"/>
      <w:bookmarkStart w:id="155" w:name="Tc__5H0C012gUKi17-ZgWywGA_10_0"/>
      <w:bookmarkStart w:id="156" w:name="Tc_eKX1eI30DE-EI5NJdQZBSg_9_0"/>
      <w:bookmarkStart w:id="157" w:name="Tc_96n86jvoO0KN4iSt7ot6YQ_8_0"/>
      <w:bookmarkStart w:id="158" w:name="Tc_rceQQczHZE2xLdGnCpeUig_7_0"/>
      <w:bookmarkStart w:id="159" w:name="Tc_SuOnYD9t-06EHhA14C4_2w_6_0"/>
      <w:bookmarkStart w:id="160" w:name="Tc_1CR5yBN6bkeQLzmiyOFotQ_5_0"/>
      <w:bookmarkStart w:id="161" w:name="Tc_WheMXp4jTE6dg3hJy7lxKw_4_11"/>
      <w:bookmarkStart w:id="162" w:name="Tc_yD2vLk25fkiV4TiaJyATbw_4_8"/>
      <w:bookmarkStart w:id="163" w:name="Tc_PuE55gZT5UCPVhrZ_SCsfQ_4_5"/>
      <w:bookmarkStart w:id="164" w:name="Tc_GB53gxdJnkmodYlU4Idr5g_4_2"/>
      <w:bookmarkStart w:id="165" w:name="Tc_vhUOKo9YzU6YmVNCrHKncg_4_0"/>
      <w:bookmarkStart w:id="166" w:name="Tc_N9ZGiOPUbEWSPDeDc702tA_3_0"/>
      <w:bookmarkStart w:id="167" w:name="Tc_7f5asceFUUmKnWEqXK6hcw_2_12"/>
      <w:bookmarkStart w:id="168" w:name="Tc_UJCyjmlDpEaFHdkiTRtsRA_2_9"/>
      <w:bookmarkStart w:id="169" w:name="Tc_A1Ndxh7kFUCxrV9puDlfcA_2_6"/>
      <w:bookmarkStart w:id="170" w:name="Tc_2cwTY90Ey0SiTIWiJa4FZw_2_3"/>
      <w:bookmarkStart w:id="171" w:name="Tc_qXJQFbRToEezjOv8k1Zo0g_1_8"/>
      <w:bookmarkStart w:id="172" w:name="Tc_bHJfeKJ61E-ggWwO-NF9ag_1_2"/>
      <w:bookmarkStart w:id="173" w:name="_6807149e_4cfc_4374_a849_5e31f2eb3aa3"/>
      <w:bookmarkStart w:id="174" w:name="_d0ae8e7d_8a97_4d78_8423_e9a5e0f436e0"/>
      <w:bookmarkStart w:id="175" w:name="Tc_hMiBqvID1Ei3Wg7Gj_Nb4g_14_0"/>
      <w:bookmarkStart w:id="176" w:name="Tc_0GL73tb0aU2y-8PowOQ-KA_13_11"/>
      <w:bookmarkStart w:id="177" w:name="Tc_2bhU6EruXkyAbx_vxgXsCw_13_8"/>
      <w:bookmarkStart w:id="178" w:name="Tc_Bouq39fBe02ZkO0_GR32rA_13_5"/>
      <w:bookmarkStart w:id="179" w:name="Tc_p4qG3FiBq0exI6i7GlVyIw_13_2"/>
      <w:bookmarkStart w:id="180" w:name="Tc_1gIrohMaO06PhisG0cDQIQ_13_0"/>
      <w:bookmarkStart w:id="181" w:name="Tc_G6oEO24LV0uAVpWE3bNGrA_12_11"/>
      <w:bookmarkStart w:id="182" w:name="Tc_fZkeC1Jng0eIY7RxFhhBFA_12_8"/>
      <w:bookmarkStart w:id="183" w:name="Tc_lBMM1XBqt0aWceMkG50szA_12_5"/>
      <w:bookmarkStart w:id="184" w:name="Tc_kRR8ezfpKkm3DRBD6ydQ5A_12_2"/>
      <w:bookmarkStart w:id="185" w:name="Tc_RrMSM2Wbx0CQ12lfTEK0zQ_12_0"/>
      <w:bookmarkStart w:id="186" w:name="Tc_UyOQSaUgikKfKGd4K1DGzQ_11_0"/>
      <w:bookmarkStart w:id="187" w:name="Tc__5H0C012gUKi17-ZgWywGA_10_0"/>
      <w:bookmarkStart w:id="188" w:name="Tc_eKX1eI30DE-EI5NJdQZBSg_9_0"/>
      <w:bookmarkStart w:id="189" w:name="Tc_96n86jvoO0KN4iSt7ot6YQ_8_0"/>
      <w:bookmarkStart w:id="190" w:name="Tc_rceQQczHZE2xLdGnCpeUig_7_0"/>
      <w:bookmarkStart w:id="191" w:name="Tc_SuOnYD9t-06EHhA14C4_2w_6_0"/>
      <w:bookmarkStart w:id="192" w:name="Tc_1CR5yBN6bkeQLzmiyOFotQ_5_0"/>
      <w:bookmarkStart w:id="193" w:name="Tc_WheMXp4jTE6dg3hJy7lxKw_4_11"/>
      <w:bookmarkStart w:id="194" w:name="Tc_yD2vLk25fkiV4TiaJyATbw_4_8"/>
      <w:bookmarkStart w:id="195" w:name="Tc_PuE55gZT5UCPVhrZ_SCsfQ_4_5"/>
      <w:bookmarkStart w:id="196" w:name="Tc_GB53gxdJnkmodYlU4Idr5g_4_2"/>
      <w:bookmarkStart w:id="197" w:name="Tc_vhUOKo9YzU6YmVNCrHKncg_4_0"/>
      <w:bookmarkStart w:id="198" w:name="Tc_N9ZGiOPUbEWSPDeDc702tA_3_0"/>
      <w:bookmarkStart w:id="199" w:name="Tc_7f5asceFUUmKnWEqXK6hcw_2_12"/>
      <w:bookmarkStart w:id="200" w:name="Tc_UJCyjmlDpEaFHdkiTRtsRA_2_9"/>
      <w:bookmarkStart w:id="201" w:name="Tc_A1Ndxh7kFUCxrV9puDlfcA_2_6"/>
      <w:bookmarkStart w:id="202" w:name="Tc_2cwTY90Ey0SiTIWiJa4FZw_2_3"/>
      <w:bookmarkStart w:id="203" w:name="Tc_qXJQFbRToEezjOv8k1Zo0g_1_8"/>
      <w:bookmarkStart w:id="204" w:name="Tc_bHJfeKJ61E-ggWwO-NF9ag_1_2"/>
      <w:bookmarkStart w:id="205" w:name="_6807149e_4cfc_4374_a849_5e31f2eb3aa3"/>
      <w:bookmarkStart w:id="206" w:name="_d0ae8e7d_8a97_4d78_8423_e9a5e0f436e0"/>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10205" w:type="dxa"/>
        <w:jc w:val="left"/>
        <w:tblInd w:w="0" w:type="dxa"/>
        <w:tblLayout w:type="fixed"/>
        <w:tblCellMar>
          <w:top w:w="0" w:type="dxa"/>
          <w:left w:w="0" w:type="dxa"/>
          <w:bottom w:w="0" w:type="dxa"/>
          <w:right w:w="0" w:type="dxa"/>
        </w:tblCellMar>
      </w:tblPr>
      <w:tblGrid>
        <w:gridCol w:w="3943"/>
        <w:gridCol w:w="326"/>
        <w:gridCol w:w="214"/>
        <w:gridCol w:w="1004"/>
        <w:gridCol w:w="357"/>
        <w:gridCol w:w="214"/>
        <w:gridCol w:w="1004"/>
        <w:gridCol w:w="326"/>
        <w:gridCol w:w="207"/>
        <w:gridCol w:w="970"/>
        <w:gridCol w:w="345"/>
        <w:gridCol w:w="207"/>
        <w:gridCol w:w="1088"/>
      </w:tblGrid>
      <w:tr>
        <w:trPr/>
        <w:tc>
          <w:tcPr>
            <w:tcW w:w="3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03805" cy="175260"/>
                      <wp:effectExtent l="0" t="0" r="0" b="0"/>
                      <wp:wrapNone/>
                      <wp:docPr id="11" name="Frame11"/>
                      <a:graphic xmlns:a="http://schemas.openxmlformats.org/drawingml/2006/main">
                        <a:graphicData uri="http://schemas.microsoft.com/office/word/2010/wordprocessingShape">
                          <wps:wsp>
                            <wps:cNvSpPr txBox="1"/>
                            <wps:spPr>
                              <a:xfrm>
                                <a:off x="0" y="0"/>
                                <a:ext cx="2503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7540" cy="175260"/>
                      <wp:effectExtent l="0" t="0" r="0" b="0"/>
                      <wp:wrapNone/>
                      <wp:docPr id="14" name="Frame14"/>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6695" cy="175260"/>
                      <wp:effectExtent l="0" t="0" r="0" b="0"/>
                      <wp:wrapNone/>
                      <wp:docPr id="15" name="Frame1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5890" cy="175260"/>
                      <wp:effectExtent l="0" t="0" r="0" b="0"/>
                      <wp:wrapNone/>
                      <wp:docPr id="16" name="Frame1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37540" cy="175260"/>
                      <wp:effectExtent l="0" t="0" r="0" b="0"/>
                      <wp:wrapNone/>
                      <wp:docPr id="17" name="Frame17"/>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1445" cy="175260"/>
                      <wp:effectExtent l="0" t="0" r="0" b="0"/>
                      <wp:wrapNone/>
                      <wp:docPr id="19" name="Frame19"/>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15950" cy="175260"/>
                      <wp:effectExtent l="0" t="0" r="0" b="0"/>
                      <wp:wrapNone/>
                      <wp:docPr id="20" name="Frame20"/>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075" cy="175260"/>
                      <wp:effectExtent l="0" t="0" r="0" b="0"/>
                      <wp:wrapNone/>
                      <wp:docPr id="21" name="Frame21"/>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1445" cy="175260"/>
                      <wp:effectExtent l="0" t="0" r="0" b="0"/>
                      <wp:wrapNone/>
                      <wp:docPr id="22" name="Frame22"/>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0880" cy="175260"/>
                      <wp:effectExtent l="0" t="0" r="0" b="0"/>
                      <wp:wrapNone/>
                      <wp:docPr id="23" name="Frame23"/>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793"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26" w:type="dxa"/>
            <w:tcBorders/>
            <w:vAlign w:val="center"/>
          </w:tcPr>
          <w:p>
            <w:pPr>
              <w:pStyle w:val="TableContents"/>
              <w:bidi w:val="0"/>
              <w:spacing w:before="0" w:after="1"/>
              <w:ind w:left="0" w:right="0" w:hanging="0"/>
              <w:jc w:val="center"/>
              <w:rPr/>
            </w:pPr>
            <w:r>
              <w:rPr/>
              <w:t>​</w:t>
            </w:r>
          </w:p>
        </w:tc>
        <w:tc>
          <w:tcPr>
            <w:tcW w:w="2817"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r>
      <w:tr>
        <w:trPr/>
        <w:tc>
          <w:tcPr>
            <w:tcW w:w="39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1"/>
              <w:ind w:left="0" w:right="0" w:hanging="0"/>
              <w:jc w:val="center"/>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94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expenses:</w:t>
            </w:r>
          </w:p>
        </w:tc>
        <w:tc>
          <w:tcPr>
            <w:tcW w:w="326" w:type="dxa"/>
            <w:tcBorders/>
            <w:shd w:fill="CCEEFF" w:val="clear"/>
            <w:vAlign w:val="center"/>
          </w:tcPr>
          <w:p>
            <w:pPr>
              <w:pStyle w:val="TableContents"/>
              <w:bidi w:val="0"/>
              <w:spacing w:before="0" w:after="1"/>
              <w:ind w:left="0" w:right="0" w:hanging="0"/>
              <w:jc w:val="center"/>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57" w:type="dxa"/>
            <w:tcBorders/>
            <w:shd w:fill="CCEEFF" w:val="clear"/>
            <w:vAlign w:val="center"/>
          </w:tcPr>
          <w:p>
            <w:pPr>
              <w:pStyle w:val="TableContents"/>
              <w:bidi w:val="0"/>
              <w:spacing w:before="0" w:after="1"/>
              <w:ind w:left="0" w:right="0" w:hanging="0"/>
              <w:jc w:val="center"/>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7" w:type="dxa"/>
            <w:tcBorders/>
            <w:shd w:fill="CCEEFF" w:val="clear"/>
            <w:vAlign w:val="center"/>
          </w:tcPr>
          <w:p>
            <w:pPr>
              <w:pStyle w:val="TableContents"/>
              <w:bidi w:val="0"/>
              <w:spacing w:before="0" w:after="1"/>
              <w:ind w:left="0" w:right="0" w:hanging="0"/>
              <w:jc w:val="right"/>
              <w:rPr/>
            </w:pPr>
            <w:r>
              <w:rPr/>
              <w:t>​</w:t>
            </w:r>
          </w:p>
        </w:tc>
        <w:tc>
          <w:tcPr>
            <w:tcW w:w="970" w:type="dxa"/>
            <w:tcBorders/>
            <w:shd w:fill="CCEEFF" w:val="clear"/>
            <w:vAlign w:val="center"/>
          </w:tcPr>
          <w:p>
            <w:pPr>
              <w:pStyle w:val="TableContents"/>
              <w:bidi w:val="0"/>
              <w:spacing w:before="0" w:after="1"/>
              <w:ind w:left="0" w:right="0" w:hanging="0"/>
              <w:jc w:val="right"/>
              <w:rPr/>
            </w:pPr>
            <w:r>
              <w:rPr/>
              <w:t>​</w:t>
            </w:r>
          </w:p>
        </w:tc>
        <w:tc>
          <w:tcPr>
            <w:tcW w:w="345" w:type="dxa"/>
            <w:tcBorders/>
            <w:shd w:fill="CCEEFF" w:val="clear"/>
            <w:vAlign w:val="center"/>
          </w:tcPr>
          <w:p>
            <w:pPr>
              <w:pStyle w:val="TableContents"/>
              <w:bidi w:val="0"/>
              <w:spacing w:before="0" w:after="1"/>
              <w:ind w:left="0" w:right="0" w:hanging="0"/>
              <w:jc w:val="center"/>
              <w:rPr/>
            </w:pPr>
            <w:r>
              <w:rPr/>
              <w:t>​</w:t>
            </w:r>
          </w:p>
        </w:tc>
        <w:tc>
          <w:tcPr>
            <w:tcW w:w="207" w:type="dxa"/>
            <w:tcBorders/>
            <w:shd w:fill="CCEEFF" w:val="clear"/>
            <w:vAlign w:val="center"/>
          </w:tcPr>
          <w:p>
            <w:pPr>
              <w:pStyle w:val="TableContents"/>
              <w:bidi w:val="0"/>
              <w:spacing w:before="0" w:after="1"/>
              <w:ind w:left="0" w:right="0" w:hanging="0"/>
              <w:jc w:val="right"/>
              <w:rPr/>
            </w:pPr>
            <w:r>
              <w:rPr/>
              <w:t>​</w:t>
            </w:r>
          </w:p>
        </w:tc>
        <w:tc>
          <w:tcPr>
            <w:tcW w:w="1088" w:type="dxa"/>
            <w:tcBorders/>
            <w:shd w:fill="CCEEFF" w:val="clear"/>
            <w:vAlign w:val="center"/>
          </w:tcPr>
          <w:p>
            <w:pPr>
              <w:pStyle w:val="TableContents"/>
              <w:bidi w:val="0"/>
              <w:spacing w:before="0" w:after="1"/>
              <w:ind w:left="0" w:right="0" w:hanging="0"/>
              <w:jc w:val="right"/>
              <w:rPr/>
            </w:pPr>
            <w:r>
              <w:rPr/>
              <w:t>​</w:t>
            </w:r>
          </w:p>
        </w:tc>
      </w:tr>
      <w:tr>
        <w:trPr/>
        <w:tc>
          <w:tcPr>
            <w:tcW w:w="394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Research and development</w:t>
            </w:r>
          </w:p>
        </w:tc>
        <w:tc>
          <w:tcPr>
            <w:tcW w:w="326" w:type="dxa"/>
            <w:tcBorders/>
            <w:vAlign w:val="center"/>
          </w:tcPr>
          <w:p>
            <w:pPr>
              <w:pStyle w:val="TableContents"/>
              <w:bidi w:val="0"/>
              <w:spacing w:before="0" w:after="1"/>
              <w:ind w:left="0" w:right="0" w:hanging="0"/>
              <w:jc w:val="center"/>
              <w:rPr/>
            </w:pPr>
            <w:r>
              <w:rPr/>
              <w:t>    </w:t>
            </w:r>
          </w:p>
        </w:tc>
        <w:tc>
          <w:tcPr>
            <w:tcW w:w="2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0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19,453</w:t>
            </w:r>
          </w:p>
        </w:tc>
        <w:tc>
          <w:tcPr>
            <w:tcW w:w="357" w:type="dxa"/>
            <w:tcBorders/>
            <w:vAlign w:val="center"/>
          </w:tcPr>
          <w:p>
            <w:pPr>
              <w:pStyle w:val="TableContents"/>
              <w:bidi w:val="0"/>
              <w:spacing w:before="0" w:after="1"/>
              <w:ind w:left="0" w:right="0" w:hanging="0"/>
              <w:jc w:val="center"/>
              <w:rPr/>
            </w:pPr>
            <w:r>
              <w:rPr/>
              <w:t>    </w:t>
            </w:r>
          </w:p>
        </w:tc>
        <w:tc>
          <w:tcPr>
            <w:tcW w:w="21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0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17,627</w:t>
            </w:r>
          </w:p>
        </w:tc>
        <w:tc>
          <w:tcPr>
            <w:tcW w:w="326" w:type="dxa"/>
            <w:tcBorders/>
            <w:vAlign w:val="center"/>
          </w:tcPr>
          <w:p>
            <w:pPr>
              <w:pStyle w:val="TableContents"/>
              <w:bidi w:val="0"/>
              <w:spacing w:before="0" w:after="1"/>
              <w:ind w:left="0" w:right="0" w:hanging="0"/>
              <w:jc w:val="center"/>
              <w:rPr/>
            </w:pPr>
            <w:r>
              <w:rPr/>
              <w:t>    </w:t>
            </w:r>
          </w:p>
        </w:tc>
        <w:tc>
          <w:tcPr>
            <w:tcW w:w="20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60,268</w:t>
            </w:r>
          </w:p>
        </w:tc>
        <w:tc>
          <w:tcPr>
            <w:tcW w:w="345" w:type="dxa"/>
            <w:tcBorders/>
            <w:vAlign w:val="center"/>
          </w:tcPr>
          <w:p>
            <w:pPr>
              <w:pStyle w:val="TableContents"/>
              <w:bidi w:val="0"/>
              <w:spacing w:before="0" w:after="1"/>
              <w:ind w:left="0" w:right="0" w:hanging="0"/>
              <w:jc w:val="center"/>
              <w:rPr/>
            </w:pPr>
            <w:r>
              <w:rPr/>
              <w:t>    </w:t>
            </w:r>
          </w:p>
        </w:tc>
        <w:tc>
          <w:tcPr>
            <w:tcW w:w="207"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8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60,690</w:t>
            </w:r>
          </w:p>
        </w:tc>
      </w:tr>
      <w:tr>
        <w:trPr/>
        <w:tc>
          <w:tcPr>
            <w:tcW w:w="394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3,889</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5,595</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14,277</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19,079</w:t>
            </w:r>
          </w:p>
        </w:tc>
      </w:tr>
      <w:tr>
        <w:trPr/>
        <w:tc>
          <w:tcPr>
            <w:tcW w:w="394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operating expenses</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23,342</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23,222</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74,545</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79,769</w:t>
            </w:r>
          </w:p>
        </w:tc>
      </w:tr>
      <w:tr>
        <w:trPr/>
        <w:tc>
          <w:tcPr>
            <w:tcW w:w="394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 </w:t>
            </w:r>
          </w:p>
        </w:tc>
        <w:tc>
          <w:tcPr>
            <w:tcW w:w="100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(23,342)</w:t>
            </w:r>
          </w:p>
        </w:tc>
        <w:tc>
          <w:tcPr>
            <w:tcW w:w="357"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100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(23,222)</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righ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(74,545)</w:t>
            </w:r>
          </w:p>
        </w:tc>
        <w:tc>
          <w:tcPr>
            <w:tcW w:w="34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right"/>
              <w:rPr/>
            </w:pPr>
            <w:r>
              <w:rPr/>
              <w:t> </w:t>
            </w:r>
          </w:p>
        </w:tc>
        <w:tc>
          <w:tcPr>
            <w:tcW w:w="108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(79,769)</w:t>
            </w:r>
          </w:p>
        </w:tc>
      </w:tr>
      <w:tr>
        <w:trPr/>
        <w:tc>
          <w:tcPr>
            <w:tcW w:w="394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income (expense):</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 </w:t>
            </w:r>
          </w:p>
        </w:tc>
        <w:tc>
          <w:tcPr>
            <w:tcW w:w="1004" w:type="dxa"/>
            <w:tcBorders/>
            <w:vAlign w:val="center"/>
          </w:tcPr>
          <w:p>
            <w:pPr>
              <w:pStyle w:val="TableContents"/>
              <w:bidi w:val="0"/>
              <w:spacing w:before="0" w:after="1"/>
              <w:ind w:left="0" w:right="0" w:hanging="0"/>
              <w:jc w:val="right"/>
              <w:rPr/>
            </w:pPr>
            <w:r>
              <w:rPr/>
              <w:t>​</w:t>
            </w:r>
          </w:p>
        </w:tc>
        <w:tc>
          <w:tcPr>
            <w:tcW w:w="357"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10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right"/>
              <w:rPr/>
            </w:pPr>
            <w:r>
              <w:rPr/>
              <w:t> </w:t>
            </w:r>
          </w:p>
        </w:tc>
        <w:tc>
          <w:tcPr>
            <w:tcW w:w="970" w:type="dxa"/>
            <w:tcBorders/>
            <w:vAlign w:val="center"/>
          </w:tcPr>
          <w:p>
            <w:pPr>
              <w:pStyle w:val="TableContents"/>
              <w:bidi w:val="0"/>
              <w:spacing w:before="0" w:after="1"/>
              <w:ind w:left="0" w:right="0" w:hanging="0"/>
              <w:jc w:val="right"/>
              <w:rPr/>
            </w:pPr>
            <w:r>
              <w:rPr/>
              <w:t>​</w:t>
            </w:r>
          </w:p>
        </w:tc>
        <w:tc>
          <w:tcPr>
            <w:tcW w:w="345"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right"/>
              <w:rPr/>
            </w:pPr>
            <w:r>
              <w:rPr/>
              <w:t> </w:t>
            </w:r>
          </w:p>
        </w:tc>
        <w:tc>
          <w:tcPr>
            <w:tcW w:w="1088" w:type="dxa"/>
            <w:tcBorders/>
            <w:vAlign w:val="center"/>
          </w:tcPr>
          <w:p>
            <w:pPr>
              <w:pStyle w:val="TableContents"/>
              <w:bidi w:val="0"/>
              <w:spacing w:before="0" w:after="1"/>
              <w:ind w:left="0" w:right="0" w:hanging="0"/>
              <w:jc w:val="right"/>
              <w:rPr/>
            </w:pPr>
            <w:r>
              <w:rPr/>
              <w:t>  </w:t>
            </w:r>
          </w:p>
        </w:tc>
      </w:tr>
      <w:tr>
        <w:trPr/>
        <w:tc>
          <w:tcPr>
            <w:tcW w:w="394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 </w:t>
            </w:r>
          </w:p>
        </w:tc>
        <w:tc>
          <w:tcPr>
            <w:tcW w:w="100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1,919</w:t>
            </w:r>
          </w:p>
        </w:tc>
        <w:tc>
          <w:tcPr>
            <w:tcW w:w="357"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100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622</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righ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4,774</w:t>
            </w:r>
          </w:p>
        </w:tc>
        <w:tc>
          <w:tcPr>
            <w:tcW w:w="34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right"/>
              <w:rPr/>
            </w:pPr>
            <w:r>
              <w:rPr/>
              <w:t> </w:t>
            </w:r>
          </w:p>
        </w:tc>
        <w:tc>
          <w:tcPr>
            <w:tcW w:w="108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1,255</w:t>
            </w:r>
          </w:p>
        </w:tc>
      </w:tr>
      <w:tr>
        <w:trPr/>
        <w:tc>
          <w:tcPr>
            <w:tcW w:w="394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expense</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(120)</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right"/>
              <w:rPr/>
            </w:pPr>
            <w:r>
              <w:rPr/>
              <w:t>​</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(94)</w:t>
            </w:r>
          </w:p>
        </w:tc>
      </w:tr>
      <w:tr>
        <w:trPr/>
        <w:tc>
          <w:tcPr>
            <w:tcW w:w="394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1,840</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502</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4,662</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1,161</w:t>
            </w:r>
          </w:p>
        </w:tc>
      </w:tr>
      <w:tr>
        <w:trPr/>
        <w:tc>
          <w:tcPr>
            <w:tcW w:w="394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loss</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(21,502)</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(22,720)</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(69,883)</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8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(78,608)</w:t>
            </w:r>
          </w:p>
        </w:tc>
      </w:tr>
      <w:tr>
        <w:trPr/>
        <w:tc>
          <w:tcPr>
            <w:tcW w:w="3943"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Net loss per share,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(0.48)</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(0.57)</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(1.66)</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6"/>
              </w:rPr>
            </w:pPr>
            <w:r>
              <w:rPr>
                <w:rFonts w:ascii="Arial;Helvetica;sans-serif" w:hAnsi="Arial;Helvetica;sans-serif"/>
                <w:color w:val="231F20"/>
                <w:sz w:val="16"/>
              </w:rPr>
              <w:t>(1.97)</w:t>
            </w:r>
          </w:p>
        </w:tc>
      </w:tr>
      <w:tr>
        <w:trPr/>
        <w:tc>
          <w:tcPr>
            <w:tcW w:w="3943" w:type="dxa"/>
            <w:tcBorders/>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Weighted average shares used to compute net loss per share, basic and diluted</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44,977,161</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40,036,201</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9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41,999,978</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088"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6"/>
              </w:rPr>
            </w:pPr>
            <w:r>
              <w:rPr>
                <w:rFonts w:ascii="Arial;Helvetica;sans-serif" w:hAnsi="Arial;Helvetica;sans-serif"/>
                <w:sz w:val="16"/>
              </w:rPr>
              <w:t>39,930,418</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07" w:name="Tc_B7FyttcgkEiMXG04OtaB6A_6_11"/>
      <w:bookmarkStart w:id="208" w:name="Tc_N0dLSxoauU-SNrhu7L_a_A_6_8"/>
      <w:bookmarkStart w:id="209" w:name="Tc_fw23O5DjlEStmo6dxGHJUQ_6_5"/>
      <w:bookmarkStart w:id="210" w:name="Tc_JK0SEB27t0OFj83k-qFmBA_6_2"/>
      <w:bookmarkStart w:id="211" w:name="Tc_NrUz94qvmEeru2A2YYFjAw_6_0"/>
      <w:bookmarkStart w:id="212" w:name="Tc_QRdmUan7jEWTgDq8iJoGgw_5_0"/>
      <w:bookmarkStart w:id="213" w:name="Tc_A8U_-xhmyEiWzPMqiVnrsw_4_0"/>
      <w:bookmarkStart w:id="214" w:name="Tc_4Ji4FcEeAEiF65IICVGm4w_3_11"/>
      <w:bookmarkStart w:id="215" w:name="Tc_nO2VZ7Zd0kq-cfd7lvm-hA_3_8"/>
      <w:bookmarkStart w:id="216" w:name="Tc_HnOG53RWkUyEAGgmwge3kg_3_5"/>
      <w:bookmarkStart w:id="217" w:name="Tc_EAimNnqrKkGmoo0Irdh9sQ_3_2"/>
      <w:bookmarkStart w:id="218" w:name="Tc_rZfjIcCWQU-trE_W5jJs-Q_3_0"/>
      <w:bookmarkStart w:id="219" w:name="Tc_eb4tE9LbpUOf9Ap4-p6uZw_2_12"/>
      <w:bookmarkStart w:id="220" w:name="Tc_k1T17Spl10WmYnDPYR5j3Q_2_9"/>
      <w:bookmarkStart w:id="221" w:name="Tc_gqLTjtWzjEy6SBOSmgX0Kg_2_6"/>
      <w:bookmarkStart w:id="222" w:name="Tc_yE-TV8ng8UOU3zvavHhgxQ_2_3"/>
      <w:bookmarkStart w:id="223" w:name="Tc_AWn1O-22H0G_wb_Z6XBaDg_1_8"/>
      <w:bookmarkStart w:id="224" w:name="Tc_w_0h6KJF-EqRaNI75Wx6FQ_1_2"/>
      <w:bookmarkStart w:id="225" w:name="_69faf3c2_f1f5_4077_a351_8c41f5dfc3fa"/>
      <w:bookmarkStart w:id="226" w:name="Tc_B7FyttcgkEiMXG04OtaB6A_6_11"/>
      <w:bookmarkStart w:id="227" w:name="Tc_N0dLSxoauU-SNrhu7L_a_A_6_8"/>
      <w:bookmarkStart w:id="228" w:name="Tc_fw23O5DjlEStmo6dxGHJUQ_6_5"/>
      <w:bookmarkStart w:id="229" w:name="Tc_JK0SEB27t0OFj83k-qFmBA_6_2"/>
      <w:bookmarkStart w:id="230" w:name="Tc_NrUz94qvmEeru2A2YYFjAw_6_0"/>
      <w:bookmarkStart w:id="231" w:name="Tc_QRdmUan7jEWTgDq8iJoGgw_5_0"/>
      <w:bookmarkStart w:id="232" w:name="Tc_A8U_-xhmyEiWzPMqiVnrsw_4_0"/>
      <w:bookmarkStart w:id="233" w:name="Tc_4Ji4FcEeAEiF65IICVGm4w_3_11"/>
      <w:bookmarkStart w:id="234" w:name="Tc_nO2VZ7Zd0kq-cfd7lvm-hA_3_8"/>
      <w:bookmarkStart w:id="235" w:name="Tc_HnOG53RWkUyEAGgmwge3kg_3_5"/>
      <w:bookmarkStart w:id="236" w:name="Tc_EAimNnqrKkGmoo0Irdh9sQ_3_2"/>
      <w:bookmarkStart w:id="237" w:name="Tc_rZfjIcCWQU-trE_W5jJs-Q_3_0"/>
      <w:bookmarkStart w:id="238" w:name="Tc_eb4tE9LbpUOf9Ap4-p6uZw_2_12"/>
      <w:bookmarkStart w:id="239" w:name="Tc_k1T17Spl10WmYnDPYR5j3Q_2_9"/>
      <w:bookmarkStart w:id="240" w:name="Tc_gqLTjtWzjEy6SBOSmgX0Kg_2_6"/>
      <w:bookmarkStart w:id="241" w:name="Tc_yE-TV8ng8UOU3zvavHhgxQ_2_3"/>
      <w:bookmarkStart w:id="242" w:name="Tc_AWn1O-22H0G_wb_Z6XBaDg_1_8"/>
      <w:bookmarkStart w:id="243" w:name="Tc_w_0h6KJF-EqRaNI75Wx6FQ_1_2"/>
      <w:bookmarkStart w:id="244" w:name="_69faf3c2_f1f5_4077_a351_8c41f5dfc3fa"/>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9921" w:type="dxa"/>
        <w:jc w:val="left"/>
        <w:tblInd w:w="0" w:type="dxa"/>
        <w:tblLayout w:type="fixed"/>
        <w:tblCellMar>
          <w:top w:w="0" w:type="dxa"/>
          <w:left w:w="0" w:type="dxa"/>
          <w:bottom w:w="0" w:type="dxa"/>
          <w:right w:w="0" w:type="dxa"/>
        </w:tblCellMar>
      </w:tblPr>
      <w:tblGrid>
        <w:gridCol w:w="3811"/>
        <w:gridCol w:w="109"/>
        <w:gridCol w:w="269"/>
        <w:gridCol w:w="991"/>
        <w:gridCol w:w="448"/>
        <w:gridCol w:w="269"/>
        <w:gridCol w:w="991"/>
        <w:gridCol w:w="109"/>
        <w:gridCol w:w="260"/>
        <w:gridCol w:w="956"/>
        <w:gridCol w:w="432"/>
        <w:gridCol w:w="260"/>
        <w:gridCol w:w="101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19985" cy="175260"/>
                      <wp:effectExtent l="0" t="0" r="0" b="0"/>
                      <wp:wrapNone/>
                      <wp:docPr id="24" name="Frame2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0815" cy="175260"/>
                      <wp:effectExtent l="0" t="0" r="0" b="0"/>
                      <wp:wrapNone/>
                      <wp:docPr id="26" name="Frame2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29285" cy="175260"/>
                      <wp:effectExtent l="0" t="0" r="0" b="0"/>
                      <wp:wrapNone/>
                      <wp:docPr id="27" name="Frame2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84480" cy="175260"/>
                      <wp:effectExtent l="0" t="0" r="0" b="0"/>
                      <wp:wrapNone/>
                      <wp:docPr id="28" name="Frame2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0815" cy="175260"/>
                      <wp:effectExtent l="0" t="0" r="0" b="0"/>
                      <wp:wrapNone/>
                      <wp:docPr id="29" name="Frame2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29285" cy="175260"/>
                      <wp:effectExtent l="0" t="0" r="0" b="0"/>
                      <wp:wrapNone/>
                      <wp:docPr id="30" name="Frame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5100" cy="175260"/>
                      <wp:effectExtent l="0" t="0" r="0" b="0"/>
                      <wp:wrapNone/>
                      <wp:docPr id="32" name="Frame3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7060" cy="175260"/>
                      <wp:effectExtent l="0" t="0" r="0" b="0"/>
                      <wp:wrapNone/>
                      <wp:docPr id="33" name="Frame33"/>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74320" cy="175260"/>
                      <wp:effectExtent l="0" t="0" r="0" b="0"/>
                      <wp:wrapNone/>
                      <wp:docPr id="34" name="Frame34"/>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5100" cy="175260"/>
                      <wp:effectExtent l="0" t="0" r="0" b="0"/>
                      <wp:wrapNone/>
                      <wp:docPr id="35" name="Frame3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5160" cy="175260"/>
                      <wp:effectExtent l="0" t="0" r="0" b="0"/>
                      <wp:wrapNone/>
                      <wp:docPr id="36" name="Frame36"/>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968"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109"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924"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r>
      <w:tr>
        <w:trPr/>
        <w:tc>
          <w:tcPr>
            <w:tcW w:w="38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5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Net loss </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(21,502)</w:t>
            </w:r>
          </w:p>
        </w:tc>
        <w:tc>
          <w:tcPr>
            <w:tcW w:w="448"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(22,720)</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5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(69,883)</w:t>
            </w:r>
          </w:p>
        </w:tc>
        <w:tc>
          <w:tcPr>
            <w:tcW w:w="432"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(78,608)</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Other comprehensive loss:</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right"/>
              <w:rPr/>
            </w:pPr>
            <w:r>
              <w:rPr/>
              <w:t>​</w:t>
            </w:r>
          </w:p>
        </w:tc>
        <w:tc>
          <w:tcPr>
            <w:tcW w:w="991" w:type="dxa"/>
            <w:tcBorders/>
            <w:vAlign w:val="center"/>
          </w:tcPr>
          <w:p>
            <w:pPr>
              <w:pStyle w:val="TableContents"/>
              <w:bidi w:val="0"/>
              <w:spacing w:before="0" w:after="1"/>
              <w:ind w:left="0" w:right="0" w:hanging="0"/>
              <w:jc w:val="right"/>
              <w:rPr/>
            </w:pPr>
            <w:r>
              <w:rPr/>
              <w:t>​</w:t>
            </w:r>
          </w:p>
        </w:tc>
        <w:tc>
          <w:tcPr>
            <w:tcW w:w="448"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right"/>
              <w:rPr/>
            </w:pPr>
            <w:r>
              <w:rPr/>
              <w:t>​</w:t>
            </w:r>
          </w:p>
        </w:tc>
        <w:tc>
          <w:tcPr>
            <w:tcW w:w="9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w:t>
            </w:r>
          </w:p>
        </w:tc>
        <w:tc>
          <w:tcPr>
            <w:tcW w:w="956" w:type="dxa"/>
            <w:tcBorders/>
            <w:vAlign w:val="center"/>
          </w:tcPr>
          <w:p>
            <w:pPr>
              <w:pStyle w:val="TableContents"/>
              <w:bidi w:val="0"/>
              <w:spacing w:before="0" w:after="1"/>
              <w:ind w:left="0" w:right="0" w:hanging="0"/>
              <w:jc w:val="right"/>
              <w:rPr/>
            </w:pPr>
            <w:r>
              <w:rPr/>
              <w:t>​</w:t>
            </w:r>
          </w:p>
        </w:tc>
        <w:tc>
          <w:tcPr>
            <w:tcW w:w="432"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w:t>
            </w:r>
          </w:p>
        </w:tc>
        <w:tc>
          <w:tcPr>
            <w:tcW w:w="1016" w:type="dxa"/>
            <w:tcBorders/>
            <w:vAlign w:val="center"/>
          </w:tcPr>
          <w:p>
            <w:pPr>
              <w:pStyle w:val="TableContents"/>
              <w:bidi w:val="0"/>
              <w:spacing w:before="0" w:after="1"/>
              <w:ind w:left="0" w:right="0" w:hanging="0"/>
              <w:jc w:val="righ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unrealized gain (loss) on marketable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277</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(276)</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1,572</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(2,525)</w:t>
            </w:r>
          </w:p>
        </w:tc>
      </w:tr>
      <w:tr>
        <w:trPr/>
        <w:tc>
          <w:tcPr>
            <w:tcW w:w="38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color w:val="231F20"/>
                <w:sz w:val="16"/>
              </w:rPr>
            </w:pPr>
            <w:r>
              <w:rPr>
                <w:rFonts w:ascii="Arial;Helvetica;sans-serif" w:hAnsi="Arial;Helvetica;sans-serif"/>
                <w:color w:val="231F20"/>
                <w:sz w:val="16"/>
              </w:rPr>
              <w:t>Total comprehensive loss</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(21,225)</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(22,996)</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9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(68,311)</w:t>
            </w:r>
          </w:p>
        </w:tc>
        <w:tc>
          <w:tcPr>
            <w:tcW w:w="43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w:t>
            </w:r>
          </w:p>
        </w:tc>
        <w:tc>
          <w:tcPr>
            <w:tcW w:w="10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(81,133)</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Arial;Helvetica;sans-serif" w:hAnsi="Arial;Helvetica;sans-serif"/>
          <w:b/>
          <w:sz w:val="20"/>
        </w:rPr>
      </w:pPr>
      <w:bookmarkStart w:id="245" w:name="_67fe8a66_f25f_43f9_97a8_0a037a31b692"/>
      <w:bookmarkEnd w:id="245"/>
      <w:r>
        <w:rPr>
          <w:rFonts w:ascii="Arial;Helvetica;sans-serif" w:hAnsi="Arial;Helvetica;sans-serif"/>
          <w:b/>
          <w:sz w:val="20"/>
        </w:rPr>
        <w:t>Olema Pharmaceuticals, Inc.</w:t>
      </w:r>
    </w:p>
    <w:p>
      <w:pPr>
        <w:pStyle w:val="TextBody"/>
        <w:bidi w:val="0"/>
        <w:spacing w:before="0" w:after="100"/>
        <w:ind w:left="0" w:right="0" w:hanging="0"/>
        <w:jc w:val="center"/>
        <w:rPr>
          <w:rFonts w:ascii="Arial;Helvetica;sans-serif" w:hAnsi="Arial;Helvetica;sans-serif"/>
          <w:sz w:val="20"/>
        </w:rPr>
      </w:pPr>
      <w:bookmarkStart w:id="246" w:name="CondensedConsolidatedStatementsofconvert"/>
      <w:bookmarkEnd w:id="246"/>
      <w:r>
        <w:rPr>
          <w:rFonts w:ascii="Arial;Helvetica;sans-serif" w:hAnsi="Arial;Helvetica;sans-serif"/>
          <w:b/>
          <w:sz w:val="20"/>
        </w:rPr>
        <w:t>Condensed Consolidated Statements of Stockholders’ Equity</w:t>
      </w:r>
      <w:r>
        <w:rPr>
          <w:rFonts w:ascii="Arial;Helvetica;sans-serif" w:hAnsi="Arial;Helvetica;sans-serif"/>
          <w:sz w:val="20"/>
        </w:rPr>
        <w:t xml:space="preserve"> </w:t>
      </w:r>
      <w:r>
        <w:rPr>
          <w:rFonts w:ascii="Arial;Helvetica;sans-serif" w:hAnsi="Arial;Helvetica;sans-serif"/>
          <w:b/>
          <w:sz w:val="20"/>
        </w:rPr>
        <w:t xml:space="preserve">(Unaudited) </w:t>
      </w:r>
    </w:p>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20"/>
        </w:rPr>
        <w:t>(Amounts in thousands, except for share amounts)</w:t>
      </w:r>
    </w:p>
    <w:p>
      <w:pPr>
        <w:pStyle w:val="Normal"/>
        <w:bidi w:val="0"/>
        <w:spacing w:before="0" w:after="0"/>
        <w:jc w:val="left"/>
        <w:rPr>
          <w:sz w:val="4"/>
          <w:szCs w:val="4"/>
        </w:rPr>
      </w:pPr>
      <w:r>
        <w:rPr>
          <w:sz w:val="4"/>
          <w:szCs w:val="4"/>
        </w:rPr>
      </w:r>
      <w:bookmarkStart w:id="247" w:name="Tc_ulyPuKu1FUq84h-K-Cbixg_31_16"/>
      <w:bookmarkStart w:id="248" w:name="Tc_ldPHCIM9-0GTiHx7BVgn8A_31_13"/>
      <w:bookmarkStart w:id="249" w:name="Tc_WXcO8SmwH0C2cOHnlqx7jg_31_10"/>
      <w:bookmarkStart w:id="250" w:name="Tc_NPiXxFTi0k2GfxLmlOq_3w_31_7"/>
      <w:bookmarkStart w:id="251" w:name="Tc_DwoUOAUHv0Oncc1xyPeVPg_31_4"/>
      <w:bookmarkStart w:id="252" w:name="Tc_v8AJDKsirk2hoIwagukG8Q_31_0"/>
      <w:bookmarkStart w:id="253" w:name="Tc_w8sv9U9DY0WwrKt7zlSqmw_30_11"/>
      <w:bookmarkStart w:id="254" w:name="Tc_nbT8ftmBU02jicu6b5-W0Q_30_8"/>
      <w:bookmarkStart w:id="255" w:name="Tc_amp1iUTNF0-KcaRHb1hASQ_30_5"/>
      <w:bookmarkStart w:id="256" w:name="Tc_76PRwrajNUq60P-DUluRFg_30_2"/>
      <w:bookmarkStart w:id="257" w:name="Tc_pL5JO3dgNUK0BbfL5pAKMw_30_0"/>
      <w:bookmarkStart w:id="258" w:name="Tc_FFdMFAFe7EqAGfT6Ghzxfw_29_14"/>
      <w:bookmarkStart w:id="259" w:name="Tc_xGSfSexCbEy0dmZAAAnHSA_29_8"/>
      <w:bookmarkStart w:id="260" w:name="Tc_t0pV72VoM02Po3zin79DBw_29_5"/>
      <w:bookmarkStart w:id="261" w:name="Tc_gcOMH6ZQpEOqDUhmxORkOA_29_2"/>
      <w:bookmarkStart w:id="262" w:name="Tc_oP4G1omOwUazz3HKXVx0IQ_29_0"/>
      <w:bookmarkStart w:id="263" w:name="Tc_8mIVuP39C02QQxLueqo4zQ_28_14"/>
      <w:bookmarkStart w:id="264" w:name="Tc_duwnojcw40K1mqj4JhKqMA_28_11"/>
      <w:bookmarkStart w:id="265" w:name="Tc_m3vUJH_6HU-4vvjzsHU2Lg_28_5"/>
      <w:bookmarkStart w:id="266" w:name="Tc__1ATgyGx606wRLHdLzW0sA_28_2"/>
      <w:bookmarkStart w:id="267" w:name="Tc_TsuzZ1dCIES7xbiPmXtaxQ_28_0"/>
      <w:bookmarkStart w:id="268" w:name="Tc_Q5IGrl5ry06mJEZb7uvvBA_27_14"/>
      <w:bookmarkStart w:id="269" w:name="Tc_q05wMBFbNk6pERToKT7xIw_27_11"/>
      <w:bookmarkStart w:id="270" w:name="Tc_RKDyzkAb00aZtxgebZFZfw_27_5"/>
      <w:bookmarkStart w:id="271" w:name="Tc_JUtsB4Yk_EGMMqyTaiG8iw_27_2"/>
      <w:bookmarkStart w:id="272" w:name="Tc_Gs1qO2uYUEu_xahhklEguw_27_0"/>
      <w:bookmarkStart w:id="273" w:name="Tc_H8HXp2oPTkOOmeWd7OP-og_26_14"/>
      <w:bookmarkStart w:id="274" w:name="Tc_mbiITMaJyk2IaOGF49toJA_26_11"/>
      <w:bookmarkStart w:id="275" w:name="Tc_dFr93H6ZhkO-IiNHmAs9ow_26_0"/>
      <w:bookmarkStart w:id="276" w:name="Tc_eLKbbnGSeUqXNG0XJECcEQ_25_14"/>
      <w:bookmarkStart w:id="277" w:name="Tc_8ibCLLoFn0eE_bwaHrbDeQ_25_11"/>
      <w:bookmarkStart w:id="278" w:name="Tc_qyC2fGtch0KjI6hg_0unNQ_25_5"/>
      <w:bookmarkStart w:id="279" w:name="Tc_7-Lr-yZa1Uy4aVmZdN875g_25_0"/>
      <w:bookmarkStart w:id="280" w:name="Tc_ucQAokt0dEGlsoXUQ1AHHg_24_14"/>
      <w:bookmarkStart w:id="281" w:name="Tc_PGSD_9WQnE2RE6NvN6y4XA_24_11"/>
      <w:bookmarkStart w:id="282" w:name="Tc_EQxVJ2aGNkae7YBobre_rA_24_5"/>
      <w:bookmarkStart w:id="283" w:name="Tc_ePz4n2GmcEKiW8I84skXGA_24_0"/>
      <w:bookmarkStart w:id="284" w:name="Tc_Kfs0HInrMUSI5PjzyNYHPA_23_17"/>
      <w:bookmarkStart w:id="285" w:name="Tc_ge69WLeX50S6EYoEB4t1bA_23_14"/>
      <w:bookmarkStart w:id="286" w:name="Tc_HCuhdbn1jkKXOCoEk5laKQ_23_11"/>
      <w:bookmarkStart w:id="287" w:name="Tc_c2K8DbIxaUqKJbVo0FtrhQ_23_8"/>
      <w:bookmarkStart w:id="288" w:name="Tc_rkcYzNT8yUiAf2efip4uyw_23_5"/>
      <w:bookmarkStart w:id="289" w:name="Tc_qVhAZIaKHEeX05Jef44w8w_23_0"/>
      <w:bookmarkStart w:id="290" w:name="Tc_5z1tLR6Y3keOtZKgjA-dFA_22_14"/>
      <w:bookmarkStart w:id="291" w:name="Tc_lgJEKcs7b0aFVf7A2CFhdA_22_11"/>
      <w:bookmarkStart w:id="292" w:name="Tc_brElHUJO7E6L0DselLQ8BA_22_5"/>
      <w:bookmarkStart w:id="293" w:name="Tc_TD5yYFe24kWEqZNfHx_AsA_22_0"/>
      <w:bookmarkStart w:id="294" w:name="Tc_g1uIX71IKEKRY8IpE9fSng_21_16"/>
      <w:bookmarkStart w:id="295" w:name="Tc_CL25hxMMbkC9Biaen31v0g_21_13"/>
      <w:bookmarkStart w:id="296" w:name="Tc_vQTs6i861k-qw18jOKBnAg_21_10"/>
      <w:bookmarkStart w:id="297" w:name="Tc_WHoD0zsA5kmzOp03xxYHqA_21_7"/>
      <w:bookmarkStart w:id="298" w:name="Tc_WG0U9GGJ_Ui11slcrqqXkg_21_4"/>
      <w:bookmarkStart w:id="299" w:name="Tc_hpjChhWu10yvZH3iUfEPMg_21_0"/>
      <w:bookmarkStart w:id="300" w:name="Tc_eq5oUSH1-UC4k3vIPvfoPQ_20_16"/>
      <w:bookmarkStart w:id="301" w:name="Tc_psUAYaCeWkmhh1LuUrJ59g_20_13"/>
      <w:bookmarkStart w:id="302" w:name="Tc_PebTOCpHb0WSsBa56WC4pQ_20_11"/>
      <w:bookmarkStart w:id="303" w:name="Tc_XFKRMaOt-UGC0P9CvlWm4g_20_7"/>
      <w:bookmarkStart w:id="304" w:name="Tc_xHEmH-vGmUum3oR9_vueLg_20_4"/>
      <w:bookmarkStart w:id="305" w:name="Tc_CPFWf_WCKEOw_9-JCyNpZA_20_2"/>
      <w:bookmarkStart w:id="306" w:name="Tc_ywP65MJlG0K9p-5c48n2Nw_19_16"/>
      <w:bookmarkStart w:id="307" w:name="Tc_axS9ZTWRGUG9UbiNyUBm_w_19_13"/>
      <w:bookmarkStart w:id="308" w:name="Tc_rvJVnYrY8EO1Rtz9sf8Uzw_19_11"/>
      <w:bookmarkStart w:id="309" w:name="Tc_b8BFXadytE-BKtSi9KfSow_19_7"/>
      <w:bookmarkStart w:id="310" w:name="Tc_f9PuE_poHUCT3SlLV90KFQ_19_2"/>
      <w:bookmarkStart w:id="311" w:name="Tc_Hn0mxvxoREGyDc5Y8-2uUg_18_16"/>
      <w:bookmarkStart w:id="312" w:name="Tc_dEeG4a_l0EmtjhMqf2NZoQ_18_11"/>
      <w:bookmarkStart w:id="313" w:name="Tc_iJpTuCxyk0C4rzXOsTbqfA_18_7"/>
      <w:bookmarkStart w:id="314" w:name="Tc_AD8Cca6LJkW2EO1qcOr8sA_17_11"/>
      <w:bookmarkStart w:id="315" w:name="Tc_YBaUG5mWdEmko2HsChCoGA_14_16"/>
      <w:bookmarkStart w:id="316" w:name="Tc_O6-6x2dUPkuZnhTAtGWgeQ_14_13"/>
      <w:bookmarkStart w:id="317" w:name="Tc_6WurJTooe0yrQnmVd3Cj6g_14_10"/>
      <w:bookmarkStart w:id="318" w:name="Tc_K8WOvMhCHkO1eZY18OKLbA_14_7"/>
      <w:bookmarkStart w:id="319" w:name="Tc_db1sAL31iEmIguCzXe04iQ_14_4"/>
      <w:bookmarkStart w:id="320" w:name="Tc_gv2wtpXjdUqRm37Oyheqjg_14_0"/>
      <w:bookmarkStart w:id="321" w:name="Tc_ne0TgHBqZkueu5KUyIlmsw_13_11"/>
      <w:bookmarkStart w:id="322" w:name="Tc_5Ioi1cTO1EaTw7RbDcAPxw_13_8"/>
      <w:bookmarkStart w:id="323" w:name="Tc_bqwdR17Dz0uYrELWOWMUSw_13_5"/>
      <w:bookmarkStart w:id="324" w:name="Tc_6bz8eA0icUayn6LoJeN_lQ_13_2"/>
      <w:bookmarkStart w:id="325" w:name="Tc_i8YC9zeeiEynLiLi1g2kCg_13_0"/>
      <w:bookmarkStart w:id="326" w:name="Tc_QNtnBegL70CDESjVBCRv5w_12_14"/>
      <w:bookmarkStart w:id="327" w:name="Tc_ZtIgGkQDdkehVVIlFjEQ4Q_12_8"/>
      <w:bookmarkStart w:id="328" w:name="Tc_wdf18asylku-PK6tnGe08Q_12_5"/>
      <w:bookmarkStart w:id="329" w:name="Tc_II48QJZAcE6EPGwzyf4WjQ_12_2"/>
      <w:bookmarkStart w:id="330" w:name="Tc_dyGWexrqXUuOPA6tlhL76w_12_0"/>
      <w:bookmarkStart w:id="331" w:name="Tc_n4v0dMA8Y0mmF5CCi5TYbQ_11_14"/>
      <w:bookmarkStart w:id="332" w:name="Tc_vLNnnNVHpUum2qeiFY7epw_11_11"/>
      <w:bookmarkStart w:id="333" w:name="Tc_kOWTLKyp2Ue16tfejiT_fQ_11_5"/>
      <w:bookmarkStart w:id="334" w:name="Tc_WD50dbkxv02Pe0of9WHY5g_11_2"/>
      <w:bookmarkStart w:id="335" w:name="Tc_O5IBxA-kP0S1XwegTY4E_A_11_0"/>
      <w:bookmarkStart w:id="336" w:name="Tc_g-zO0wx7JUS7HWWThJmJlQ_10_14"/>
      <w:bookmarkStart w:id="337" w:name="Tc_0xHXYkYysEeSd2_RUvtNHw_10_11"/>
      <w:bookmarkStart w:id="338" w:name="Tc_0SUQy1o80kK4Xin8vBvD6Q_10_5"/>
      <w:bookmarkStart w:id="339" w:name="Tc_2bFoWGqPwU-9fbOqLoItcg_10_2"/>
      <w:bookmarkStart w:id="340" w:name="Tc_nr_nhlM6TEuWLE4pxTB8Gg_10_0"/>
      <w:bookmarkStart w:id="341" w:name="Tc_-A_X1MQPR0OUM2zPXlQjMA_9_11"/>
      <w:bookmarkStart w:id="342" w:name="Tc_pAwaw_uAvESWFimMXTEpPw_9_0"/>
      <w:bookmarkStart w:id="343" w:name="Tc_S_prLtENO0-jZl-j16kKrw_8_14"/>
      <w:bookmarkStart w:id="344" w:name="Tc_gfb1Nc1mtUO4wInvQSGMJw_8_11"/>
      <w:bookmarkStart w:id="345" w:name="Tc_2oKkdlDDyUSPGzp_jf8txA_8_5"/>
      <w:bookmarkStart w:id="346" w:name="Tc_zCSNQhFYjECfp7ZprkE-mg_8_0"/>
      <w:bookmarkStart w:id="347" w:name="Tc_7GSHkAgrn06wlO8SFJYWlw_7_17"/>
      <w:bookmarkStart w:id="348" w:name="Tc_LH2qo8z-iEef_bZmyDGXAA_7_14"/>
      <w:bookmarkStart w:id="349" w:name="Tc_ssVXqDVKOUKpViiaah12LQ_7_11"/>
      <w:bookmarkStart w:id="350" w:name="Tc_Tp8noQpUa0aZX5K0q-fCLw_7_8"/>
      <w:bookmarkStart w:id="351" w:name="Tc_rjmxt2ZGrkSUrO5-c2q4OQ_7_5"/>
      <w:bookmarkStart w:id="352" w:name="Tc_5-nsFduz40KjkAIt7hz0yA_7_0"/>
      <w:bookmarkStart w:id="353" w:name="Tc_ACO5OuG-PE62NMejRpGnvA_6_14"/>
      <w:bookmarkStart w:id="354" w:name="Tc_mz2e4nD3PEeBcwkKAxm5wA_6_11"/>
      <w:bookmarkStart w:id="355" w:name="Tc_ZOTPPNtiMkW_9U-lRS8UIA_6_5"/>
      <w:bookmarkStart w:id="356" w:name="Tc_sh51PID0oEK43Etb31bk7w_6_0"/>
      <w:bookmarkStart w:id="357" w:name="Tc_j9Z-jzHHZk6dWK-lGCJFEg_5_16"/>
      <w:bookmarkStart w:id="358" w:name="Tc_eknI1BfzM0KR-sIgVChQyA_5_13"/>
      <w:bookmarkStart w:id="359" w:name="Tc_OPVy6zFCJ0Sm_yUx4ykYXA_5_10"/>
      <w:bookmarkStart w:id="360" w:name="Tc_zX1YfHTZ1kur_KPv2bwB_w_5_7"/>
      <w:bookmarkStart w:id="361" w:name="Tc_mFJiYJVyR0K_De8cb81N_A_5_4"/>
      <w:bookmarkStart w:id="362" w:name="Tc_mnPKdXy97UmTN-bvJ_2ZgA_5_0"/>
      <w:bookmarkStart w:id="363" w:name="Tc_zP9thdOYFE2cEMgI0vpRRQ_4_16"/>
      <w:bookmarkStart w:id="364" w:name="Tc_EWnJcCZaU0OYGCJ1yehcOg_4_13"/>
      <w:bookmarkStart w:id="365" w:name="Tc_C1Df1wMyUkKZi9mxIrYUSw_4_11"/>
      <w:bookmarkStart w:id="366" w:name="Tc_a7Z_WO63KkiciM4oiKRkXA_4_7"/>
      <w:bookmarkStart w:id="367" w:name="Tc_MXP4K8NeqE2KJj2GpuLp1w_4_4"/>
      <w:bookmarkStart w:id="368" w:name="Tc_e6zpyVTWgEOhKwMI1N_XqA_4_2"/>
      <w:bookmarkStart w:id="369" w:name="Tc_wA5egOUMvUupD2_OYQXgtg_3_16"/>
      <w:bookmarkStart w:id="370" w:name="Tc_NB2aU_mjpE2uCAj2JttLCw_3_13"/>
      <w:bookmarkStart w:id="371" w:name="Tc_coQCpyubREu3VXdW2-VM1A_3_11"/>
      <w:bookmarkStart w:id="372" w:name="Tc_tNzGtJbky0GtuMXFDiMVLA_3_7"/>
      <w:bookmarkStart w:id="373" w:name="Tc_nAQLhKO5Cke0ruFABaAtQw_3_2"/>
      <w:bookmarkStart w:id="374" w:name="Tc_0_PKZJhwrk-DSCrobnTNNA_2_16"/>
      <w:bookmarkStart w:id="375" w:name="Tc_-m2X6wevEk6jIFMM5hLjqw_2_11"/>
      <w:bookmarkStart w:id="376" w:name="Tc_Aj76IcZO5UeVJk7wRv-VNA_2_7"/>
      <w:bookmarkStart w:id="377" w:name="Tc_qZynDhVu-EmHJMgkQw_62w_1_11"/>
      <w:bookmarkStart w:id="378" w:name="_c9035d1a_232d_4f24_8f2d_6de3ab0c6bdb"/>
      <w:bookmarkStart w:id="379" w:name="Tc_ulyPuKu1FUq84h-K-Cbixg_31_16"/>
      <w:bookmarkStart w:id="380" w:name="Tc_ldPHCIM9-0GTiHx7BVgn8A_31_13"/>
      <w:bookmarkStart w:id="381" w:name="Tc_WXcO8SmwH0C2cOHnlqx7jg_31_10"/>
      <w:bookmarkStart w:id="382" w:name="Tc_NPiXxFTi0k2GfxLmlOq_3w_31_7"/>
      <w:bookmarkStart w:id="383" w:name="Tc_DwoUOAUHv0Oncc1xyPeVPg_31_4"/>
      <w:bookmarkStart w:id="384" w:name="Tc_v8AJDKsirk2hoIwagukG8Q_31_0"/>
      <w:bookmarkStart w:id="385" w:name="Tc_w8sv9U9DY0WwrKt7zlSqmw_30_11"/>
      <w:bookmarkStart w:id="386" w:name="Tc_nbT8ftmBU02jicu6b5-W0Q_30_8"/>
      <w:bookmarkStart w:id="387" w:name="Tc_amp1iUTNF0-KcaRHb1hASQ_30_5"/>
      <w:bookmarkStart w:id="388" w:name="Tc_76PRwrajNUq60P-DUluRFg_30_2"/>
      <w:bookmarkStart w:id="389" w:name="Tc_pL5JO3dgNUK0BbfL5pAKMw_30_0"/>
      <w:bookmarkStart w:id="390" w:name="Tc_FFdMFAFe7EqAGfT6Ghzxfw_29_14"/>
      <w:bookmarkStart w:id="391" w:name="Tc_xGSfSexCbEy0dmZAAAnHSA_29_8"/>
      <w:bookmarkStart w:id="392" w:name="Tc_t0pV72VoM02Po3zin79DBw_29_5"/>
      <w:bookmarkStart w:id="393" w:name="Tc_gcOMH6ZQpEOqDUhmxORkOA_29_2"/>
      <w:bookmarkStart w:id="394" w:name="Tc_oP4G1omOwUazz3HKXVx0IQ_29_0"/>
      <w:bookmarkStart w:id="395" w:name="Tc_8mIVuP39C02QQxLueqo4zQ_28_14"/>
      <w:bookmarkStart w:id="396" w:name="Tc_duwnojcw40K1mqj4JhKqMA_28_11"/>
      <w:bookmarkStart w:id="397" w:name="Tc_m3vUJH_6HU-4vvjzsHU2Lg_28_5"/>
      <w:bookmarkStart w:id="398" w:name="Tc__1ATgyGx606wRLHdLzW0sA_28_2"/>
      <w:bookmarkStart w:id="399" w:name="Tc_TsuzZ1dCIES7xbiPmXtaxQ_28_0"/>
      <w:bookmarkStart w:id="400" w:name="Tc_Q5IGrl5ry06mJEZb7uvvBA_27_14"/>
      <w:bookmarkStart w:id="401" w:name="Tc_q05wMBFbNk6pERToKT7xIw_27_11"/>
      <w:bookmarkStart w:id="402" w:name="Tc_RKDyzkAb00aZtxgebZFZfw_27_5"/>
      <w:bookmarkStart w:id="403" w:name="Tc_JUtsB4Yk_EGMMqyTaiG8iw_27_2"/>
      <w:bookmarkStart w:id="404" w:name="Tc_Gs1qO2uYUEu_xahhklEguw_27_0"/>
      <w:bookmarkStart w:id="405" w:name="Tc_H8HXp2oPTkOOmeWd7OP-og_26_14"/>
      <w:bookmarkStart w:id="406" w:name="Tc_mbiITMaJyk2IaOGF49toJA_26_11"/>
      <w:bookmarkStart w:id="407" w:name="Tc_dFr93H6ZhkO-IiNHmAs9ow_26_0"/>
      <w:bookmarkStart w:id="408" w:name="Tc_eLKbbnGSeUqXNG0XJECcEQ_25_14"/>
      <w:bookmarkStart w:id="409" w:name="Tc_8ibCLLoFn0eE_bwaHrbDeQ_25_11"/>
      <w:bookmarkStart w:id="410" w:name="Tc_qyC2fGtch0KjI6hg_0unNQ_25_5"/>
      <w:bookmarkStart w:id="411" w:name="Tc_7-Lr-yZa1Uy4aVmZdN875g_25_0"/>
      <w:bookmarkStart w:id="412" w:name="Tc_ucQAokt0dEGlsoXUQ1AHHg_24_14"/>
      <w:bookmarkStart w:id="413" w:name="Tc_PGSD_9WQnE2RE6NvN6y4XA_24_11"/>
      <w:bookmarkStart w:id="414" w:name="Tc_EQxVJ2aGNkae7YBobre_rA_24_5"/>
      <w:bookmarkStart w:id="415" w:name="Tc_ePz4n2GmcEKiW8I84skXGA_24_0"/>
      <w:bookmarkStart w:id="416" w:name="Tc_Kfs0HInrMUSI5PjzyNYHPA_23_17"/>
      <w:bookmarkStart w:id="417" w:name="Tc_ge69WLeX50S6EYoEB4t1bA_23_14"/>
      <w:bookmarkStart w:id="418" w:name="Tc_HCuhdbn1jkKXOCoEk5laKQ_23_11"/>
      <w:bookmarkStart w:id="419" w:name="Tc_c2K8DbIxaUqKJbVo0FtrhQ_23_8"/>
      <w:bookmarkStart w:id="420" w:name="Tc_rkcYzNT8yUiAf2efip4uyw_23_5"/>
      <w:bookmarkStart w:id="421" w:name="Tc_qVhAZIaKHEeX05Jef44w8w_23_0"/>
      <w:bookmarkStart w:id="422" w:name="Tc_5z1tLR6Y3keOtZKgjA-dFA_22_14"/>
      <w:bookmarkStart w:id="423" w:name="Tc_lgJEKcs7b0aFVf7A2CFhdA_22_11"/>
      <w:bookmarkStart w:id="424" w:name="Tc_brElHUJO7E6L0DselLQ8BA_22_5"/>
      <w:bookmarkStart w:id="425" w:name="Tc_TD5yYFe24kWEqZNfHx_AsA_22_0"/>
      <w:bookmarkStart w:id="426" w:name="Tc_g1uIX71IKEKRY8IpE9fSng_21_16"/>
      <w:bookmarkStart w:id="427" w:name="Tc_CL25hxMMbkC9Biaen31v0g_21_13"/>
      <w:bookmarkStart w:id="428" w:name="Tc_vQTs6i861k-qw18jOKBnAg_21_10"/>
      <w:bookmarkStart w:id="429" w:name="Tc_WHoD0zsA5kmzOp03xxYHqA_21_7"/>
      <w:bookmarkStart w:id="430" w:name="Tc_WG0U9GGJ_Ui11slcrqqXkg_21_4"/>
      <w:bookmarkStart w:id="431" w:name="Tc_hpjChhWu10yvZH3iUfEPMg_21_0"/>
      <w:bookmarkStart w:id="432" w:name="Tc_eq5oUSH1-UC4k3vIPvfoPQ_20_16"/>
      <w:bookmarkStart w:id="433" w:name="Tc_psUAYaCeWkmhh1LuUrJ59g_20_13"/>
      <w:bookmarkStart w:id="434" w:name="Tc_PebTOCpHb0WSsBa56WC4pQ_20_11"/>
      <w:bookmarkStart w:id="435" w:name="Tc_XFKRMaOt-UGC0P9CvlWm4g_20_7"/>
      <w:bookmarkStart w:id="436" w:name="Tc_xHEmH-vGmUum3oR9_vueLg_20_4"/>
      <w:bookmarkStart w:id="437" w:name="Tc_CPFWf_WCKEOw_9-JCyNpZA_20_2"/>
      <w:bookmarkStart w:id="438" w:name="Tc_ywP65MJlG0K9p-5c48n2Nw_19_16"/>
      <w:bookmarkStart w:id="439" w:name="Tc_axS9ZTWRGUG9UbiNyUBm_w_19_13"/>
      <w:bookmarkStart w:id="440" w:name="Tc_rvJVnYrY8EO1Rtz9sf8Uzw_19_11"/>
      <w:bookmarkStart w:id="441" w:name="Tc_b8BFXadytE-BKtSi9KfSow_19_7"/>
      <w:bookmarkStart w:id="442" w:name="Tc_f9PuE_poHUCT3SlLV90KFQ_19_2"/>
      <w:bookmarkStart w:id="443" w:name="Tc_Hn0mxvxoREGyDc5Y8-2uUg_18_16"/>
      <w:bookmarkStart w:id="444" w:name="Tc_dEeG4a_l0EmtjhMqf2NZoQ_18_11"/>
      <w:bookmarkStart w:id="445" w:name="Tc_iJpTuCxyk0C4rzXOsTbqfA_18_7"/>
      <w:bookmarkStart w:id="446" w:name="Tc_AD8Cca6LJkW2EO1qcOr8sA_17_11"/>
      <w:bookmarkStart w:id="447" w:name="Tc_YBaUG5mWdEmko2HsChCoGA_14_16"/>
      <w:bookmarkStart w:id="448" w:name="Tc_O6-6x2dUPkuZnhTAtGWgeQ_14_13"/>
      <w:bookmarkStart w:id="449" w:name="Tc_6WurJTooe0yrQnmVd3Cj6g_14_10"/>
      <w:bookmarkStart w:id="450" w:name="Tc_K8WOvMhCHkO1eZY18OKLbA_14_7"/>
      <w:bookmarkStart w:id="451" w:name="Tc_db1sAL31iEmIguCzXe04iQ_14_4"/>
      <w:bookmarkStart w:id="452" w:name="Tc_gv2wtpXjdUqRm37Oyheqjg_14_0"/>
      <w:bookmarkStart w:id="453" w:name="Tc_ne0TgHBqZkueu5KUyIlmsw_13_11"/>
      <w:bookmarkStart w:id="454" w:name="Tc_5Ioi1cTO1EaTw7RbDcAPxw_13_8"/>
      <w:bookmarkStart w:id="455" w:name="Tc_bqwdR17Dz0uYrELWOWMUSw_13_5"/>
      <w:bookmarkStart w:id="456" w:name="Tc_6bz8eA0icUayn6LoJeN_lQ_13_2"/>
      <w:bookmarkStart w:id="457" w:name="Tc_i8YC9zeeiEynLiLi1g2kCg_13_0"/>
      <w:bookmarkStart w:id="458" w:name="Tc_QNtnBegL70CDESjVBCRv5w_12_14"/>
      <w:bookmarkStart w:id="459" w:name="Tc_ZtIgGkQDdkehVVIlFjEQ4Q_12_8"/>
      <w:bookmarkStart w:id="460" w:name="Tc_wdf18asylku-PK6tnGe08Q_12_5"/>
      <w:bookmarkStart w:id="461" w:name="Tc_II48QJZAcE6EPGwzyf4WjQ_12_2"/>
      <w:bookmarkStart w:id="462" w:name="Tc_dyGWexrqXUuOPA6tlhL76w_12_0"/>
      <w:bookmarkStart w:id="463" w:name="Tc_n4v0dMA8Y0mmF5CCi5TYbQ_11_14"/>
      <w:bookmarkStart w:id="464" w:name="Tc_vLNnnNVHpUum2qeiFY7epw_11_11"/>
      <w:bookmarkStart w:id="465" w:name="Tc_kOWTLKyp2Ue16tfejiT_fQ_11_5"/>
      <w:bookmarkStart w:id="466" w:name="Tc_WD50dbkxv02Pe0of9WHY5g_11_2"/>
      <w:bookmarkStart w:id="467" w:name="Tc_O5IBxA-kP0S1XwegTY4E_A_11_0"/>
      <w:bookmarkStart w:id="468" w:name="Tc_g-zO0wx7JUS7HWWThJmJlQ_10_14"/>
      <w:bookmarkStart w:id="469" w:name="Tc_0xHXYkYysEeSd2_RUvtNHw_10_11"/>
      <w:bookmarkStart w:id="470" w:name="Tc_0SUQy1o80kK4Xin8vBvD6Q_10_5"/>
      <w:bookmarkStart w:id="471" w:name="Tc_2bFoWGqPwU-9fbOqLoItcg_10_2"/>
      <w:bookmarkStart w:id="472" w:name="Tc_nr_nhlM6TEuWLE4pxTB8Gg_10_0"/>
      <w:bookmarkStart w:id="473" w:name="Tc_-A_X1MQPR0OUM2zPXlQjMA_9_11"/>
      <w:bookmarkStart w:id="474" w:name="Tc_pAwaw_uAvESWFimMXTEpPw_9_0"/>
      <w:bookmarkStart w:id="475" w:name="Tc_S_prLtENO0-jZl-j16kKrw_8_14"/>
      <w:bookmarkStart w:id="476" w:name="Tc_gfb1Nc1mtUO4wInvQSGMJw_8_11"/>
      <w:bookmarkStart w:id="477" w:name="Tc_2oKkdlDDyUSPGzp_jf8txA_8_5"/>
      <w:bookmarkStart w:id="478" w:name="Tc_zCSNQhFYjECfp7ZprkE-mg_8_0"/>
      <w:bookmarkStart w:id="479" w:name="Tc_7GSHkAgrn06wlO8SFJYWlw_7_17"/>
      <w:bookmarkStart w:id="480" w:name="Tc_LH2qo8z-iEef_bZmyDGXAA_7_14"/>
      <w:bookmarkStart w:id="481" w:name="Tc_ssVXqDVKOUKpViiaah12LQ_7_11"/>
      <w:bookmarkStart w:id="482" w:name="Tc_Tp8noQpUa0aZX5K0q-fCLw_7_8"/>
      <w:bookmarkStart w:id="483" w:name="Tc_rjmxt2ZGrkSUrO5-c2q4OQ_7_5"/>
      <w:bookmarkStart w:id="484" w:name="Tc_5-nsFduz40KjkAIt7hz0yA_7_0"/>
      <w:bookmarkStart w:id="485" w:name="Tc_ACO5OuG-PE62NMejRpGnvA_6_14"/>
      <w:bookmarkStart w:id="486" w:name="Tc_mz2e4nD3PEeBcwkKAxm5wA_6_11"/>
      <w:bookmarkStart w:id="487" w:name="Tc_ZOTPPNtiMkW_9U-lRS8UIA_6_5"/>
      <w:bookmarkStart w:id="488" w:name="Tc_sh51PID0oEK43Etb31bk7w_6_0"/>
      <w:bookmarkStart w:id="489" w:name="Tc_j9Z-jzHHZk6dWK-lGCJFEg_5_16"/>
      <w:bookmarkStart w:id="490" w:name="Tc_eknI1BfzM0KR-sIgVChQyA_5_13"/>
      <w:bookmarkStart w:id="491" w:name="Tc_OPVy6zFCJ0Sm_yUx4ykYXA_5_10"/>
      <w:bookmarkStart w:id="492" w:name="Tc_zX1YfHTZ1kur_KPv2bwB_w_5_7"/>
      <w:bookmarkStart w:id="493" w:name="Tc_mFJiYJVyR0K_De8cb81N_A_5_4"/>
      <w:bookmarkStart w:id="494" w:name="Tc_mnPKdXy97UmTN-bvJ_2ZgA_5_0"/>
      <w:bookmarkStart w:id="495" w:name="Tc_zP9thdOYFE2cEMgI0vpRRQ_4_16"/>
      <w:bookmarkStart w:id="496" w:name="Tc_EWnJcCZaU0OYGCJ1yehcOg_4_13"/>
      <w:bookmarkStart w:id="497" w:name="Tc_C1Df1wMyUkKZi9mxIrYUSw_4_11"/>
      <w:bookmarkStart w:id="498" w:name="Tc_a7Z_WO63KkiciM4oiKRkXA_4_7"/>
      <w:bookmarkStart w:id="499" w:name="Tc_MXP4K8NeqE2KJj2GpuLp1w_4_4"/>
      <w:bookmarkStart w:id="500" w:name="Tc_e6zpyVTWgEOhKwMI1N_XqA_4_2"/>
      <w:bookmarkStart w:id="501" w:name="Tc_wA5egOUMvUupD2_OYQXgtg_3_16"/>
      <w:bookmarkStart w:id="502" w:name="Tc_NB2aU_mjpE2uCAj2JttLCw_3_13"/>
      <w:bookmarkStart w:id="503" w:name="Tc_coQCpyubREu3VXdW2-VM1A_3_11"/>
      <w:bookmarkStart w:id="504" w:name="Tc_tNzGtJbky0GtuMXFDiMVLA_3_7"/>
      <w:bookmarkStart w:id="505" w:name="Tc_nAQLhKO5Cke0ruFABaAtQw_3_2"/>
      <w:bookmarkStart w:id="506" w:name="Tc_0_PKZJhwrk-DSCrobnTNNA_2_16"/>
      <w:bookmarkStart w:id="507" w:name="Tc_-m2X6wevEk6jIFMM5hLjqw_2_11"/>
      <w:bookmarkStart w:id="508" w:name="Tc_Aj76IcZO5UeVJk7wRv-VNA_2_7"/>
      <w:bookmarkStart w:id="509" w:name="Tc_qZynDhVu-EmHJMgkQw_62w_1_11"/>
      <w:bookmarkStart w:id="510" w:name="_c9035d1a_232d_4f24_8f2d_6de3ab0c6bdb"/>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tbl>
      <w:tblPr>
        <w:tblW w:w="10205" w:type="dxa"/>
        <w:jc w:val="left"/>
        <w:tblInd w:w="0" w:type="dxa"/>
        <w:tblLayout w:type="fixed"/>
        <w:tblCellMar>
          <w:top w:w="0" w:type="dxa"/>
          <w:left w:w="0" w:type="dxa"/>
          <w:bottom w:w="0" w:type="dxa"/>
          <w:right w:w="0" w:type="dxa"/>
        </w:tblCellMar>
      </w:tblPr>
      <w:tblGrid>
        <w:gridCol w:w="3090"/>
        <w:gridCol w:w="326"/>
        <w:gridCol w:w="796"/>
        <w:gridCol w:w="326"/>
        <w:gridCol w:w="201"/>
        <w:gridCol w:w="385"/>
        <w:gridCol w:w="326"/>
        <w:gridCol w:w="181"/>
        <w:gridCol w:w="601"/>
        <w:gridCol w:w="326"/>
        <w:gridCol w:w="181"/>
        <w:gridCol w:w="1096"/>
        <w:gridCol w:w="109"/>
        <w:gridCol w:w="203"/>
        <w:gridCol w:w="728"/>
        <w:gridCol w:w="326"/>
        <w:gridCol w:w="206"/>
        <w:gridCol w:w="798"/>
      </w:tblGrid>
      <w:tr>
        <w:trPr/>
        <w:tc>
          <w:tcPr>
            <w:tcW w:w="3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962150" cy="175260"/>
                      <wp:effectExtent l="0" t="0" r="0" b="0"/>
                      <wp:wrapNone/>
                      <wp:docPr id="37" name="Frame37"/>
                      <a:graphic xmlns:a="http://schemas.openxmlformats.org/drawingml/2006/main">
                        <a:graphicData uri="http://schemas.microsoft.com/office/word/2010/wordprocessingShape">
                          <wps:wsp>
                            <wps:cNvSpPr txBox="1"/>
                            <wps:spPr>
                              <a:xfrm>
                                <a:off x="0" y="0"/>
                                <a:ext cx="196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7635" cy="175260"/>
                      <wp:effectExtent l="0" t="0" r="0" b="0"/>
                      <wp:wrapNone/>
                      <wp:docPr id="41" name="Frame4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44475" cy="175260"/>
                      <wp:effectExtent l="0" t="0" r="0" b="0"/>
                      <wp:wrapNone/>
                      <wp:docPr id="42" name="Frame4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81635" cy="175260"/>
                      <wp:effectExtent l="0" t="0" r="0" b="0"/>
                      <wp:wrapNone/>
                      <wp:docPr id="45" name="Frame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35" cy="175260"/>
                      <wp:effectExtent l="0" t="0" r="0" b="0"/>
                      <wp:wrapNone/>
                      <wp:docPr id="47" name="Frame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8905" cy="175260"/>
                      <wp:effectExtent l="0" t="0" r="0" b="0"/>
                      <wp:wrapNone/>
                      <wp:docPr id="49" name="Frame4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62280" cy="175260"/>
                      <wp:effectExtent l="0" t="0" r="0" b="0"/>
                      <wp:wrapNone/>
                      <wp:docPr id="50" name="Frame50"/>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5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6730" cy="175260"/>
                      <wp:effectExtent l="0" t="0" r="0" b="0"/>
                      <wp:wrapNone/>
                      <wp:docPr id="53" name="Frame53"/>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0"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8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6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3"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72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6"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79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04"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04"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 Gain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June 30, 2023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41,122,482</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419,456</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(518)</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(257,358)</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161,583</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4,660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49,318</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213,675</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891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891</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equity private placement, net of issuance costs of $240</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13,211,381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129,759</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129,760</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4,019</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4,019</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Employee stock purchase plan expense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86</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86</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Net unrealized gain on marketable securities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277</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277</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 xml:space="preserve">Net loss </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(21,502)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(21,502)</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September 30, 2023</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54,601,516</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554,231</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(241)</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(278,860)</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275,134</w:t>
            </w:r>
          </w:p>
        </w:tc>
      </w:tr>
      <w:tr>
        <w:trPr/>
        <w:tc>
          <w:tcPr>
            <w:tcW w:w="3090"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90"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3"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72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79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left"/>
              <w:rPr/>
            </w:pPr>
            <w:r>
              <w:rPr/>
              <w:t>​</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04"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04"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 Gain</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December 31, 2022</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40,287,097</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408,333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(1,813)</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(208,977)</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197,546</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18,640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80</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80</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147,955</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665,902</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2,443</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2,443</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employee stock purchase plan</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270,541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711</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equity private placement, net of issuance costs of $240</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13,211,381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129,759</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129,760</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12,574</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12,574</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Employee stock purchase plan expense</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331</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206" w:type="dxa"/>
            <w:tcBorders/>
            <w:vAlign w:val="center"/>
          </w:tcPr>
          <w:p>
            <w:pPr>
              <w:pStyle w:val="TableContents"/>
              <w:bidi w:val="0"/>
              <w:spacing w:before="0" w:after="1"/>
              <w:ind w:left="0" w:right="0" w:hanging="0"/>
              <w:jc w:val="right"/>
              <w:rPr>
                <w:color w:val="231F20"/>
              </w:rPr>
            </w:pPr>
            <w:r>
              <w:rPr>
                <w:color w:val="231F20"/>
              </w:rPr>
              <w:t>​</w:t>
            </w:r>
          </w:p>
        </w:tc>
        <w:tc>
          <w:tcPr>
            <w:tcW w:w="798"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331</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Net unrealized gain on marketable securities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1,572</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1,572</w:t>
            </w:r>
          </w:p>
        </w:tc>
      </w:tr>
      <w:tr>
        <w:trPr/>
        <w:tc>
          <w:tcPr>
            <w:tcW w:w="3090"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 xml:space="preserve">Net loss </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(69,883)</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(69,883)</w:t>
            </w:r>
          </w:p>
        </w:tc>
      </w:tr>
      <w:tr>
        <w:trPr/>
        <w:tc>
          <w:tcPr>
            <w:tcW w:w="3090"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September 30, 2023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54,601,516</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554,231</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(241)</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(278,860)</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color w:val="231F20"/>
                <w:sz w:val="14"/>
              </w:rPr>
            </w:pPr>
            <w:r>
              <w:rPr>
                <w:rFonts w:ascii="Arial;Helvetica;sans-serif" w:hAnsi="Arial;Helvetica;sans-serif"/>
                <w:color w:val="231F20"/>
                <w:sz w:val="14"/>
              </w:rPr>
              <w:t>275,134</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1" w:name="Tc_ACD9CvMmv0-2enlMPXF7jQ_29_16"/>
      <w:bookmarkStart w:id="512" w:name="Tc_NmjptJaoR0aGEJIiAubcUw_29_13"/>
      <w:bookmarkStart w:id="513" w:name="Tc_G4XgjVPxREix0N2pVKBSSg_29_10"/>
      <w:bookmarkStart w:id="514" w:name="Tc_RN_ESjFVT0qI6avDIrfSYw_29_7"/>
      <w:bookmarkStart w:id="515" w:name="Tc_JVY4qZJkGUCaX17ygGLhyQ_29_4"/>
      <w:bookmarkStart w:id="516" w:name="Tc_QDy1ZKZG90GUctAt2PW1FQ_29_0"/>
      <w:bookmarkStart w:id="517" w:name="Tc_X11ZjIfwtUC1s9oovJYL3g_28_11"/>
      <w:bookmarkStart w:id="518" w:name="Tc_CqEMDacvhUKtNZErV4hLXw_28_8"/>
      <w:bookmarkStart w:id="519" w:name="Tc_XuCEFD4XOEm0sVQo-I5SfA_28_5"/>
      <w:bookmarkStart w:id="520" w:name="Tc_0YxVTmbv6UGmk9r0EDlzCw_28_2"/>
      <w:bookmarkStart w:id="521" w:name="Tc_VQEN7Ujj30u2QKsFwRphHA_28_0"/>
      <w:bookmarkStart w:id="522" w:name="Tc_Wm3pXD74o0KLfmc6XDGKkw_27_14"/>
      <w:bookmarkStart w:id="523" w:name="Tc_PSiC8MYQXk-RfCmezO3igA_27_8"/>
      <w:bookmarkStart w:id="524" w:name="Tc_BJb-wXP1OkSc1Yd4fYh7uQ_27_5"/>
      <w:bookmarkStart w:id="525" w:name="Tc_PM9lWQ5l_ECFyKz-NUOe-A_27_2"/>
      <w:bookmarkStart w:id="526" w:name="Tc_JX_1aRCYZUOlB4eXK3pUdA_27_0"/>
      <w:bookmarkStart w:id="527" w:name="Tc_AeCMJ63ihk6t014pmkBLiQ_26_14"/>
      <w:bookmarkStart w:id="528" w:name="Tc_O7BXlc06N0eUyTX0b-OFbg_26_11"/>
      <w:bookmarkStart w:id="529" w:name="Tc_0Hez3t6vgEG7PjV4Fxl6XA_26_5"/>
      <w:bookmarkStart w:id="530" w:name="Tc_ip_fUXBaA02s0xGoRN2xPQ_26_2"/>
      <w:bookmarkStart w:id="531" w:name="Tc_dlr0fQctHUCHh0wOxB1rKQ_26_0"/>
      <w:bookmarkStart w:id="532" w:name="Tc_sAnW2jObNEyVX346Acfb4w_25_14"/>
      <w:bookmarkStart w:id="533" w:name="Tc_dzIhf7_pt0OOgPymjRV64Q_25_11"/>
      <w:bookmarkStart w:id="534" w:name="Tc_mY_Fr4UmmUarUwolnCAn4Q_25_5"/>
      <w:bookmarkStart w:id="535" w:name="Tc_z_BjeVxvdUWwUlZw05e6uA_25_2"/>
      <w:bookmarkStart w:id="536" w:name="Tc_ZFMmiVovKU6KEZcuWMJBRw_25_0"/>
      <w:bookmarkStart w:id="537" w:name="Tc_GA10A3lVFUKM-970VtCsLA_24_14"/>
      <w:bookmarkStart w:id="538" w:name="Tc_j0gZNDfHS0ypVCFpG6OnCQ_24_11"/>
      <w:bookmarkStart w:id="539" w:name="Tc_GOUaIgenokqkL8x41g-i6w_24_5"/>
      <w:bookmarkStart w:id="540" w:name="Tc_sPVm-IBVcUqhWBfmxNPwGQ_24_0"/>
      <w:bookmarkStart w:id="541" w:name="Tc_YGSg2AQWn06drerA_NkCmg_23_14"/>
      <w:bookmarkStart w:id="542" w:name="Tc_978926R-80eGOKvdBD-Fhw_23_11"/>
      <w:bookmarkStart w:id="543" w:name="Tc_73m9AKDs7kSWxGW9QQVGyQ_23_5"/>
      <w:bookmarkStart w:id="544" w:name="Tc_Gk0_P_GBB0aztC8ZAJmAuw_23_0"/>
      <w:bookmarkStart w:id="545" w:name="Tc_E5Niac4WJUy332HD0vHSUQ_22_17"/>
      <w:bookmarkStart w:id="546" w:name="Tc_n8J2fk5THkiL_-Ux2aI54A_22_14"/>
      <w:bookmarkStart w:id="547" w:name="Tc_BdzLBCXSR0G8taJJgrqkXg_22_11"/>
      <w:bookmarkStart w:id="548" w:name="Tc_GLGQ9zJjXE-Hj2_J-6WvjQ_22_8"/>
      <w:bookmarkStart w:id="549" w:name="Tc_1kXiSMp6T02Iio5a75RPNA_22_5"/>
      <w:bookmarkStart w:id="550" w:name="Tc_2Z6-kZp8r0ecVHsoFTlbHg_22_0"/>
      <w:bookmarkStart w:id="551" w:name="Tc_8V8DHqL3qk2CDzZDXQ90-g_21_14"/>
      <w:bookmarkStart w:id="552" w:name="Tc_nBs6uIqMgU6mawI7rsjMlQ_21_11"/>
      <w:bookmarkStart w:id="553" w:name="Tc_bM9cr6xYGUimsuFse08jmQ_21_5"/>
      <w:bookmarkStart w:id="554" w:name="Tc_CcaH4cdHVEidZEelm_V5uQ_21_0"/>
      <w:bookmarkStart w:id="555" w:name="Tc_X3EUOzBFek6OU0QQfeTiHg_20_16"/>
      <w:bookmarkStart w:id="556" w:name="Tc_hjoQcKxTAU2lsw79con3-Q_20_13"/>
      <w:bookmarkStart w:id="557" w:name="Tc_JpUkrsU8NEmmAEaqMmxDaA_20_10"/>
      <w:bookmarkStart w:id="558" w:name="Tc_W0ORjJxpwECt0H6MrgsV4g_20_7"/>
      <w:bookmarkStart w:id="559" w:name="Tc_1DKFdDc680KXjhx6T5Q8Wg_20_4"/>
      <w:bookmarkStart w:id="560" w:name="Tc_aFLezUFv-U-fKz4_0UKh8Q_20_0"/>
      <w:bookmarkStart w:id="561" w:name="Tc_c5I--DV2nEmhjKDQglHhFQ_19_16"/>
      <w:bookmarkStart w:id="562" w:name="Tc_NEN867Tf60mqmHVdE2J8wA_19_13"/>
      <w:bookmarkStart w:id="563" w:name="Tc_F8wYPsr0RUOhrgWm2Jk94w_19_11"/>
      <w:bookmarkStart w:id="564" w:name="Tc_k4ZtZaCPo0GID0PaeAzuNg_19_7"/>
      <w:bookmarkStart w:id="565" w:name="Tc_r9pYZUKoWU24P0mx7unZWQ_19_4"/>
      <w:bookmarkStart w:id="566" w:name="Tc_Xhid4RuiUEG5cJeUBszjSg_19_2"/>
      <w:bookmarkStart w:id="567" w:name="Tc_LsGFOo3NT06cvd1X60VRKg_18_16"/>
      <w:bookmarkStart w:id="568" w:name="Tc_siwN7PP1FEO4WMmOOeM_2w_18_13"/>
      <w:bookmarkStart w:id="569" w:name="Tc_yfGgW0KJn02lO7WTEejpFA_18_11"/>
      <w:bookmarkStart w:id="570" w:name="Tc_j4zY_T5jsEaF1G9GcHih7w_18_7"/>
      <w:bookmarkStart w:id="571" w:name="Tc_vAqJXI-i_Uu2mbbJfuHD2w_18_2"/>
      <w:bookmarkStart w:id="572" w:name="Tc_qlLRpMdrhEqWz_eB-x-LCg_17_16"/>
      <w:bookmarkStart w:id="573" w:name="Tc_5FgYaVNbSUuwp9byX40CJA_17_11"/>
      <w:bookmarkStart w:id="574" w:name="Tc_B6QR2A9U0EaAzfHxlTf2Vw_17_7"/>
      <w:bookmarkStart w:id="575" w:name="Tc_7-wo1uLflUuH0Hd4m1bRBQ_16_11"/>
      <w:bookmarkStart w:id="576" w:name="Tc_tzDV5-K460-X-5Qud2OeCg_13_16"/>
      <w:bookmarkStart w:id="577" w:name="Tc_m3aws4n9PkyCgaSWM0Nwnw_13_13"/>
      <w:bookmarkStart w:id="578" w:name="Tc_AGygLoq2Gk69uDVOa-bPJg_13_10"/>
      <w:bookmarkStart w:id="579" w:name="Tc_mNdOEsHy2UqPn7JhRF-fDA_13_7"/>
      <w:bookmarkStart w:id="580" w:name="Tc_lCPknhEbAE6Gq7xHtwfazQ_13_4"/>
      <w:bookmarkStart w:id="581" w:name="Tc_KOu5iKD-Ykyqqyifq0ADKA_13_0"/>
      <w:bookmarkStart w:id="582" w:name="Tc_YJC9Eq6FTEqp7lzwklLD8A_12_11"/>
      <w:bookmarkStart w:id="583" w:name="Tc_bfHS8UEeokeR0JKDsrI0kA_12_8"/>
      <w:bookmarkStart w:id="584" w:name="Tc_O072I8Yhl0OJd0ZuCT9Fng_12_5"/>
      <w:bookmarkStart w:id="585" w:name="Tc_UaRNgcpVrEqlRprSG4Ni9Q_12_2"/>
      <w:bookmarkStart w:id="586" w:name="Tc_VX5kwDCfCU6FlQ1fwzJvPg_12_0"/>
      <w:bookmarkStart w:id="587" w:name="Tc_VhA1tJsfhEai00Farzjutg_11_14"/>
      <w:bookmarkStart w:id="588" w:name="Tc_W93JBiGzq0uhCqVYXvI1Eg_11_8"/>
      <w:bookmarkStart w:id="589" w:name="Tc_D-NAoMxyVkih9lCgeKkbcg_11_5"/>
      <w:bookmarkStart w:id="590" w:name="Tc_Dc0biVSdO0Sw0RHFFrqCSQ_11_2"/>
      <w:bookmarkStart w:id="591" w:name="Tc_z0LV6GYbpU-qLUpTzba2MQ_11_0"/>
      <w:bookmarkStart w:id="592" w:name="Tc_n9jXekInwEudbepe7lK5Jg_10_14"/>
      <w:bookmarkStart w:id="593" w:name="Tc_9F9tD1t5NEqr0jCu02d7gw_10_11"/>
      <w:bookmarkStart w:id="594" w:name="Tc_m-8zXaJEy0Sxho54HC4z0g_10_5"/>
      <w:bookmarkStart w:id="595" w:name="Tc_GlC1Ivx-80u6b3ymvMN_SA_10_2"/>
      <w:bookmarkStart w:id="596" w:name="Tc_n5MODBw1okKIulNMfpUxDw_10_0"/>
      <w:bookmarkStart w:id="597" w:name="Tc_zVFWbuuNTEGwDpcSl9ghag_9_14"/>
      <w:bookmarkStart w:id="598" w:name="Tc_ePFEApf97kqqfwl9we7Enw_9_11"/>
      <w:bookmarkStart w:id="599" w:name="Tc_mp8_8nVFJUSDIfiD9Noe6A_9_5"/>
      <w:bookmarkStart w:id="600" w:name="Tc_t_Sg8SnlXEmqU8hIZOhppA_9_2"/>
      <w:bookmarkStart w:id="601" w:name="Tc_zLcPY2ZixkaNxJO-p9uDmw_9_0"/>
      <w:bookmarkStart w:id="602" w:name="Tc_Rj4QAWIW_kijgBwHy4Q62Q_8_14"/>
      <w:bookmarkStart w:id="603" w:name="Tc_PC6_5OJGYEWCrE-0N-v7AQ_8_11"/>
      <w:bookmarkStart w:id="604" w:name="Tc_k0M6dycwl0CiiysM6Ms2lA_8_5"/>
      <w:bookmarkStart w:id="605" w:name="Tc_BM7-6Iq8A0S7b99ix370vw_8_0"/>
      <w:bookmarkStart w:id="606" w:name="Tc_y1ZHAxyfFUGbfAnCrW6ajw_7_17"/>
      <w:bookmarkStart w:id="607" w:name="Tc_YvBbKDnaA0OuMtxwe4oi9A_7_14"/>
      <w:bookmarkStart w:id="608" w:name="Tc_3U-hUpOmdUqusLjeuE69eg_7_11"/>
      <w:bookmarkStart w:id="609" w:name="Tc_ZvCoGkw4cEeEl8HVgE8_3w_7_8"/>
      <w:bookmarkStart w:id="610" w:name="Tc_BbYvUEI46E6ZqV2owaAY8Q_7_5"/>
      <w:bookmarkStart w:id="611" w:name="Tc_34MBL3kD1ESrZFM9dn-K9A_7_0"/>
      <w:bookmarkStart w:id="612" w:name="Tc_xRR5hlgij0qnkydmiU6AhQ_6_14"/>
      <w:bookmarkStart w:id="613" w:name="Tc_blXYX0UmTEORIMuYtx9x9g_6_11"/>
      <w:bookmarkStart w:id="614" w:name="Tc_tuuJetGtLEW9EyEohVbf5Q_6_5"/>
      <w:bookmarkStart w:id="615" w:name="Tc_mciEQnM2RkeImTHDPIyt3w_6_0"/>
      <w:bookmarkStart w:id="616" w:name="Tc_a_52qNzP70azcvpK4OvOdQ_5_16"/>
      <w:bookmarkStart w:id="617" w:name="Tc_Dyg7kZFSB0a8Ag3eCNGnVA_5_13"/>
      <w:bookmarkStart w:id="618" w:name="Tc_CEGKEb3FDkiG-diN0-yxuQ_5_10"/>
      <w:bookmarkStart w:id="619" w:name="Tc_9JpWE1DMpEiXryjHjLvkaA_5_7"/>
      <w:bookmarkStart w:id="620" w:name="Tc_u8NrqREjsEK_J_SOua9Pcw_5_4"/>
      <w:bookmarkStart w:id="621" w:name="Tc_uqzQNvzUAUSNl3PpwNZH6g_5_0"/>
      <w:bookmarkStart w:id="622" w:name="Tc_02PCc-bZGkyhAExcpSp2sg_4_16"/>
      <w:bookmarkStart w:id="623" w:name="Tc_Rs8hI6wUTEikGTZK9KfOYw_4_13"/>
      <w:bookmarkStart w:id="624" w:name="Tc_gn2hf-uYGE2DxgEWg7Gx8Q_4_11"/>
      <w:bookmarkStart w:id="625" w:name="Tc_QYSmDz0j4kSS6CBXvoWkgA_4_7"/>
      <w:bookmarkStart w:id="626" w:name="Tc_-lz5OH9gVUamcZWscVYOew_4_4"/>
      <w:bookmarkStart w:id="627" w:name="Tc_H5enjdjjYU-SLUv2vlMoLQ_4_2"/>
      <w:bookmarkStart w:id="628" w:name="Tc_HiZf39-XzEqKPLh-ZY0AmQ_3_16"/>
      <w:bookmarkStart w:id="629" w:name="Tc_D4MrZo_76UKvTgL4KXeiew_3_13"/>
      <w:bookmarkStart w:id="630" w:name="Tc_Np24f_2ajE-5zkNnnlA3JQ_3_11"/>
      <w:bookmarkStart w:id="631" w:name="Tc_DbZ2dxEpK0mS9KDUuG6KNA_3_7"/>
      <w:bookmarkStart w:id="632" w:name="Tc_ELySAajck0CZsAq9Ugw5qg_3_2"/>
      <w:bookmarkStart w:id="633" w:name="Tc_ls4jO4DjMEyIqIl78D90dA_2_16"/>
      <w:bookmarkStart w:id="634" w:name="Tc_cAKy09upMUiCfpYog5KamQ_2_11"/>
      <w:bookmarkStart w:id="635" w:name="Tc_ks9krije10KF3Z4QQbSt4w_2_7"/>
      <w:bookmarkStart w:id="636" w:name="Tc_xHEOJQT1SUKCPMcznyOnMQ_1_11"/>
      <w:bookmarkStart w:id="637" w:name="_6cb0c3dd_1c58_47a6_bd03_97e512d775e5"/>
      <w:bookmarkStart w:id="638" w:name="Tc_ACD9CvMmv0-2enlMPXF7jQ_29_16"/>
      <w:bookmarkStart w:id="639" w:name="Tc_NmjptJaoR0aGEJIiAubcUw_29_13"/>
      <w:bookmarkStart w:id="640" w:name="Tc_G4XgjVPxREix0N2pVKBSSg_29_10"/>
      <w:bookmarkStart w:id="641" w:name="Tc_RN_ESjFVT0qI6avDIrfSYw_29_7"/>
      <w:bookmarkStart w:id="642" w:name="Tc_JVY4qZJkGUCaX17ygGLhyQ_29_4"/>
      <w:bookmarkStart w:id="643" w:name="Tc_QDy1ZKZG90GUctAt2PW1FQ_29_0"/>
      <w:bookmarkStart w:id="644" w:name="Tc_X11ZjIfwtUC1s9oovJYL3g_28_11"/>
      <w:bookmarkStart w:id="645" w:name="Tc_CqEMDacvhUKtNZErV4hLXw_28_8"/>
      <w:bookmarkStart w:id="646" w:name="Tc_XuCEFD4XOEm0sVQo-I5SfA_28_5"/>
      <w:bookmarkStart w:id="647" w:name="Tc_0YxVTmbv6UGmk9r0EDlzCw_28_2"/>
      <w:bookmarkStart w:id="648" w:name="Tc_VQEN7Ujj30u2QKsFwRphHA_28_0"/>
      <w:bookmarkStart w:id="649" w:name="Tc_Wm3pXD74o0KLfmc6XDGKkw_27_14"/>
      <w:bookmarkStart w:id="650" w:name="Tc_PSiC8MYQXk-RfCmezO3igA_27_8"/>
      <w:bookmarkStart w:id="651" w:name="Tc_BJb-wXP1OkSc1Yd4fYh7uQ_27_5"/>
      <w:bookmarkStart w:id="652" w:name="Tc_PM9lWQ5l_ECFyKz-NUOe-A_27_2"/>
      <w:bookmarkStart w:id="653" w:name="Tc_JX_1aRCYZUOlB4eXK3pUdA_27_0"/>
      <w:bookmarkStart w:id="654" w:name="Tc_AeCMJ63ihk6t014pmkBLiQ_26_14"/>
      <w:bookmarkStart w:id="655" w:name="Tc_O7BXlc06N0eUyTX0b-OFbg_26_11"/>
      <w:bookmarkStart w:id="656" w:name="Tc_0Hez3t6vgEG7PjV4Fxl6XA_26_5"/>
      <w:bookmarkStart w:id="657" w:name="Tc_ip_fUXBaA02s0xGoRN2xPQ_26_2"/>
      <w:bookmarkStart w:id="658" w:name="Tc_dlr0fQctHUCHh0wOxB1rKQ_26_0"/>
      <w:bookmarkStart w:id="659" w:name="Tc_sAnW2jObNEyVX346Acfb4w_25_14"/>
      <w:bookmarkStart w:id="660" w:name="Tc_dzIhf7_pt0OOgPymjRV64Q_25_11"/>
      <w:bookmarkStart w:id="661" w:name="Tc_mY_Fr4UmmUarUwolnCAn4Q_25_5"/>
      <w:bookmarkStart w:id="662" w:name="Tc_z_BjeVxvdUWwUlZw05e6uA_25_2"/>
      <w:bookmarkStart w:id="663" w:name="Tc_ZFMmiVovKU6KEZcuWMJBRw_25_0"/>
      <w:bookmarkStart w:id="664" w:name="Tc_GA10A3lVFUKM-970VtCsLA_24_14"/>
      <w:bookmarkStart w:id="665" w:name="Tc_j0gZNDfHS0ypVCFpG6OnCQ_24_11"/>
      <w:bookmarkStart w:id="666" w:name="Tc_GOUaIgenokqkL8x41g-i6w_24_5"/>
      <w:bookmarkStart w:id="667" w:name="Tc_sPVm-IBVcUqhWBfmxNPwGQ_24_0"/>
      <w:bookmarkStart w:id="668" w:name="Tc_YGSg2AQWn06drerA_NkCmg_23_14"/>
      <w:bookmarkStart w:id="669" w:name="Tc_978926R-80eGOKvdBD-Fhw_23_11"/>
      <w:bookmarkStart w:id="670" w:name="Tc_73m9AKDs7kSWxGW9QQVGyQ_23_5"/>
      <w:bookmarkStart w:id="671" w:name="Tc_Gk0_P_GBB0aztC8ZAJmAuw_23_0"/>
      <w:bookmarkStart w:id="672" w:name="Tc_E5Niac4WJUy332HD0vHSUQ_22_17"/>
      <w:bookmarkStart w:id="673" w:name="Tc_n8J2fk5THkiL_-Ux2aI54A_22_14"/>
      <w:bookmarkStart w:id="674" w:name="Tc_BdzLBCXSR0G8taJJgrqkXg_22_11"/>
      <w:bookmarkStart w:id="675" w:name="Tc_GLGQ9zJjXE-Hj2_J-6WvjQ_22_8"/>
      <w:bookmarkStart w:id="676" w:name="Tc_1kXiSMp6T02Iio5a75RPNA_22_5"/>
      <w:bookmarkStart w:id="677" w:name="Tc_2Z6-kZp8r0ecVHsoFTlbHg_22_0"/>
      <w:bookmarkStart w:id="678" w:name="Tc_8V8DHqL3qk2CDzZDXQ90-g_21_14"/>
      <w:bookmarkStart w:id="679" w:name="Tc_nBs6uIqMgU6mawI7rsjMlQ_21_11"/>
      <w:bookmarkStart w:id="680" w:name="Tc_bM9cr6xYGUimsuFse08jmQ_21_5"/>
      <w:bookmarkStart w:id="681" w:name="Tc_CcaH4cdHVEidZEelm_V5uQ_21_0"/>
      <w:bookmarkStart w:id="682" w:name="Tc_X3EUOzBFek6OU0QQfeTiHg_20_16"/>
      <w:bookmarkStart w:id="683" w:name="Tc_hjoQcKxTAU2lsw79con3-Q_20_13"/>
      <w:bookmarkStart w:id="684" w:name="Tc_JpUkrsU8NEmmAEaqMmxDaA_20_10"/>
      <w:bookmarkStart w:id="685" w:name="Tc_W0ORjJxpwECt0H6MrgsV4g_20_7"/>
      <w:bookmarkStart w:id="686" w:name="Tc_1DKFdDc680KXjhx6T5Q8Wg_20_4"/>
      <w:bookmarkStart w:id="687" w:name="Tc_aFLezUFv-U-fKz4_0UKh8Q_20_0"/>
      <w:bookmarkStart w:id="688" w:name="Tc_c5I--DV2nEmhjKDQglHhFQ_19_16"/>
      <w:bookmarkStart w:id="689" w:name="Tc_NEN867Tf60mqmHVdE2J8wA_19_13"/>
      <w:bookmarkStart w:id="690" w:name="Tc_F8wYPsr0RUOhrgWm2Jk94w_19_11"/>
      <w:bookmarkStart w:id="691" w:name="Tc_k4ZtZaCPo0GID0PaeAzuNg_19_7"/>
      <w:bookmarkStart w:id="692" w:name="Tc_r9pYZUKoWU24P0mx7unZWQ_19_4"/>
      <w:bookmarkStart w:id="693" w:name="Tc_Xhid4RuiUEG5cJeUBszjSg_19_2"/>
      <w:bookmarkStart w:id="694" w:name="Tc_LsGFOo3NT06cvd1X60VRKg_18_16"/>
      <w:bookmarkStart w:id="695" w:name="Tc_siwN7PP1FEO4WMmOOeM_2w_18_13"/>
      <w:bookmarkStart w:id="696" w:name="Tc_yfGgW0KJn02lO7WTEejpFA_18_11"/>
      <w:bookmarkStart w:id="697" w:name="Tc_j4zY_T5jsEaF1G9GcHih7w_18_7"/>
      <w:bookmarkStart w:id="698" w:name="Tc_vAqJXI-i_Uu2mbbJfuHD2w_18_2"/>
      <w:bookmarkStart w:id="699" w:name="Tc_qlLRpMdrhEqWz_eB-x-LCg_17_16"/>
      <w:bookmarkStart w:id="700" w:name="Tc_5FgYaVNbSUuwp9byX40CJA_17_11"/>
      <w:bookmarkStart w:id="701" w:name="Tc_B6QR2A9U0EaAzfHxlTf2Vw_17_7"/>
      <w:bookmarkStart w:id="702" w:name="Tc_7-wo1uLflUuH0Hd4m1bRBQ_16_11"/>
      <w:bookmarkStart w:id="703" w:name="Tc_tzDV5-K460-X-5Qud2OeCg_13_16"/>
      <w:bookmarkStart w:id="704" w:name="Tc_m3aws4n9PkyCgaSWM0Nwnw_13_13"/>
      <w:bookmarkStart w:id="705" w:name="Tc_AGygLoq2Gk69uDVOa-bPJg_13_10"/>
      <w:bookmarkStart w:id="706" w:name="Tc_mNdOEsHy2UqPn7JhRF-fDA_13_7"/>
      <w:bookmarkStart w:id="707" w:name="Tc_lCPknhEbAE6Gq7xHtwfazQ_13_4"/>
      <w:bookmarkStart w:id="708" w:name="Tc_KOu5iKD-Ykyqqyifq0ADKA_13_0"/>
      <w:bookmarkStart w:id="709" w:name="Tc_YJC9Eq6FTEqp7lzwklLD8A_12_11"/>
      <w:bookmarkStart w:id="710" w:name="Tc_bfHS8UEeokeR0JKDsrI0kA_12_8"/>
      <w:bookmarkStart w:id="711" w:name="Tc_O072I8Yhl0OJd0ZuCT9Fng_12_5"/>
      <w:bookmarkStart w:id="712" w:name="Tc_UaRNgcpVrEqlRprSG4Ni9Q_12_2"/>
      <w:bookmarkStart w:id="713" w:name="Tc_VX5kwDCfCU6FlQ1fwzJvPg_12_0"/>
      <w:bookmarkStart w:id="714" w:name="Tc_VhA1tJsfhEai00Farzjutg_11_14"/>
      <w:bookmarkStart w:id="715" w:name="Tc_W93JBiGzq0uhCqVYXvI1Eg_11_8"/>
      <w:bookmarkStart w:id="716" w:name="Tc_D-NAoMxyVkih9lCgeKkbcg_11_5"/>
      <w:bookmarkStart w:id="717" w:name="Tc_Dc0biVSdO0Sw0RHFFrqCSQ_11_2"/>
      <w:bookmarkStart w:id="718" w:name="Tc_z0LV6GYbpU-qLUpTzba2MQ_11_0"/>
      <w:bookmarkStart w:id="719" w:name="Tc_n9jXekInwEudbepe7lK5Jg_10_14"/>
      <w:bookmarkStart w:id="720" w:name="Tc_9F9tD1t5NEqr0jCu02d7gw_10_11"/>
      <w:bookmarkStart w:id="721" w:name="Tc_m-8zXaJEy0Sxho54HC4z0g_10_5"/>
      <w:bookmarkStart w:id="722" w:name="Tc_GlC1Ivx-80u6b3ymvMN_SA_10_2"/>
      <w:bookmarkStart w:id="723" w:name="Tc_n5MODBw1okKIulNMfpUxDw_10_0"/>
      <w:bookmarkStart w:id="724" w:name="Tc_zVFWbuuNTEGwDpcSl9ghag_9_14"/>
      <w:bookmarkStart w:id="725" w:name="Tc_ePFEApf97kqqfwl9we7Enw_9_11"/>
      <w:bookmarkStart w:id="726" w:name="Tc_mp8_8nVFJUSDIfiD9Noe6A_9_5"/>
      <w:bookmarkStart w:id="727" w:name="Tc_t_Sg8SnlXEmqU8hIZOhppA_9_2"/>
      <w:bookmarkStart w:id="728" w:name="Tc_zLcPY2ZixkaNxJO-p9uDmw_9_0"/>
      <w:bookmarkStart w:id="729" w:name="Tc_Rj4QAWIW_kijgBwHy4Q62Q_8_14"/>
      <w:bookmarkStart w:id="730" w:name="Tc_PC6_5OJGYEWCrE-0N-v7AQ_8_11"/>
      <w:bookmarkStart w:id="731" w:name="Tc_k0M6dycwl0CiiysM6Ms2lA_8_5"/>
      <w:bookmarkStart w:id="732" w:name="Tc_BM7-6Iq8A0S7b99ix370vw_8_0"/>
      <w:bookmarkStart w:id="733" w:name="Tc_y1ZHAxyfFUGbfAnCrW6ajw_7_17"/>
      <w:bookmarkStart w:id="734" w:name="Tc_YvBbKDnaA0OuMtxwe4oi9A_7_14"/>
      <w:bookmarkStart w:id="735" w:name="Tc_3U-hUpOmdUqusLjeuE69eg_7_11"/>
      <w:bookmarkStart w:id="736" w:name="Tc_ZvCoGkw4cEeEl8HVgE8_3w_7_8"/>
      <w:bookmarkStart w:id="737" w:name="Tc_BbYvUEI46E6ZqV2owaAY8Q_7_5"/>
      <w:bookmarkStart w:id="738" w:name="Tc_34MBL3kD1ESrZFM9dn-K9A_7_0"/>
      <w:bookmarkStart w:id="739" w:name="Tc_xRR5hlgij0qnkydmiU6AhQ_6_14"/>
      <w:bookmarkStart w:id="740" w:name="Tc_blXYX0UmTEORIMuYtx9x9g_6_11"/>
      <w:bookmarkStart w:id="741" w:name="Tc_tuuJetGtLEW9EyEohVbf5Q_6_5"/>
      <w:bookmarkStart w:id="742" w:name="Tc_mciEQnM2RkeImTHDPIyt3w_6_0"/>
      <w:bookmarkStart w:id="743" w:name="Tc_a_52qNzP70azcvpK4OvOdQ_5_16"/>
      <w:bookmarkStart w:id="744" w:name="Tc_Dyg7kZFSB0a8Ag3eCNGnVA_5_13"/>
      <w:bookmarkStart w:id="745" w:name="Tc_CEGKEb3FDkiG-diN0-yxuQ_5_10"/>
      <w:bookmarkStart w:id="746" w:name="Tc_9JpWE1DMpEiXryjHjLvkaA_5_7"/>
      <w:bookmarkStart w:id="747" w:name="Tc_u8NrqREjsEK_J_SOua9Pcw_5_4"/>
      <w:bookmarkStart w:id="748" w:name="Tc_uqzQNvzUAUSNl3PpwNZH6g_5_0"/>
      <w:bookmarkStart w:id="749" w:name="Tc_02PCc-bZGkyhAExcpSp2sg_4_16"/>
      <w:bookmarkStart w:id="750" w:name="Tc_Rs8hI6wUTEikGTZK9KfOYw_4_13"/>
      <w:bookmarkStart w:id="751" w:name="Tc_gn2hf-uYGE2DxgEWg7Gx8Q_4_11"/>
      <w:bookmarkStart w:id="752" w:name="Tc_QYSmDz0j4kSS6CBXvoWkgA_4_7"/>
      <w:bookmarkStart w:id="753" w:name="Tc_-lz5OH9gVUamcZWscVYOew_4_4"/>
      <w:bookmarkStart w:id="754" w:name="Tc_H5enjdjjYU-SLUv2vlMoLQ_4_2"/>
      <w:bookmarkStart w:id="755" w:name="Tc_HiZf39-XzEqKPLh-ZY0AmQ_3_16"/>
      <w:bookmarkStart w:id="756" w:name="Tc_D4MrZo_76UKvTgL4KXeiew_3_13"/>
      <w:bookmarkStart w:id="757" w:name="Tc_Np24f_2ajE-5zkNnnlA3JQ_3_11"/>
      <w:bookmarkStart w:id="758" w:name="Tc_DbZ2dxEpK0mS9KDUuG6KNA_3_7"/>
      <w:bookmarkStart w:id="759" w:name="Tc_ELySAajck0CZsAq9Ugw5qg_3_2"/>
      <w:bookmarkStart w:id="760" w:name="Tc_ls4jO4DjMEyIqIl78D90dA_2_16"/>
      <w:bookmarkStart w:id="761" w:name="Tc_cAKy09upMUiCfpYog5KamQ_2_11"/>
      <w:bookmarkStart w:id="762" w:name="Tc_ks9krije10KF3Z4QQbSt4w_2_7"/>
      <w:bookmarkStart w:id="763" w:name="Tc_xHEOJQT1SUKCPMcznyOnMQ_1_11"/>
      <w:bookmarkStart w:id="764" w:name="_6cb0c3dd_1c58_47a6_bd03_97e512d775e5"/>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tbl>
      <w:tblPr>
        <w:tblW w:w="10205" w:type="dxa"/>
        <w:jc w:val="left"/>
        <w:tblInd w:w="0" w:type="dxa"/>
        <w:tblLayout w:type="fixed"/>
        <w:tblCellMar>
          <w:top w:w="0" w:type="dxa"/>
          <w:left w:w="0" w:type="dxa"/>
          <w:bottom w:w="0" w:type="dxa"/>
          <w:right w:w="0" w:type="dxa"/>
        </w:tblCellMar>
      </w:tblPr>
      <w:tblGrid>
        <w:gridCol w:w="3081"/>
        <w:gridCol w:w="326"/>
        <w:gridCol w:w="796"/>
        <w:gridCol w:w="326"/>
        <w:gridCol w:w="201"/>
        <w:gridCol w:w="385"/>
        <w:gridCol w:w="326"/>
        <w:gridCol w:w="181"/>
        <w:gridCol w:w="601"/>
        <w:gridCol w:w="326"/>
        <w:gridCol w:w="181"/>
        <w:gridCol w:w="1096"/>
        <w:gridCol w:w="109"/>
        <w:gridCol w:w="203"/>
        <w:gridCol w:w="728"/>
        <w:gridCol w:w="326"/>
        <w:gridCol w:w="208"/>
        <w:gridCol w:w="805"/>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56435" cy="175260"/>
                      <wp:effectExtent l="0" t="0" r="0" b="0"/>
                      <wp:wrapNone/>
                      <wp:docPr id="54" name="Frame54"/>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05460" cy="175260"/>
                      <wp:effectExtent l="0" t="0" r="0" b="0"/>
                      <wp:wrapNone/>
                      <wp:docPr id="56" name="Frame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7635" cy="175260"/>
                      <wp:effectExtent l="0" t="0" r="0" b="0"/>
                      <wp:wrapNone/>
                      <wp:docPr id="58" name="Frame5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44475" cy="175260"/>
                      <wp:effectExtent l="0" t="0" r="0" b="0"/>
                      <wp:wrapNone/>
                      <wp:docPr id="59" name="Frame5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4935" cy="175260"/>
                      <wp:effectExtent l="0" t="0" r="0" b="0"/>
                      <wp:wrapNone/>
                      <wp:docPr id="61" name="Frame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81635" cy="175260"/>
                      <wp:effectExtent l="0" t="0" r="0" b="0"/>
                      <wp:wrapNone/>
                      <wp:docPr id="62" name="Frame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8905" cy="175260"/>
                      <wp:effectExtent l="0" t="0" r="0" b="0"/>
                      <wp:wrapNone/>
                      <wp:docPr id="66" name="Frame6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62280" cy="175260"/>
                      <wp:effectExtent l="0" t="0" r="0" b="0"/>
                      <wp:wrapNone/>
                      <wp:docPr id="67" name="Frame67"/>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2080" cy="175260"/>
                      <wp:effectExtent l="0" t="0" r="0" b="0"/>
                      <wp:wrapNone/>
                      <wp:docPr id="69" name="Frame69"/>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1175" cy="175260"/>
                      <wp:effectExtent l="0" t="0" r="0" b="0"/>
                      <wp:wrapNone/>
                      <wp:docPr id="70" name="Frame70"/>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8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6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3"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72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8"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80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June 30, 2022</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39,974,459</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398,756</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(2,398)</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(160,078)</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236,283</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6,990</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208" w:type="dxa"/>
            <w:tcBorders/>
            <w:vAlign w:val="center"/>
          </w:tcPr>
          <w:p>
            <w:pPr>
              <w:pStyle w:val="TableContents"/>
              <w:bidi w:val="0"/>
              <w:spacing w:before="0" w:after="1"/>
              <w:ind w:left="0" w:right="0" w:hanging="0"/>
              <w:jc w:val="right"/>
              <w:rPr>
                <w:color w:val="231F20"/>
              </w:rPr>
            </w:pPr>
            <w:r>
              <w:rPr>
                <w:color w:val="231F20"/>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31</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49,318</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5"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53,801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106</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8" w:type="dxa"/>
            <w:tcBorders/>
            <w:vAlign w:val="center"/>
          </w:tcPr>
          <w:p>
            <w:pPr>
              <w:pStyle w:val="TableContents"/>
              <w:bidi w:val="0"/>
              <w:spacing w:before="0" w:after="1"/>
              <w:ind w:left="0" w:right="0" w:hanging="0"/>
              <w:jc w:val="right"/>
              <w:rPr>
                <w:color w:val="231F20"/>
              </w:rPr>
            </w:pPr>
            <w:r>
              <w:rPr>
                <w:color w:val="231F20"/>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106</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4,207</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4,207</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purchase plan expense</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68</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8" w:type="dxa"/>
            <w:tcBorders/>
            <w:vAlign w:val="center"/>
          </w:tcPr>
          <w:p>
            <w:pPr>
              <w:pStyle w:val="TableContents"/>
              <w:bidi w:val="0"/>
              <w:spacing w:before="0" w:after="1"/>
              <w:ind w:left="0" w:right="0" w:hanging="0"/>
              <w:jc w:val="right"/>
              <w:rPr>
                <w:color w:val="231F20"/>
              </w:rPr>
            </w:pPr>
            <w:r>
              <w:rPr>
                <w:color w:val="231F20"/>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68</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unrealized loss on marketable securities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(276)</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(276)</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(22,720)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(22,720)</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at September 30, 2022</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40,084,568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403,168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(2,674)</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(182,798)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217,699</w:t>
            </w:r>
          </w:p>
        </w:tc>
      </w:tr>
      <w:tr>
        <w:trPr/>
        <w:tc>
          <w:tcPr>
            <w:tcW w:w="3081"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8" w:type="dxa"/>
            <w:tcBorders/>
            <w:vAlign w:val="center"/>
          </w:tcPr>
          <w:p>
            <w:pPr>
              <w:pStyle w:val="TableContents"/>
              <w:bidi w:val="0"/>
              <w:spacing w:before="0" w:after="1"/>
              <w:ind w:left="0" w:right="0" w:hanging="0"/>
              <w:jc w:val="right"/>
              <w:rPr>
                <w:color w:val="231F20"/>
              </w:rPr>
            </w:pPr>
            <w:r>
              <w:rPr>
                <w:color w:val="231F20"/>
              </w:rPr>
              <w:t>​</w:t>
            </w:r>
          </w:p>
        </w:tc>
        <w:tc>
          <w:tcPr>
            <w:tcW w:w="805" w:type="dxa"/>
            <w:tcBorders/>
            <w:vAlign w:val="center"/>
          </w:tcPr>
          <w:p>
            <w:pPr>
              <w:pStyle w:val="TableContents"/>
              <w:bidi w:val="0"/>
              <w:spacing w:before="0" w:after="1"/>
              <w:ind w:left="0" w:right="0" w:hanging="0"/>
              <w:jc w:val="right"/>
              <w:rPr>
                <w:color w:val="231F20"/>
              </w:rPr>
            </w:pPr>
            <w:r>
              <w:rPr>
                <w:color w:val="231F20"/>
              </w:rPr>
              <w:t>​</w:t>
            </w:r>
          </w:p>
        </w:tc>
      </w:tr>
      <w:tr>
        <w:trPr/>
        <w:tc>
          <w:tcPr>
            <w:tcW w:w="308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8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3"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72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08"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805"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8" w:type="dxa"/>
            <w:tcBorders/>
            <w:vAlign w:val="center"/>
          </w:tcPr>
          <w:p>
            <w:pPr>
              <w:pStyle w:val="TableContents"/>
              <w:bidi w:val="0"/>
              <w:spacing w:before="0" w:after="1"/>
              <w:ind w:left="0" w:right="0" w:hanging="0"/>
              <w:jc w:val="right"/>
              <w:rPr/>
            </w:pPr>
            <w:r>
              <w:rPr/>
              <w:t>​</w:t>
            </w:r>
          </w:p>
        </w:tc>
        <w:tc>
          <w:tcPr>
            <w:tcW w:w="805" w:type="dxa"/>
            <w:tcBorders/>
            <w:vAlign w:val="center"/>
          </w:tcPr>
          <w:p>
            <w:pPr>
              <w:pStyle w:val="TableContents"/>
              <w:bidi w:val="0"/>
              <w:spacing w:before="0" w:after="1"/>
              <w:ind w:left="0" w:right="0" w:hanging="0"/>
              <w:jc w:val="left"/>
              <w:rPr/>
            </w:pPr>
            <w:r>
              <w:rPr/>
              <w:t>​</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right"/>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3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Equity</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December 31, 2021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39,797,263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38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388,904</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(149)</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(104,190)</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284,568</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796"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20,969</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01" w:type="dxa"/>
            <w:tcBorders/>
            <w:vAlign w:val="center"/>
          </w:tcPr>
          <w:p>
            <w:pPr>
              <w:pStyle w:val="TableContents"/>
              <w:bidi w:val="0"/>
              <w:spacing w:before="0" w:after="1"/>
              <w:ind w:left="0" w:right="0" w:hanging="0"/>
              <w:jc w:val="right"/>
              <w:rPr>
                <w:color w:val="231F20"/>
              </w:rPr>
            </w:pPr>
            <w:r>
              <w:rPr>
                <w:color w:val="231F20"/>
              </w:rPr>
              <w:t>​</w:t>
            </w:r>
          </w:p>
        </w:tc>
        <w:tc>
          <w:tcPr>
            <w:tcW w:w="385"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601"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93</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81" w:type="dxa"/>
            <w:tcBorders/>
            <w:vAlign w:val="center"/>
          </w:tcPr>
          <w:p>
            <w:pPr>
              <w:pStyle w:val="TableContents"/>
              <w:bidi w:val="0"/>
              <w:spacing w:before="0" w:after="1"/>
              <w:ind w:left="0" w:right="0" w:hanging="0"/>
              <w:jc w:val="right"/>
              <w:rPr>
                <w:color w:val="231F20"/>
              </w:rPr>
            </w:pPr>
            <w:r>
              <w:rPr>
                <w:color w:val="231F20"/>
              </w:rPr>
              <w:t>​</w:t>
            </w:r>
          </w:p>
        </w:tc>
        <w:tc>
          <w:tcPr>
            <w:tcW w:w="10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3" w:type="dxa"/>
            <w:tcBorders/>
            <w:vAlign w:val="center"/>
          </w:tcPr>
          <w:p>
            <w:pPr>
              <w:pStyle w:val="TableContents"/>
              <w:bidi w:val="0"/>
              <w:spacing w:before="0" w:after="1"/>
              <w:ind w:left="0" w:right="0" w:hanging="0"/>
              <w:jc w:val="right"/>
              <w:rPr>
                <w:color w:val="231F20"/>
              </w:rPr>
            </w:pPr>
            <w:r>
              <w:rPr>
                <w:color w:val="231F20"/>
              </w:rPr>
              <w:t>​</w:t>
            </w:r>
          </w:p>
        </w:tc>
        <w:tc>
          <w:tcPr>
            <w:tcW w:w="72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208" w:type="dxa"/>
            <w:tcBorders/>
            <w:vAlign w:val="center"/>
          </w:tcPr>
          <w:p>
            <w:pPr>
              <w:pStyle w:val="TableContents"/>
              <w:bidi w:val="0"/>
              <w:spacing w:before="0" w:after="1"/>
              <w:ind w:left="0" w:right="0" w:hanging="0"/>
              <w:jc w:val="right"/>
              <w:rPr>
                <w:color w:val="231F20"/>
              </w:rPr>
            </w:pPr>
            <w:r>
              <w:rPr>
                <w:color w:val="231F20"/>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93</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147,955</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8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72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0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805"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87,490</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righ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146</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shares under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30,891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righ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right"/>
              <w:rPr/>
            </w:pPr>
            <w:r>
              <w:rPr/>
              <w:t>​</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57</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13,704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13,704</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purchase plan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righ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right"/>
              <w:rPr/>
            </w:pPr>
            <w:r>
              <w:rPr/>
              <w:t>​</w:t>
            </w:r>
          </w:p>
        </w:tc>
        <w:tc>
          <w:tcPr>
            <w:tcW w:w="805"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264</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unrealized loss on marketable securities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(2,525)</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righ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right"/>
              <w:rPr/>
            </w:pPr>
            <w:r>
              <w:rPr/>
              <w:t>​</w:t>
            </w:r>
          </w:p>
        </w:tc>
        <w:tc>
          <w:tcPr>
            <w:tcW w:w="805" w:type="dxa"/>
            <w:tcBorders/>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(2,525)</w:t>
            </w:r>
          </w:p>
        </w:tc>
      </w:tr>
      <w:tr>
        <w:trPr/>
        <w:tc>
          <w:tcPr>
            <w:tcW w:w="30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(78,608)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(78,608)</w:t>
            </w:r>
          </w:p>
        </w:tc>
      </w:tr>
      <w:tr>
        <w:trPr/>
        <w:tc>
          <w:tcPr>
            <w:tcW w:w="3081" w:type="dxa"/>
            <w:tcBorders/>
            <w:vAlign w:val="center"/>
          </w:tcPr>
          <w:p>
            <w:pPr>
              <w:pStyle w:val="TableContents"/>
              <w:bidi w:val="0"/>
              <w:spacing w:before="0" w:after="1"/>
              <w:ind w:left="0" w:right="0" w:hanging="0"/>
              <w:jc w:val="left"/>
              <w:rPr>
                <w:rFonts w:ascii="Arial;Helvetica;sans-serif" w:hAnsi="Arial;Helvetica;sans-serif"/>
                <w:color w:val="231F20"/>
                <w:sz w:val="14"/>
              </w:rPr>
            </w:pPr>
            <w:r>
              <w:rPr>
                <w:rFonts w:ascii="Arial;Helvetica;sans-serif" w:hAnsi="Arial;Helvetica;sans-serif"/>
                <w:color w:val="231F20"/>
                <w:sz w:val="14"/>
              </w:rPr>
              <w:t>Balances at September 30, 2022</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40,084,568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403,168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(2,674)</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(182,798)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double" w:sz="6" w:space="0" w:color="000000"/>
            </w:tcBorders>
            <w:tcMar>
              <w:bottom w:w="28" w:type="dxa"/>
            </w:tcMar>
            <w:vAlign w:val="center"/>
          </w:tcPr>
          <w:p>
            <w:pPr>
              <w:pStyle w:val="TableContents"/>
              <w:bidi w:val="0"/>
              <w:spacing w:before="0" w:after="1"/>
              <w:ind w:left="0" w:right="48" w:hanging="0"/>
              <w:jc w:val="right"/>
              <w:rPr>
                <w:rFonts w:ascii="Arial;Helvetica;sans-serif" w:hAnsi="Arial;Helvetica;sans-serif"/>
                <w:sz w:val="14"/>
              </w:rPr>
            </w:pPr>
            <w:r>
              <w:rPr>
                <w:rFonts w:ascii="Arial;Helvetica;sans-serif" w:hAnsi="Arial;Helvetica;sans-serif"/>
                <w:sz w:val="14"/>
              </w:rPr>
              <w:t>217,699</w:t>
            </w:r>
          </w:p>
        </w:tc>
      </w:tr>
    </w:tbl>
    <w:p>
      <w:pPr>
        <w:pStyle w:val="TextBody"/>
        <w:bidi w:val="0"/>
        <w:spacing w:before="100" w:after="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765" w:name="_75d5b7d2_34a2_4f5f_b080_a318bf9b14ed"/>
      <w:bookmarkEnd w:id="765"/>
      <w:r>
        <w:rPr>
          <w:rFonts w:ascii="Arial;Helvetica;sans-serif" w:hAnsi="Arial;Helvetica;sans-serif"/>
          <w:b/>
          <w:sz w:val="20"/>
        </w:rPr>
        <w:t>Olema Pharmaceuticals,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bookmarkStart w:id="766" w:name="CondensedConsolidatedStatementsofcashflo"/>
      <w:bookmarkEnd w:id="766"/>
      <w:r>
        <w:rPr>
          <w:rFonts w:ascii="Arial;Helvetica;sans-serif" w:hAnsi="Arial;Helvetica;sans-serif"/>
          <w:b/>
          <w:sz w:val="20"/>
        </w:rPr>
        <w:t>(unaudited)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(Amounts in thousands)</w:t>
      </w:r>
    </w:p>
    <w:p>
      <w:pPr>
        <w:pStyle w:val="Normal"/>
        <w:bidi w:val="0"/>
        <w:spacing w:before="0" w:after="0"/>
        <w:jc w:val="left"/>
        <w:rPr>
          <w:sz w:val="4"/>
          <w:szCs w:val="4"/>
        </w:rPr>
      </w:pPr>
      <w:r>
        <w:rPr>
          <w:sz w:val="4"/>
          <w:szCs w:val="4"/>
        </w:rPr>
      </w:r>
      <w:bookmarkStart w:id="767" w:name="Tc_Vp6Z3d7KUEefa0N3U4lCsg_31_5"/>
      <w:bookmarkStart w:id="768" w:name="Tc_ec4n_-7hoUm2D8Hh5GMyuQ_31_2"/>
      <w:bookmarkStart w:id="769" w:name="Tc_CmaFCPUFVkqwwscye1sNjg_31_0"/>
      <w:bookmarkStart w:id="770" w:name="Tc_0YJO8SJC00muhfmIgABwbg_30_0"/>
      <w:bookmarkStart w:id="771" w:name="Tc_n-uaYO5CbkKMcqbDjDKF2Q_29_0"/>
      <w:bookmarkStart w:id="772" w:name="Tc_Mr1YQ8Tv10274jLD4l-17w_28_0"/>
      <w:bookmarkStart w:id="773" w:name="Tc_sWVrG188QEOey1bW8NON3A_27_6"/>
      <w:bookmarkStart w:id="774" w:name="Tc_bYR4zLtYu0G6QVJ680gizw_27_0"/>
      <w:bookmarkStart w:id="775" w:name="Tc_9gY0isvfeUC5sidHhosjCg_26_0"/>
      <w:bookmarkStart w:id="776" w:name="Tc_r17Z6Uwlkka8c8UJb1QJ9g_25_0"/>
      <w:bookmarkStart w:id="777" w:name="Tc_xenFHc5KkEa6ApPM-PV1Lw_24_0"/>
      <w:bookmarkStart w:id="778" w:name="Tc_VYlqVA5S5EKc8SKMRCDiUA_23_0"/>
      <w:bookmarkStart w:id="779" w:name="Tc_qdJq-hFDlEWguUerOop8Mg_22_6"/>
      <w:bookmarkStart w:id="780" w:name="Tc_LlXB4fQE60SMyWCeMpJZCQ_22_0"/>
      <w:bookmarkStart w:id="781" w:name="Tc_dWXfSvaokEGJra3jXephug_21_0"/>
      <w:bookmarkStart w:id="782" w:name="Tc_1VoUiehCJEaZj-7_FjAbRA_20_0"/>
      <w:bookmarkStart w:id="783" w:name="Tc_pJDeMMDCq02ha8sE4hNwrg_19_3"/>
      <w:bookmarkStart w:id="784" w:name="Tc_E7Et6zr11kWxusFee2tieQ_19_0"/>
      <w:bookmarkStart w:id="785" w:name="Tc_z0I5XDKmeESGl9me4QtATQ_18_0"/>
      <w:bookmarkStart w:id="786" w:name="Tc_hElxzAsZaU-ItIFlVFc8dA_17_0"/>
      <w:bookmarkStart w:id="787" w:name="Tc_ZSfTVCT60U-rd0IrmuRKWg_16_0"/>
      <w:bookmarkStart w:id="788" w:name="Tc_Qht8npNIzEGLs7M2MhPlVA_15_0"/>
      <w:bookmarkStart w:id="789" w:name="Tc_vwNxrEBFjU-exsxwqNEcJQ_14_0"/>
      <w:bookmarkStart w:id="790" w:name="Tc_ThN3pDyZdkajO3jAVbW4_Q_13_0"/>
      <w:bookmarkStart w:id="791" w:name="Tc_us68bI6i60Kz4AuoaMmaMg_12_0"/>
      <w:bookmarkStart w:id="792" w:name="Tc_vlyOcnsGxESTPNDBC4TkRA_11_0"/>
      <w:bookmarkStart w:id="793" w:name="Tc_J3QS69gc-UylZcrWN6r4Sw_10_0"/>
      <w:bookmarkStart w:id="794" w:name="Tc_puFI4ba_202WS3lhZ-ZiCA_9_0"/>
      <w:bookmarkStart w:id="795" w:name="Tc_gucx0VEwR0mCyR5Su8hW-g_8_0"/>
      <w:bookmarkStart w:id="796" w:name="Tc_XLvKrQwpCEeREXVnvRh7YA_7_6"/>
      <w:bookmarkStart w:id="797" w:name="Tc_mN-qewvDMUazPoCtU0ejHQ_7_0"/>
      <w:bookmarkStart w:id="798" w:name="Tc_3djWK4us9UiIlZUBy48ziA_6_0"/>
      <w:bookmarkStart w:id="799" w:name="Tc_vLnZGCcsT0yiXu5OxW5c0g_5_0"/>
      <w:bookmarkStart w:id="800" w:name="Tc_-X-UeFUcXkutjThYps-PeA_4_5"/>
      <w:bookmarkStart w:id="801" w:name="Tc_hBGJh2SaSE-qQ4Iw8qFYFA_4_2"/>
      <w:bookmarkStart w:id="802" w:name="Tc_8PEKwNr3zEezV460gWolEA_4_0"/>
      <w:bookmarkStart w:id="803" w:name="Tc_Wv5VORhREEanlci64yChNw_3_0"/>
      <w:bookmarkStart w:id="804" w:name="Tc_Pov9cHZo3E6v4cqK5BUUPw_2_5"/>
      <w:bookmarkStart w:id="805" w:name="Tc_KSr0nCs8fU6pFOt9XwVvAg_2_2"/>
      <w:bookmarkStart w:id="806" w:name="Tc_QC6ZAEpI2Ei9BUq50PdHzA_1_2"/>
      <w:bookmarkStart w:id="807" w:name="_7f41ac23_6593_453f_a1a1_a34a37aedebd"/>
      <w:bookmarkStart w:id="808" w:name="Tc_Vp6Z3d7KUEefa0N3U4lCsg_31_5"/>
      <w:bookmarkStart w:id="809" w:name="Tc_ec4n_-7hoUm2D8Hh5GMyuQ_31_2"/>
      <w:bookmarkStart w:id="810" w:name="Tc_CmaFCPUFVkqwwscye1sNjg_31_0"/>
      <w:bookmarkStart w:id="811" w:name="Tc_0YJO8SJC00muhfmIgABwbg_30_0"/>
      <w:bookmarkStart w:id="812" w:name="Tc_n-uaYO5CbkKMcqbDjDKF2Q_29_0"/>
      <w:bookmarkStart w:id="813" w:name="Tc_Mr1YQ8Tv10274jLD4l-17w_28_0"/>
      <w:bookmarkStart w:id="814" w:name="Tc_sWVrG188QEOey1bW8NON3A_27_6"/>
      <w:bookmarkStart w:id="815" w:name="Tc_bYR4zLtYu0G6QVJ680gizw_27_0"/>
      <w:bookmarkStart w:id="816" w:name="Tc_9gY0isvfeUC5sidHhosjCg_26_0"/>
      <w:bookmarkStart w:id="817" w:name="Tc_r17Z6Uwlkka8c8UJb1QJ9g_25_0"/>
      <w:bookmarkStart w:id="818" w:name="Tc_xenFHc5KkEa6ApPM-PV1Lw_24_0"/>
      <w:bookmarkStart w:id="819" w:name="Tc_VYlqVA5S5EKc8SKMRCDiUA_23_0"/>
      <w:bookmarkStart w:id="820" w:name="Tc_qdJq-hFDlEWguUerOop8Mg_22_6"/>
      <w:bookmarkStart w:id="821" w:name="Tc_LlXB4fQE60SMyWCeMpJZCQ_22_0"/>
      <w:bookmarkStart w:id="822" w:name="Tc_dWXfSvaokEGJra3jXephug_21_0"/>
      <w:bookmarkStart w:id="823" w:name="Tc_1VoUiehCJEaZj-7_FjAbRA_20_0"/>
      <w:bookmarkStart w:id="824" w:name="Tc_pJDeMMDCq02ha8sE4hNwrg_19_3"/>
      <w:bookmarkStart w:id="825" w:name="Tc_E7Et6zr11kWxusFee2tieQ_19_0"/>
      <w:bookmarkStart w:id="826" w:name="Tc_z0I5XDKmeESGl9me4QtATQ_18_0"/>
      <w:bookmarkStart w:id="827" w:name="Tc_hElxzAsZaU-ItIFlVFc8dA_17_0"/>
      <w:bookmarkStart w:id="828" w:name="Tc_ZSfTVCT60U-rd0IrmuRKWg_16_0"/>
      <w:bookmarkStart w:id="829" w:name="Tc_Qht8npNIzEGLs7M2MhPlVA_15_0"/>
      <w:bookmarkStart w:id="830" w:name="Tc_vwNxrEBFjU-exsxwqNEcJQ_14_0"/>
      <w:bookmarkStart w:id="831" w:name="Tc_ThN3pDyZdkajO3jAVbW4_Q_13_0"/>
      <w:bookmarkStart w:id="832" w:name="Tc_us68bI6i60Kz4AuoaMmaMg_12_0"/>
      <w:bookmarkStart w:id="833" w:name="Tc_vlyOcnsGxESTPNDBC4TkRA_11_0"/>
      <w:bookmarkStart w:id="834" w:name="Tc_J3QS69gc-UylZcrWN6r4Sw_10_0"/>
      <w:bookmarkStart w:id="835" w:name="Tc_puFI4ba_202WS3lhZ-ZiCA_9_0"/>
      <w:bookmarkStart w:id="836" w:name="Tc_gucx0VEwR0mCyR5Su8hW-g_8_0"/>
      <w:bookmarkStart w:id="837" w:name="Tc_XLvKrQwpCEeREXVnvRh7YA_7_6"/>
      <w:bookmarkStart w:id="838" w:name="Tc_mN-qewvDMUazPoCtU0ejHQ_7_0"/>
      <w:bookmarkStart w:id="839" w:name="Tc_3djWK4us9UiIlZUBy48ziA_6_0"/>
      <w:bookmarkStart w:id="840" w:name="Tc_vLnZGCcsT0yiXu5OxW5c0g_5_0"/>
      <w:bookmarkStart w:id="841" w:name="Tc_-X-UeFUcXkutjThYps-PeA_4_5"/>
      <w:bookmarkStart w:id="842" w:name="Tc_hBGJh2SaSE-qQ4Iw8qFYFA_4_2"/>
      <w:bookmarkStart w:id="843" w:name="Tc_8PEKwNr3zEezV460gWolEA_4_0"/>
      <w:bookmarkStart w:id="844" w:name="Tc_Wv5VORhREEanlci64yChNw_3_0"/>
      <w:bookmarkStart w:id="845" w:name="Tc_Pov9cHZo3E6v4cqK5BUUPw_2_5"/>
      <w:bookmarkStart w:id="846" w:name="Tc_KSr0nCs8fU6pFOt9XwVvAg_2_2"/>
      <w:bookmarkStart w:id="847" w:name="Tc_QC6ZAEpI2Ei9BUq50PdHzA_1_2"/>
      <w:bookmarkStart w:id="848" w:name="_7f41ac23_6593_453f_a1a1_a34a37aedebd"/>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tbl>
      <w:tblPr>
        <w:tblW w:w="10205" w:type="dxa"/>
        <w:jc w:val="left"/>
        <w:tblInd w:w="0" w:type="dxa"/>
        <w:tblLayout w:type="fixed"/>
        <w:tblCellMar>
          <w:top w:w="0" w:type="dxa"/>
          <w:left w:w="0" w:type="dxa"/>
          <w:bottom w:w="0" w:type="dxa"/>
          <w:right w:w="0" w:type="dxa"/>
        </w:tblCellMar>
      </w:tblPr>
      <w:tblGrid>
        <w:gridCol w:w="6793"/>
        <w:gridCol w:w="326"/>
        <w:gridCol w:w="250"/>
        <w:gridCol w:w="1070"/>
        <w:gridCol w:w="388"/>
        <w:gridCol w:w="250"/>
        <w:gridCol w:w="1128"/>
      </w:tblGrid>
      <w:tr>
        <w:trPr/>
        <w:tc>
          <w:tcPr>
            <w:tcW w:w="6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13555" cy="175260"/>
                      <wp:effectExtent l="0" t="0" r="0" b="0"/>
                      <wp:wrapNone/>
                      <wp:docPr id="71" name="Frame71"/>
                      <a:graphic xmlns:a="http://schemas.openxmlformats.org/drawingml/2006/main">
                        <a:graphicData uri="http://schemas.microsoft.com/office/word/2010/wordprocessingShape">
                          <wps:wsp>
                            <wps:cNvSpPr txBox="1"/>
                            <wps:spPr>
                              <a:xfrm>
                                <a:off x="0" y="0"/>
                                <a:ext cx="431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8750" cy="175260"/>
                      <wp:effectExtent l="0" t="0" r="0" b="0"/>
                      <wp:wrapNone/>
                      <wp:docPr id="73" name="Frame7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79450" cy="175260"/>
                      <wp:effectExtent l="0" t="0" r="0" b="0"/>
                      <wp:wrapNone/>
                      <wp:docPr id="74" name="Frame74"/>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46380" cy="175260"/>
                      <wp:effectExtent l="0" t="0" r="0" b="0"/>
                      <wp:wrapNone/>
                      <wp:docPr id="75" name="Frame7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58750" cy="175260"/>
                      <wp:effectExtent l="0" t="0" r="0" b="0"/>
                      <wp:wrapNone/>
                      <wp:docPr id="76" name="Frame7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16280" cy="175260"/>
                      <wp:effectExtent l="0" t="0" r="0" b="0"/>
                      <wp:wrapNone/>
                      <wp:docPr id="77" name="Frame77"/>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9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086"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Nine Months Ended September 30, </w:t>
            </w:r>
          </w:p>
        </w:tc>
      </w:tr>
      <w:tr>
        <w:trPr/>
        <w:tc>
          <w:tcPr>
            <w:tcW w:w="6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2023</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3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2022</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26" w:type="dxa"/>
            <w:tcBorders/>
            <w:shd w:fill="CCEEFF" w:val="clear"/>
            <w:vAlign w:val="center"/>
          </w:tcPr>
          <w:p>
            <w:pPr>
              <w:pStyle w:val="TableContents"/>
              <w:bidi w:val="0"/>
              <w:spacing w:before="0" w:after="1"/>
              <w:ind w:left="0" w:right="0" w:hanging="0"/>
              <w:jc w:val="center"/>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center"/>
              <w:rPr/>
            </w:pPr>
            <w:r>
              <w:rPr/>
              <w:t>​</w:t>
            </w:r>
          </w:p>
        </w:tc>
        <w:tc>
          <w:tcPr>
            <w:tcW w:w="388" w:type="dxa"/>
            <w:tcBorders/>
            <w:shd w:fill="CCEEFF" w:val="clear"/>
            <w:vAlign w:val="center"/>
          </w:tcPr>
          <w:p>
            <w:pPr>
              <w:pStyle w:val="TableContents"/>
              <w:bidi w:val="0"/>
              <w:spacing w:before="0" w:after="1"/>
              <w:ind w:left="0" w:right="0" w:hanging="0"/>
              <w:jc w:val="center"/>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center"/>
              <w:rPr/>
            </w:pPr>
            <w:r>
              <w:rPr/>
              <w:t>​</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(69,883)</w:t>
            </w:r>
          </w:p>
        </w:tc>
        <w:tc>
          <w:tcPr>
            <w:tcW w:w="388"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(78,608)</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 expense</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289</w:t>
            </w:r>
          </w:p>
        </w:tc>
        <w:tc>
          <w:tcPr>
            <w:tcW w:w="388"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260</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Loss on sale of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w:t>
            </w:r>
          </w:p>
        </w:tc>
        <w:tc>
          <w:tcPr>
            <w:tcW w:w="38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lease expense</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973</w:t>
            </w:r>
          </w:p>
        </w:tc>
        <w:tc>
          <w:tcPr>
            <w:tcW w:w="388"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975</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interest income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(3,253)</w:t>
            </w:r>
          </w:p>
        </w:tc>
        <w:tc>
          <w:tcPr>
            <w:tcW w:w="38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(216)</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Stock-based compensation expense, including employee stock purchase plan expense</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12,905</w:t>
            </w:r>
          </w:p>
        </w:tc>
        <w:tc>
          <w:tcPr>
            <w:tcW w:w="388"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13,968</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293</w:t>
            </w:r>
          </w:p>
        </w:tc>
        <w:tc>
          <w:tcPr>
            <w:tcW w:w="388"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assets and long-term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(5,328)</w:t>
            </w:r>
          </w:p>
        </w:tc>
        <w:tc>
          <w:tcPr>
            <w:tcW w:w="38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(1,114)</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1,833</w:t>
            </w:r>
          </w:p>
        </w:tc>
        <w:tc>
          <w:tcPr>
            <w:tcW w:w="38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(2,223)</w:t>
            </w:r>
          </w:p>
        </w:tc>
        <w:tc>
          <w:tcPr>
            <w:tcW w:w="38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3,281</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26" w:type="dxa"/>
            <w:tcBorders/>
            <w:vAlign w:val="center"/>
          </w:tcPr>
          <w:p>
            <w:pPr>
              <w:pStyle w:val="TableContents"/>
              <w:bidi w:val="0"/>
              <w:spacing w:before="0" w:after="1"/>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(968)</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(952)</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(65,251)</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(62,354)</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pPr>
            <w:r>
              <w:rPr/>
              <w:t>​</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 of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(190)</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Maturities of marketable securities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196,760</w:t>
            </w:r>
          </w:p>
        </w:tc>
        <w:tc>
          <w:tcPr>
            <w:tcW w:w="38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244,500</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(170,710)</w:t>
            </w:r>
          </w:p>
        </w:tc>
        <w:tc>
          <w:tcPr>
            <w:tcW w:w="38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(169,167)</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Disposal of fixed assets</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26,064</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75,143</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pPr>
            <w:r>
              <w:rPr/>
              <w:t>​</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2,421</w:t>
            </w:r>
          </w:p>
        </w:tc>
        <w:tc>
          <w:tcPr>
            <w:tcW w:w="38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common stock under employee stock purchase plan</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711</w:t>
            </w:r>
          </w:p>
        </w:tc>
        <w:tc>
          <w:tcPr>
            <w:tcW w:w="38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112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equity private placement, net of issuance costs of $240</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129,760</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financing activities</w:t>
            </w:r>
          </w:p>
        </w:tc>
        <w:tc>
          <w:tcPr>
            <w:tcW w:w="326" w:type="dxa"/>
            <w:tcBorders/>
            <w:vAlign w:val="center"/>
          </w:tcPr>
          <w:p>
            <w:pPr>
              <w:pStyle w:val="TableContents"/>
              <w:bidi w:val="0"/>
              <w:spacing w:before="0" w:after="1"/>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132,892</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Net increase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93,705</w:t>
            </w:r>
          </w:p>
        </w:tc>
        <w:tc>
          <w:tcPr>
            <w:tcW w:w="388"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right"/>
              <w:rPr/>
            </w:pPr>
            <w:r>
              <w:rPr/>
              <w:t>​</w:t>
            </w:r>
          </w:p>
        </w:tc>
        <w:tc>
          <w:tcPr>
            <w:tcW w:w="112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12,992</w:t>
            </w:r>
          </w:p>
        </w:tc>
      </w:tr>
      <w:tr>
        <w:trPr/>
        <w:tc>
          <w:tcPr>
            <w:tcW w:w="67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at beginning of period</w:t>
            </w:r>
          </w:p>
        </w:tc>
        <w:tc>
          <w:tcPr>
            <w:tcW w:w="326" w:type="dxa"/>
            <w:tcBorders/>
            <w:vAlign w:val="center"/>
          </w:tcPr>
          <w:p>
            <w:pPr>
              <w:pStyle w:val="TableContents"/>
              <w:bidi w:val="0"/>
              <w:spacing w:before="0" w:after="1"/>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23,702</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13,812</w:t>
            </w:r>
          </w:p>
        </w:tc>
      </w:tr>
      <w:tr>
        <w:trPr/>
        <w:tc>
          <w:tcPr>
            <w:tcW w:w="67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at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117,407</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c>
          <w:tcPr>
            <w:tcW w:w="11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26,804</w:t>
            </w:r>
          </w:p>
        </w:tc>
      </w:tr>
      <w:tr>
        <w:trPr/>
        <w:tc>
          <w:tcPr>
            <w:tcW w:w="6793"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8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12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849" w:name="_812dee74_2d58_4203_ab6a_bd20d90d180f"/>
      <w:bookmarkEnd w:id="849"/>
      <w:r>
        <w:rPr>
          <w:rFonts w:ascii="Arial;Helvetica;sans-serif" w:hAnsi="Arial;Helvetica;sans-serif"/>
          <w:b/>
          <w:sz w:val="20"/>
        </w:rPr>
        <w:t>Olema Pharmaceuticals, Inc.</w:t>
      </w:r>
    </w:p>
    <w:p>
      <w:pPr>
        <w:pStyle w:val="TextBody"/>
        <w:bidi w:val="0"/>
        <w:spacing w:before="0" w:after="240"/>
        <w:ind w:left="0" w:right="0" w:hanging="0"/>
        <w:jc w:val="center"/>
        <w:rPr>
          <w:rFonts w:ascii="Arial;Helvetica;sans-serif" w:hAnsi="Arial;Helvetica;sans-serif"/>
          <w:b/>
          <w:sz w:val="20"/>
        </w:rPr>
      </w:pPr>
      <w:bookmarkStart w:id="850" w:name="Notestocondensedconsolidatedfinancialsta"/>
      <w:bookmarkEnd w:id="850"/>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tbl>
      <w:tblPr>
        <w:tblW w:w="4742" w:type="dxa"/>
        <w:jc w:val="left"/>
        <w:tblInd w:w="0" w:type="dxa"/>
        <w:tblLayout w:type="fixed"/>
        <w:tblCellMar>
          <w:top w:w="0" w:type="dxa"/>
          <w:left w:w="0" w:type="dxa"/>
          <w:bottom w:w="0" w:type="dxa"/>
          <w:right w:w="0" w:type="dxa"/>
        </w:tblCellMar>
      </w:tblPr>
      <w:tblGrid>
        <w:gridCol w:w="286"/>
        <w:gridCol w:w="4456"/>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1.</w:t>
            </w:r>
          </w:p>
        </w:tc>
        <w:tc>
          <w:tcPr>
            <w:tcW w:w="445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Nature of the Business and Basis of Presentation</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wholly-owned, lead product candidate, palazestrant (OP-1250), is a novel oral therapy with combined activity as both a complete estrogen receptor (“ER”) antagonist (“CERAN”) and a selective ER degrader (“SERD”). We expect to enroll the first patient in our proposed Phase 3 monotherapy clinical trial for the treatment of advanced or metastatic breast cancer (OPERA-01) in the fourth quarter of 2023. Palazestrant is also currently being evaluated in Phase 1b/2 clinical studies in combination with palbociclib, ribociclib, and alpelisib, in patients with recurrent, locally advanced or metastatic estrogen receptor-positive (“ER+”), human epidermal growth factor receptor 2 negative (“HER2-”) breast cancer. Furthermore, we announced new preclinical data regarding the discovery of novel compounds targeting KAT6, an epigenetic target that is dysregulated in breast and other cancers.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Private Placement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September 5, 2023, the Company entered into a securities purchase agreement with institutional and accredited investors for the private placement of 13,211,381 shares of the Company’s common stock (the “Private Placement”) at a price of $9.84 per share, resulting in gross proceeds of approximately $130.0 million. After deducting offering expenses related to the Private Placement of approximately $0.2 million, the net proceeds to the Company from the Private Placement were approximately $129.8 million. The Private Placement closed on September 12, 2023</w:t>
      </w:r>
      <w:r>
        <w:rPr>
          <w:rFonts w:ascii="Arial;Helvetica;sans-serif" w:hAnsi="Arial;Helvetica;sans-serif"/>
          <w:sz w:val="20"/>
          <w:shd w:fill="FFFFFF" w:val="clea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Liquidity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Company had $276.9 million of cash, cash equivalents and marketable securities at September 30, 2023, in addition to an available balance of $25.0 million under the Loan and Security Agreement (the “Loan Agreement”), by and between the Company, as borrower, and Silicon Valley Bank, a division of First-Citizens Bank &amp; Trust Company (the “Bank”). Management believes that the Company’s cash, cash equivalents,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marketable securities, and the amounts available under the Loan Agreement will be sufficient to fund the Company’s current operating plan into 2027.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Impact of Geopolitical and Macroeconomic Events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risk of a U.S. government shutdown, recession risks, as well as potential disruptions from the Russia-Ukraine conflict and armed conflict between Israel and groups based in surrounding regions, all of which have resulted in volatility in the U.S. and global financial markets and which have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tbl>
      <w:tblPr>
        <w:tblW w:w="4262" w:type="dxa"/>
        <w:jc w:val="left"/>
        <w:tblInd w:w="0" w:type="dxa"/>
        <w:tblLayout w:type="fixed"/>
        <w:tblCellMar>
          <w:top w:w="0" w:type="dxa"/>
          <w:left w:w="0" w:type="dxa"/>
          <w:bottom w:w="0" w:type="dxa"/>
          <w:right w:w="0" w:type="dxa"/>
        </w:tblCellMar>
      </w:tblPr>
      <w:tblGrid>
        <w:gridCol w:w="286"/>
        <w:gridCol w:w="3976"/>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2.</w:t>
            </w:r>
          </w:p>
        </w:tc>
        <w:tc>
          <w:tcPr>
            <w:tcW w:w="397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Summary of Significant Accounting Policies</w:t>
            </w:r>
          </w:p>
        </w:tc>
      </w:tr>
    </w:tbl>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Basis of Presentation and Consolidation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Unaudited Interim Financial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interim condensed consolidated balance sheet as of September 30, 2023, and the statements of operations and comprehensive loss, and stockholders’ equity for the three and nine months ended September 30, 2023 and 2022, and the statements of cash flows for the nine months ended September 30, 2023 and 2022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nine-month periods are also unaudited. The results of operations presented in these unaudited condensed consolidated financial statements are not necessarily indicative of the results to be expected for the year ending December 31, 2023, or for any other future annual or interim period. The condensed consolidated balance sheet as of December 31, 2022 included herein was derived from the audited financial statements as of that date. These interim condensed consolidated financial statements should be read in conjunction with the Company’s audited consolidated financial statements included in the Company’s Form 10-K as filed with the SEC on March 9, 2023 (the “Annual Report”).</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Use of Estimates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accompanying condensed consolidated financial statements are prepared in accordance with GAAP. The preparation of the condensed consolidated financial statements in conformity with GAAP requires management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and Cash Equivalents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Cash and cash equivalents are defined as short-term, highly liquid investments with original maturities of 90 days or fewer at the date of purchase. Cash deposits are all in reputable financial institutions in the United States as of September 30, 2023, and December 31, 2022. Cash and cash equivalents consisted of cash on deposit with U.S. banks, including the Company’s bank account for its Australia subsidiary, denominated in U.S. dollars and Australian dollars and investments in interest bearing money market funds.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Marketable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Concentration of Credit Risk and Other Risks and Uncertainties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institutions may at times exceed the limits insured by the Federal Deposit Insurance Corporation (“FDIC”); however, the Company has not experienced any losses on such deposits.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TextBody"/>
        <w:bidi w:val="0"/>
        <w:spacing w:before="0" w:after="240"/>
        <w:ind w:left="0" w:right="0" w:hanging="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TextBody"/>
        <w:pBdr/>
        <w:bidi w:val="0"/>
        <w:spacing w:before="0" w:after="0"/>
        <w:ind w:left="0" w:right="0" w:hanging="0"/>
        <w:jc w:val="left"/>
        <w:rPr>
          <w:rFonts w:ascii="Arial;Helvetica;sans-serif" w:hAnsi="Arial;Helvetica;sans-serif"/>
          <w:i/>
          <w:sz w:val="20"/>
        </w:rPr>
      </w:pPr>
      <w:r>
        <w:rPr>
          <w:rFonts w:ascii="Arial;Helvetica;sans-serif" w:hAnsi="Arial;Helvetica;sans-serif"/>
          <w:i/>
          <w:sz w:val="20"/>
        </w:rPr>
        <w:t>Leases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Company adopted Accounting Standard Update (“ASU”) 2016-12, </w:t>
      </w:r>
      <w:r>
        <w:rPr>
          <w:rFonts w:ascii="Arial;Helvetica;sans-serif" w:hAnsi="Arial;Helvetica;sans-serif"/>
          <w:i/>
          <w:sz w:val="20"/>
        </w:rPr>
        <w:t>Leases</w:t>
      </w:r>
      <w:r>
        <w:rPr>
          <w:rFonts w:ascii="Arial;Helvetica;sans-serif" w:hAnsi="Arial;Helvetica;sans-serif"/>
          <w:sz w:val="20"/>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elected to not apply the recognition requirements of Topic 842 to short-term leases with terms of 12 months or less. Additional information and disclosures required by Topic 842 are contained in Note 11 “Lease” in the Annual Report.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Costs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pStyle w:val="TextBody"/>
        <w:bidi w:val="0"/>
        <w:spacing w:before="0" w:after="240"/>
        <w:ind w:left="0" w:right="0" w:hanging="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Reimbursements of certain costs associated with research activities performed under the agreement with Novartis Institutes for BioMedical Research, Inc. (“Novartis”) are recorded as a reduction of research and development expenses</w:t>
      </w:r>
      <w:r>
        <w:rPr>
          <w:rFonts w:ascii="Arial;Helvetica;sans-serif" w:hAnsi="Arial;Helvetica;sans-serif"/>
          <w:i/>
          <w:sz w:val="20"/>
        </w:rPr>
        <w:t xml:space="preserve"> </w:t>
      </w:r>
      <w:r>
        <w:rPr>
          <w:rFonts w:ascii="Arial;Helvetica;sans-serif" w:hAnsi="Arial;Helvetica;sans-serif"/>
          <w:i w:val="false"/>
          <w:caps w:val="false"/>
          <w:smallCaps w:val="false"/>
          <w:sz w:val="20"/>
        </w:rPr>
        <w:t>and as a receivable due from Novartis, which is recorded under prepaid expenses and other current assets in the accompanying condensed consolidated financial statements, as described in Note 10, Commitments and Contingencies – Clinical Collaboration and Supply Agreement.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Contract Costs and Accruals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Net Loss Per Common Share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and contingently issuable common stock related to the 2020 Employee Stock Purchase Plan (the “ESPP”) are considered potential dilutive common shares. Since the Company was in a loss position for all periods presented, basic net loss per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share is the same as diluted net loss per share for all periods as the inclusion of all potential common shares outstanding would have been anti-dilutive.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Recent Accounting Pronouncements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were no new accounting pronouncements that were relevant to the Company as of and for the nine months ended September 30, 2023.</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51" w:name="Tc_jyDmMNS5R0G5vT42HsALjw_9_11"/>
      <w:bookmarkStart w:id="852" w:name="Tc_gA9WFLLONEC-Y6xPPLzqFw_9_8"/>
      <w:bookmarkStart w:id="853" w:name="Tc_LDuuoPUrdEmjtRKfl2m-Zw_9_5"/>
      <w:bookmarkStart w:id="854" w:name="Tc_ZCAtPQIn6UCqlYW3co6mcQ_9_2"/>
      <w:bookmarkStart w:id="855" w:name="Tc_Y9V3g1Y1LUSy0jbIHwFNkw_9_0"/>
      <w:bookmarkStart w:id="856" w:name="Tc_lEWc5qctXUeJV7h1WQa6RA_8_6"/>
      <w:bookmarkStart w:id="857" w:name="Tc_pJWI-FC3sU-xJ_1aBOURqA_8_0"/>
      <w:bookmarkStart w:id="858" w:name="Tc_u0AX9389DEGdKogi8WimzQ_7_0"/>
      <w:bookmarkStart w:id="859" w:name="Tc_7_qrskn7Z02lQSZOY7cOsQ_6_11"/>
      <w:bookmarkStart w:id="860" w:name="Tc_lrj-DFSflEKF1wvv9PzO1A_6_9"/>
      <w:bookmarkStart w:id="861" w:name="Tc_hM25-O3bxUmImhm2Sc0K9A_6_8"/>
      <w:bookmarkStart w:id="862" w:name="Tc_lRZGx5wySka2nc3ET5KIsA_6_6"/>
      <w:bookmarkStart w:id="863" w:name="Tc_6J3fpqCXo0S7APDdaRAwvA_6_5"/>
      <w:bookmarkStart w:id="864" w:name="Tc_X67VIzDqBkWb_oY_RDFxYw_6_2"/>
      <w:bookmarkStart w:id="865" w:name="Tc_BuyADNof-EiMNYuGAnHZnQ_6_0"/>
      <w:bookmarkStart w:id="866" w:name="Tc_5yWaQZe0QUyj74CwNZyh4w_5_0"/>
      <w:bookmarkStart w:id="867" w:name="Tc_vF_q7MPOjEO2qFBUNogvcA_4_11"/>
      <w:bookmarkStart w:id="868" w:name="Tc_9g_MxgZwuE-ovZ3ls27Wiw_4_8"/>
      <w:bookmarkStart w:id="869" w:name="Tc_p8XLZnqE_0myLskT0U0Tmg_4_5"/>
      <w:bookmarkStart w:id="870" w:name="Tc_HnMCa9eL3UmY0g6WxpZTxg_4_2"/>
      <w:bookmarkStart w:id="871" w:name="Tc_ldCX-u7T3U6Y0sEtde4UtQ_4_0"/>
      <w:bookmarkStart w:id="872" w:name="Tc_2NGmMRl2IE2QRpMaBJTjCw_3_11"/>
      <w:bookmarkStart w:id="873" w:name="Tc_gFD6B7EfCkadAhgE_Obskg_3_8"/>
      <w:bookmarkStart w:id="874" w:name="Tc_aH361HsWJ0SAZAOI5pt19Q_3_5"/>
      <w:bookmarkStart w:id="875" w:name="Tc_aZF4qCuSRk-BSmurq1WfxQ_3_2"/>
      <w:bookmarkStart w:id="876" w:name="Tc_4bVUtzrmiU2xQE7XwPzfTw_2_8"/>
      <w:bookmarkStart w:id="877" w:name="Tc_nvfUFmcqD0eyDblG3fCuhg_2_5"/>
      <w:bookmarkStart w:id="878" w:name="Tc_dOod7A2UMkWp4DEiLh38Ig_1_2"/>
      <w:bookmarkStart w:id="879" w:name="Tc_0zS8znkHiESeosoxpTpByw_10_11"/>
      <w:bookmarkStart w:id="880" w:name="Tc_7AqsqQ2VW02MGC9rBIquAw_10_9"/>
      <w:bookmarkStart w:id="881" w:name="Tc_r6KO7vK1U0ONuh6_Sm-0Kw_10_8"/>
      <w:bookmarkStart w:id="882" w:name="Tc_IVtPoY88HU65F4M8Gf9VGw_10_5"/>
      <w:bookmarkStart w:id="883" w:name="Tc_B28gbOZrVU2PKc1EDR1rUQ_10_2"/>
      <w:bookmarkStart w:id="884" w:name="Tc_tkuLP9ccvkiOysAQDrXA4w_10_0"/>
      <w:bookmarkStart w:id="885" w:name="Tc_4pmQ3QTNCkmS4HWnE8Ct0A_9_9"/>
      <w:bookmarkStart w:id="886" w:name="Tc_Y8NhkgAN1USKDt-YrfFylw_9_3"/>
      <w:bookmarkStart w:id="887" w:name="Tc_z-pVKqEeAE2mUdCodzDrWA_9_0"/>
      <w:bookmarkStart w:id="888" w:name="Tc_i-aaEeCa_kS6KJntxd1c1w_8_9"/>
      <w:bookmarkStart w:id="889" w:name="Tc_zC06SXkeCkqL-SS6RHdR0g_8_6"/>
      <w:bookmarkStart w:id="890" w:name="Tc_BLF0WcUuiUCTbILaVHcWlg_8_0"/>
      <w:bookmarkStart w:id="891" w:name="Tc_hWGW43VT9EGc7dU9DVj2qw_7_9"/>
      <w:bookmarkStart w:id="892" w:name="Tc_CX-uQwLMkEyF6BSrjyVdtw_7_3"/>
      <w:bookmarkStart w:id="893" w:name="Tc__v39hFPrtEeOIH_7SYojRw_7_0"/>
      <w:bookmarkStart w:id="894" w:name="Tc_3h4UQTakqEGHAieEwM6w6g_6_9"/>
      <w:bookmarkStart w:id="895" w:name="Tc_ThvMOrNFPUyGnZXhrKtgUA_6_3"/>
      <w:bookmarkStart w:id="896" w:name="Tc_8HkCImeaEEuStWMdC1F2jw_6_0"/>
      <w:bookmarkStart w:id="897" w:name="Tc_qFEyoQuYnUiYcJsD49n4Nw_5_9"/>
      <w:bookmarkStart w:id="898" w:name="Tc__VNe_1TTG0SiyTKDx2ruOA_5_6"/>
      <w:bookmarkStart w:id="899" w:name="Tc_dLRSpNGlrUuEDx67_2ba_w_5_0"/>
      <w:bookmarkStart w:id="900" w:name="Tc_t4lkXBaWWUGPzNFt13r70g_4_11"/>
      <w:bookmarkStart w:id="901" w:name="Tc_b1mEeXt6_USK2sZzJoLs9w_4_9"/>
      <w:bookmarkStart w:id="902" w:name="Tc_SrFix5b1HUK0qsyWeGXE9A_4_8"/>
      <w:bookmarkStart w:id="903" w:name="Tc_YlxvX71uSkO0EPZubk73pw_4_6"/>
      <w:bookmarkStart w:id="904" w:name="Tc_TA8q1Plpt0qmWRD-OjKQ1g_4_5"/>
      <w:bookmarkStart w:id="905" w:name="Tc_G5Vl7ugIZkeACkswQAwWPg_4_2"/>
      <w:bookmarkStart w:id="906" w:name="Tc_9miyF2JdR02VOOGt7jubgw_4_0"/>
      <w:bookmarkStart w:id="907" w:name="Tc_5QMvLHF4XkqkMaXXNlsvYQ_3_0"/>
      <w:bookmarkStart w:id="908" w:name="Tc_bxo7Z4zA6kic52srkUQPhQ_2_11"/>
      <w:bookmarkStart w:id="909" w:name="Tc_6f5Md5H-BEaJqy7_nYVJnA_2_8"/>
      <w:bookmarkStart w:id="910" w:name="Tc_XpgEYZ37iUmyLFPURjquGA_2_5"/>
      <w:bookmarkStart w:id="911" w:name="Tc_OjQi7zyBxEemwTqA1WG-3A_2_2"/>
      <w:bookmarkStart w:id="912" w:name="Tc_Hnv8DD8vK0KLUaknYlBGeQ_2_0"/>
      <w:bookmarkStart w:id="913" w:name="Tc_7u1cj1glTUaO4QZsbxF16Q_1_3"/>
      <w:bookmarkStart w:id="914" w:name="Tc_jyDmMNS5R0G5vT42HsALjw_9_11"/>
      <w:bookmarkStart w:id="915" w:name="Tc_gA9WFLLONEC-Y6xPPLzqFw_9_8"/>
      <w:bookmarkStart w:id="916" w:name="Tc_LDuuoPUrdEmjtRKfl2m-Zw_9_5"/>
      <w:bookmarkStart w:id="917" w:name="Tc_ZCAtPQIn6UCqlYW3co6mcQ_9_2"/>
      <w:bookmarkStart w:id="918" w:name="Tc_Y9V3g1Y1LUSy0jbIHwFNkw_9_0"/>
      <w:bookmarkStart w:id="919" w:name="Tc_lEWc5qctXUeJV7h1WQa6RA_8_6"/>
      <w:bookmarkStart w:id="920" w:name="Tc_pJWI-FC3sU-xJ_1aBOURqA_8_0"/>
      <w:bookmarkStart w:id="921" w:name="Tc_u0AX9389DEGdKogi8WimzQ_7_0"/>
      <w:bookmarkStart w:id="922" w:name="Tc_7_qrskn7Z02lQSZOY7cOsQ_6_11"/>
      <w:bookmarkStart w:id="923" w:name="Tc_lrj-DFSflEKF1wvv9PzO1A_6_9"/>
      <w:bookmarkStart w:id="924" w:name="Tc_hM25-O3bxUmImhm2Sc0K9A_6_8"/>
      <w:bookmarkStart w:id="925" w:name="Tc_lRZGx5wySka2nc3ET5KIsA_6_6"/>
      <w:bookmarkStart w:id="926" w:name="Tc_6J3fpqCXo0S7APDdaRAwvA_6_5"/>
      <w:bookmarkStart w:id="927" w:name="Tc_X67VIzDqBkWb_oY_RDFxYw_6_2"/>
      <w:bookmarkStart w:id="928" w:name="Tc_BuyADNof-EiMNYuGAnHZnQ_6_0"/>
      <w:bookmarkStart w:id="929" w:name="Tc_5yWaQZe0QUyj74CwNZyh4w_5_0"/>
      <w:bookmarkStart w:id="930" w:name="Tc_vF_q7MPOjEO2qFBUNogvcA_4_11"/>
      <w:bookmarkStart w:id="931" w:name="Tc_9g_MxgZwuE-ovZ3ls27Wiw_4_8"/>
      <w:bookmarkStart w:id="932" w:name="Tc_p8XLZnqE_0myLskT0U0Tmg_4_5"/>
      <w:bookmarkStart w:id="933" w:name="Tc_HnMCa9eL3UmY0g6WxpZTxg_4_2"/>
      <w:bookmarkStart w:id="934" w:name="Tc_ldCX-u7T3U6Y0sEtde4UtQ_4_0"/>
      <w:bookmarkStart w:id="935" w:name="Tc_2NGmMRl2IE2QRpMaBJTjCw_3_11"/>
      <w:bookmarkStart w:id="936" w:name="Tc_gFD6B7EfCkadAhgE_Obskg_3_8"/>
      <w:bookmarkStart w:id="937" w:name="Tc_aH361HsWJ0SAZAOI5pt19Q_3_5"/>
      <w:bookmarkStart w:id="938" w:name="Tc_aZF4qCuSRk-BSmurq1WfxQ_3_2"/>
      <w:bookmarkStart w:id="939" w:name="Tc_4bVUtzrmiU2xQE7XwPzfTw_2_8"/>
      <w:bookmarkStart w:id="940" w:name="Tc_nvfUFmcqD0eyDblG3fCuhg_2_5"/>
      <w:bookmarkStart w:id="941" w:name="Tc_dOod7A2UMkWp4DEiLh38Ig_1_2"/>
      <w:bookmarkStart w:id="942" w:name="Tc_0zS8znkHiESeosoxpTpByw_10_11"/>
      <w:bookmarkStart w:id="943" w:name="Tc_7AqsqQ2VW02MGC9rBIquAw_10_9"/>
      <w:bookmarkStart w:id="944" w:name="Tc_r6KO7vK1U0ONuh6_Sm-0Kw_10_8"/>
      <w:bookmarkStart w:id="945" w:name="Tc_IVtPoY88HU65F4M8Gf9VGw_10_5"/>
      <w:bookmarkStart w:id="946" w:name="Tc_B28gbOZrVU2PKc1EDR1rUQ_10_2"/>
      <w:bookmarkStart w:id="947" w:name="Tc_tkuLP9ccvkiOysAQDrXA4w_10_0"/>
      <w:bookmarkStart w:id="948" w:name="Tc_4pmQ3QTNCkmS4HWnE8Ct0A_9_9"/>
      <w:bookmarkStart w:id="949" w:name="Tc_Y8NhkgAN1USKDt-YrfFylw_9_3"/>
      <w:bookmarkStart w:id="950" w:name="Tc_z-pVKqEeAE2mUdCodzDrWA_9_0"/>
      <w:bookmarkStart w:id="951" w:name="Tc_i-aaEeCa_kS6KJntxd1c1w_8_9"/>
      <w:bookmarkStart w:id="952" w:name="Tc_zC06SXkeCkqL-SS6RHdR0g_8_6"/>
      <w:bookmarkStart w:id="953" w:name="Tc_BLF0WcUuiUCTbILaVHcWlg_8_0"/>
      <w:bookmarkStart w:id="954" w:name="Tc_hWGW43VT9EGc7dU9DVj2qw_7_9"/>
      <w:bookmarkStart w:id="955" w:name="Tc_CX-uQwLMkEyF6BSrjyVdtw_7_3"/>
      <w:bookmarkStart w:id="956" w:name="Tc__v39hFPrtEeOIH_7SYojRw_7_0"/>
      <w:bookmarkStart w:id="957" w:name="Tc_3h4UQTakqEGHAieEwM6w6g_6_9"/>
      <w:bookmarkStart w:id="958" w:name="Tc_ThvMOrNFPUyGnZXhrKtgUA_6_3"/>
      <w:bookmarkStart w:id="959" w:name="Tc_8HkCImeaEEuStWMdC1F2jw_6_0"/>
      <w:bookmarkStart w:id="960" w:name="Tc_qFEyoQuYnUiYcJsD49n4Nw_5_9"/>
      <w:bookmarkStart w:id="961" w:name="Tc__VNe_1TTG0SiyTKDx2ruOA_5_6"/>
      <w:bookmarkStart w:id="962" w:name="Tc_dLRSpNGlrUuEDx67_2ba_w_5_0"/>
      <w:bookmarkStart w:id="963" w:name="Tc_t4lkXBaWWUGPzNFt13r70g_4_11"/>
      <w:bookmarkStart w:id="964" w:name="Tc_b1mEeXt6_USK2sZzJoLs9w_4_9"/>
      <w:bookmarkStart w:id="965" w:name="Tc_SrFix5b1HUK0qsyWeGXE9A_4_8"/>
      <w:bookmarkStart w:id="966" w:name="Tc_YlxvX71uSkO0EPZubk73pw_4_6"/>
      <w:bookmarkStart w:id="967" w:name="Tc_TA8q1Plpt0qmWRD-OjKQ1g_4_5"/>
      <w:bookmarkStart w:id="968" w:name="Tc_G5Vl7ugIZkeACkswQAwWPg_4_2"/>
      <w:bookmarkStart w:id="969" w:name="Tc_9miyF2JdR02VOOGt7jubgw_4_0"/>
      <w:bookmarkStart w:id="970" w:name="Tc_5QMvLHF4XkqkMaXXNlsvYQ_3_0"/>
      <w:bookmarkStart w:id="971" w:name="Tc_bxo7Z4zA6kic52srkUQPhQ_2_11"/>
      <w:bookmarkStart w:id="972" w:name="Tc_6f5Md5H-BEaJqy7_nYVJnA_2_8"/>
      <w:bookmarkStart w:id="973" w:name="Tc_XpgEYZ37iUmyLFPURjquGA_2_5"/>
      <w:bookmarkStart w:id="974" w:name="Tc_OjQi7zyBxEemwTqA1WG-3A_2_2"/>
      <w:bookmarkStart w:id="975" w:name="Tc_Hnv8DD8vK0KLUaknYlBGeQ_2_0"/>
      <w:bookmarkStart w:id="976" w:name="Tc_7u1cj1glTUaO4QZsbxF16Q_1_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p>
    <w:tbl>
      <w:tblPr>
        <w:tblW w:w="2567" w:type="dxa"/>
        <w:jc w:val="left"/>
        <w:tblInd w:w="0" w:type="dxa"/>
        <w:tblLayout w:type="fixed"/>
        <w:tblCellMar>
          <w:top w:w="0" w:type="dxa"/>
          <w:left w:w="0" w:type="dxa"/>
          <w:bottom w:w="0" w:type="dxa"/>
          <w:right w:w="0" w:type="dxa"/>
        </w:tblCellMar>
      </w:tblPr>
      <w:tblGrid>
        <w:gridCol w:w="286"/>
        <w:gridCol w:w="2281"/>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3.</w:t>
            </w:r>
          </w:p>
        </w:tc>
        <w:tc>
          <w:tcPr>
            <w:tcW w:w="228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Fair Value Measurement</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assesses the fair value of financial instruments based on the provisions of ASC 820, </w:t>
      </w:r>
      <w:r>
        <w:rPr>
          <w:rFonts w:ascii="Arial;Helvetica;sans-serif" w:hAnsi="Arial;Helvetica;sans-serif"/>
          <w:i/>
          <w:sz w:val="20"/>
        </w:rPr>
        <w:t>Fair Value Measurements</w:t>
      </w:r>
      <w:r>
        <w:rPr>
          <w:rFonts w:ascii="Arial;Helvetica;sans-serif" w:hAnsi="Arial;Helvetica;sans-serif"/>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Level 1</w:t>
            </w:r>
            <w:r>
              <w:rPr>
                <w:caps w:val="false"/>
                <w:smallCaps w:val="false"/>
                <w:color w:val="231F20"/>
              </w:rPr>
              <w:t xml:space="preserve"> — </w:t>
            </w:r>
            <w:r>
              <w:rPr>
                <w:rFonts w:ascii="Arial;Helvetica;sans-serif" w:hAnsi="Arial;Helvetica;sans-serif"/>
                <w:b w:val="false"/>
                <w:i w:val="false"/>
                <w:caps w:val="false"/>
                <w:smallCaps w:val="false"/>
                <w:color w:val="231F20"/>
                <w:sz w:val="20"/>
              </w:rPr>
              <w:t>Inputs are unadjusted quoted prices in active markets for identical assets or liabilities accessible to the reporting entity at the measurement date.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Level 2</w:t>
            </w:r>
            <w:r>
              <w:rPr>
                <w:caps w:val="false"/>
                <w:smallCaps w:val="false"/>
                <w:color w:val="231F20"/>
              </w:rPr>
              <w:t xml:space="preserve"> — </w:t>
            </w:r>
            <w:r>
              <w:rPr>
                <w:rFonts w:ascii="Arial;Helvetica;sans-serif" w:hAnsi="Arial;Helvetica;sans-serif"/>
                <w:b w:val="false"/>
                <w:i w:val="false"/>
                <w:caps w:val="false"/>
                <w:smallCaps w:val="false"/>
                <w:color w:val="231F20"/>
                <w:sz w:val="20"/>
              </w:rPr>
              <w:t>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left"/>
        <w:rPr/>
      </w:pPr>
      <w:r>
        <w:rPr/>
        <w:t>​</w:t>
      </w:r>
    </w:p>
    <w:tbl>
      <w:tblPr>
        <w:tblW w:w="8413" w:type="dxa"/>
        <w:jc w:val="left"/>
        <w:tblInd w:w="0" w:type="dxa"/>
        <w:tblLayout w:type="fixed"/>
        <w:tblCellMar>
          <w:top w:w="0" w:type="dxa"/>
          <w:left w:w="0" w:type="dxa"/>
          <w:bottom w:w="0" w:type="dxa"/>
          <w:right w:w="0" w:type="dxa"/>
        </w:tblCellMar>
      </w:tblPr>
      <w:tblGrid>
        <w:gridCol w:w="3961"/>
        <w:gridCol w:w="326"/>
        <w:gridCol w:w="211"/>
        <w:gridCol w:w="796"/>
        <w:gridCol w:w="109"/>
        <w:gridCol w:w="211"/>
        <w:gridCol w:w="796"/>
        <w:gridCol w:w="109"/>
        <w:gridCol w:w="250"/>
        <w:gridCol w:w="411"/>
        <w:gridCol w:w="109"/>
        <w:gridCol w:w="211"/>
        <w:gridCol w:w="913"/>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515235" cy="175260"/>
                      <wp:effectExtent l="0" t="0" r="0" b="0"/>
                      <wp:wrapNone/>
                      <wp:docPr id="78" name="Frame7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05460" cy="175260"/>
                      <wp:effectExtent l="0" t="0" r="0" b="0"/>
                      <wp:wrapNone/>
                      <wp:docPr id="81" name="Frame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05460" cy="175260"/>
                      <wp:effectExtent l="0" t="0" r="0" b="0"/>
                      <wp:wrapNone/>
                      <wp:docPr id="84" name="Frame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8750" cy="175260"/>
                      <wp:effectExtent l="0" t="0" r="0" b="0"/>
                      <wp:wrapNone/>
                      <wp:docPr id="86" name="Frame8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60985" cy="175260"/>
                      <wp:effectExtent l="0" t="0" r="0" b="0"/>
                      <wp:wrapNone/>
                      <wp:docPr id="87" name="Frame87"/>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9755" cy="175260"/>
                      <wp:effectExtent l="0" t="0" r="0" b="0"/>
                      <wp:wrapNone/>
                      <wp:docPr id="90" name="Frame90"/>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915" w:type="dxa"/>
            <w:gridSpan w:val="10"/>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2023</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Total </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Financial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4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4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2,712</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115,029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115,029</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87,639</w:t>
            </w:r>
          </w:p>
        </w:tc>
        <w:tc>
          <w:tcPr>
            <w:tcW w:w="10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87,639</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3,626</w:t>
            </w:r>
          </w:p>
        </w:tc>
        <w:tc>
          <w:tcPr>
            <w:tcW w:w="10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4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3,626</w:t>
            </w:r>
          </w:p>
        </w:tc>
      </w:tr>
      <w:tr>
        <w:trPr/>
        <w:tc>
          <w:tcPr>
            <w:tcW w:w="39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government treasury bills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37,395</w:t>
            </w:r>
          </w:p>
        </w:tc>
      </w:tr>
      <w:tr>
        <w:trPr/>
        <w:tc>
          <w:tcPr>
            <w:tcW w:w="39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Government-sponsored enterprise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30,834</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30,834</w:t>
            </w:r>
          </w:p>
        </w:tc>
      </w:tr>
      <w:tr>
        <w:trPr/>
        <w:tc>
          <w:tcPr>
            <w:tcW w:w="396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155,136</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122,099</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4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277,235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90"/>
        <w:gridCol w:w="326"/>
        <w:gridCol w:w="211"/>
        <w:gridCol w:w="796"/>
        <w:gridCol w:w="326"/>
        <w:gridCol w:w="356"/>
        <w:gridCol w:w="590"/>
        <w:gridCol w:w="326"/>
        <w:gridCol w:w="288"/>
        <w:gridCol w:w="658"/>
        <w:gridCol w:w="326"/>
        <w:gridCol w:w="211"/>
        <w:gridCol w:w="901"/>
      </w:tblGrid>
      <w:tr>
        <w:trPr/>
        <w:tc>
          <w:tcPr>
            <w:tcW w:w="4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105150" cy="175260"/>
                      <wp:effectExtent l="0" t="0" r="0" b="0"/>
                      <wp:wrapNone/>
                      <wp:docPr id="91" name="Frame91"/>
                      <a:graphic xmlns:a="http://schemas.openxmlformats.org/drawingml/2006/main">
                        <a:graphicData uri="http://schemas.microsoft.com/office/word/2010/wordprocessingShape">
                          <wps:wsp>
                            <wps:cNvSpPr txBox="1"/>
                            <wps:spPr>
                              <a:xfrm>
                                <a:off x="0" y="0"/>
                                <a:ext cx="310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5460" cy="175260"/>
                      <wp:effectExtent l="0" t="0" r="0" b="0"/>
                      <wp:wrapNone/>
                      <wp:docPr id="94" name="Frame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6060" cy="175260"/>
                      <wp:effectExtent l="0" t="0" r="0" b="0"/>
                      <wp:wrapNone/>
                      <wp:docPr id="96" name="Frame9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74650" cy="175260"/>
                      <wp:effectExtent l="0" t="0" r="0" b="0"/>
                      <wp:wrapNone/>
                      <wp:docPr id="97" name="Frame97"/>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2880" cy="175260"/>
                      <wp:effectExtent l="0" t="0" r="0" b="0"/>
                      <wp:wrapNone/>
                      <wp:docPr id="99" name="Frame9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17830" cy="175260"/>
                      <wp:effectExtent l="0" t="0" r="0" b="0"/>
                      <wp:wrapNone/>
                      <wp:docPr id="100" name="Frame10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4989" w:type="dxa"/>
            <w:gridSpan w:val="11"/>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2023</w:t>
            </w:r>
          </w:p>
        </w:tc>
      </w:tr>
      <w:tr>
        <w:trPr/>
        <w:tc>
          <w:tcPr>
            <w:tcW w:w="4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Gross </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Gross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left"/>
              <w:rPr/>
            </w:pPr>
            <w:r>
              <w:rPr/>
              <w:t>​</w:t>
            </w:r>
          </w:p>
        </w:tc>
      </w:tr>
      <w:tr>
        <w:trPr/>
        <w:tc>
          <w:tcPr>
            <w:tcW w:w="4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Estimated</w:t>
            </w:r>
          </w:p>
        </w:tc>
      </w:tr>
      <w:tr>
        <w:trPr/>
        <w:tc>
          <w:tcPr>
            <w:tcW w:w="489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Losses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4890"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Financial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righ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left"/>
              <w:rPr/>
            </w:pPr>
            <w:r>
              <w:rPr/>
              <w:t>​</w:t>
            </w:r>
          </w:p>
        </w:tc>
      </w:tr>
      <w:tr>
        <w:trPr/>
        <w:tc>
          <w:tcPr>
            <w:tcW w:w="48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117,741</w:t>
            </w:r>
          </w:p>
        </w:tc>
        <w:tc>
          <w:tcPr>
            <w:tcW w:w="32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117,741</w:t>
            </w:r>
          </w:p>
        </w:tc>
      </w:tr>
      <w:tr>
        <w:trPr/>
        <w:tc>
          <w:tcPr>
            <w:tcW w:w="489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marketable securities (&lt;12 months to maturity)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156,108</w:t>
            </w:r>
          </w:p>
        </w:tc>
        <w:tc>
          <w:tcPr>
            <w:tcW w:w="326"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5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26"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right"/>
              <w:rPr/>
            </w:pPr>
            <w:r>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155,868</w:t>
            </w:r>
          </w:p>
        </w:tc>
      </w:tr>
      <w:tr>
        <w:trPr/>
        <w:tc>
          <w:tcPr>
            <w:tcW w:w="489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marketable securities (&gt;12 months to maturity)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3,627</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3,626</w:t>
            </w:r>
          </w:p>
        </w:tc>
      </w:tr>
      <w:tr>
        <w:trPr/>
        <w:tc>
          <w:tcPr>
            <w:tcW w:w="48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Total </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277,476</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277,235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spacing w:before="24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spacing w:before="24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There were seven marketable securities that have been in a consecutive loss position for more than 12 months as of September 30, 2023. These marketable securities had $0.1 million unrealized losses with a fair value of $19.4 million as of September 30, 2023. The Company does not believe that the total unrealized losses of $0.3 million as of September 30, 2023 are credit-related but are rather a reflection of current market yields and/or current marketplace bid/ask spreads. During the three and nine months ended September 30, 2023, the Company did not recognize any other-than-temporary impairment loss. As of September 30, 2023, there was no allowance for losses on available-for-sale debt securities attributable to credit risk. </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As of September 30, 2023, all of the Company’s cash and cash equivalents consisted of cash on deposit with U.S. banks denominated in U. S. dollars and Australian dollars.</w:t>
      </w:r>
    </w:p>
    <w:p>
      <w:pPr>
        <w:pStyle w:val="TextBody"/>
        <w:bidi w:val="0"/>
        <w:spacing w:before="0" w:after="240"/>
        <w:ind w:left="0" w:right="0" w:hanging="0"/>
        <w:jc w:val="left"/>
        <w:rPr>
          <w:rFonts w:ascii="Arial;Helvetica;sans-serif" w:hAnsi="Arial;Helvetica;sans-serif"/>
          <w:sz w:val="20"/>
        </w:rPr>
      </w:pPr>
      <w:bookmarkStart w:id="977" w:name="Tc_SxGJkkUFJUioBNkjuc_USw_7_5"/>
      <w:bookmarkStart w:id="978" w:name="Tc_NpfZ1U3HHUSs_4E9-wLxGg_7_2"/>
      <w:bookmarkStart w:id="979" w:name="Tc_iDkamr3ipkynIBN0Up0lHg_7_0"/>
      <w:bookmarkStart w:id="980" w:name="Tc_t0p4_6S_s0GzdprOcx5WFg_6_0"/>
      <w:bookmarkStart w:id="981" w:name="Tc_pCAdH4DhZUCTEFdD33hTLQ_5_0"/>
      <w:bookmarkStart w:id="982" w:name="Tc_S_CfNNm5tUmh7QO_8F4IZQ_4_0"/>
      <w:bookmarkStart w:id="983" w:name="Tc_lFd7U3wb5EqCz34JNjpXYg_3_5"/>
      <w:bookmarkStart w:id="984" w:name="Tc_yE3fLQVOz0SDdbOqsXH4Ug_3_2"/>
      <w:bookmarkStart w:id="985" w:name="Tc_TKh7dQROJ0KPgPCLiKCrcA_3_0"/>
      <w:bookmarkStart w:id="986" w:name="Tc_J87xjzuOckGORYp8J5Z_fw_2_5"/>
      <w:bookmarkStart w:id="987" w:name="Tc_nXhTxZTiTk2VQeFH7XahIA_2_2"/>
      <w:bookmarkStart w:id="988" w:name="Tc_-rGA68oQWEaqWAttKdOa6w_1_5"/>
      <w:bookmarkStart w:id="989" w:name="Tc_KkOWR55EVEqq66E5Yg8mAA_1_2"/>
      <w:bookmarkStart w:id="990" w:name="_b29458af_e22b_43ec_bfe8_12b4e3033551"/>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rPr>
          <w:rFonts w:ascii="Arial;Helvetica;sans-serif" w:hAnsi="Arial;Helvetica;sans-serif"/>
          <w:sz w:val="20"/>
        </w:rPr>
        <w:t>4. Property and Equipment,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Property and equipment, net consisted of the following (in thousands):</w:t>
      </w:r>
    </w:p>
    <w:tbl>
      <w:tblPr>
        <w:tblW w:w="6098" w:type="dxa"/>
        <w:jc w:val="left"/>
        <w:tblInd w:w="0" w:type="dxa"/>
        <w:tblLayout w:type="fixed"/>
        <w:tblCellMar>
          <w:top w:w="0" w:type="dxa"/>
          <w:left w:w="0" w:type="dxa"/>
          <w:bottom w:w="0" w:type="dxa"/>
          <w:right w:w="0" w:type="dxa"/>
        </w:tblCellMar>
      </w:tblPr>
      <w:tblGrid>
        <w:gridCol w:w="2911"/>
        <w:gridCol w:w="326"/>
        <w:gridCol w:w="336"/>
        <w:gridCol w:w="939"/>
        <w:gridCol w:w="326"/>
        <w:gridCol w:w="293"/>
        <w:gridCol w:w="967"/>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48485" cy="175260"/>
                      <wp:effectExtent l="0" t="0" r="0" b="0"/>
                      <wp:wrapNone/>
                      <wp:docPr id="104" name="Frame10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3360" cy="175260"/>
                      <wp:effectExtent l="0" t="0" r="0" b="0"/>
                      <wp:wrapNone/>
                      <wp:docPr id="106" name="Frame10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6265" cy="175260"/>
                      <wp:effectExtent l="0" t="0" r="0" b="0"/>
                      <wp:wrapNone/>
                      <wp:docPr id="107" name="Frame107"/>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6055" cy="175260"/>
                      <wp:effectExtent l="0" t="0" r="0" b="0"/>
                      <wp:wrapNone/>
                      <wp:docPr id="109" name="Frame10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4045" cy="175260"/>
                      <wp:effectExtent l="0" t="0" r="0" b="0"/>
                      <wp:wrapNone/>
                      <wp:docPr id="110" name="Frame110"/>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7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Lab equipment</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    </w:t>
            </w:r>
          </w:p>
        </w:tc>
        <w:tc>
          <w:tcPr>
            <w:tcW w:w="33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1,695</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    </w:t>
            </w:r>
          </w:p>
        </w:tc>
        <w:tc>
          <w:tcPr>
            <w:tcW w:w="293"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2,002</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Computer equipment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59</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59</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Property and equipment, gross</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3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1,754</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93"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2,061</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Less: Accumulated depreciation</w:t>
            </w:r>
          </w:p>
        </w:tc>
        <w:tc>
          <w:tcPr>
            <w:tcW w:w="326" w:type="dxa"/>
            <w:tcBorders/>
            <w:vAlign w:val="center"/>
          </w:tcPr>
          <w:p>
            <w:pPr>
              <w:pStyle w:val="TableContents"/>
              <w:bidi w:val="0"/>
              <w:spacing w:before="0" w:after="0"/>
              <w:ind w:left="0" w:right="0" w:hanging="0"/>
              <w:jc w:val="left"/>
              <w:rPr/>
            </w:pPr>
            <w:r>
              <w:rPr/>
              <w:t> </w:t>
            </w:r>
          </w:p>
        </w:tc>
        <w:tc>
          <w:tcPr>
            <w:tcW w:w="336" w:type="dxa"/>
            <w:tcBorders>
              <w:bottom w:val="single" w:sz="2" w:space="0" w:color="231F20"/>
            </w:tcBorders>
            <w:tcMar>
              <w:bottom w:w="28" w:type="dxa"/>
            </w:tcMar>
            <w:vAlign w:val="center"/>
          </w:tcPr>
          <w:p>
            <w:pPr>
              <w:pStyle w:val="TableContents"/>
              <w:bidi w:val="0"/>
              <w:spacing w:before="0" w:after="0"/>
              <w:ind w:left="0" w:right="0" w:hanging="0"/>
              <w:jc w:val="right"/>
              <w:rPr/>
            </w:pPr>
            <w:r>
              <w:rPr/>
              <w:t> </w:t>
            </w:r>
          </w:p>
        </w:tc>
        <w:tc>
          <w:tcPr>
            <w:tcW w:w="939" w:type="dxa"/>
            <w:tcBorders>
              <w:bottom w:val="single" w:sz="2" w:space="0" w:color="231F2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(698)</w:t>
            </w:r>
          </w:p>
        </w:tc>
        <w:tc>
          <w:tcPr>
            <w:tcW w:w="326" w:type="dxa"/>
            <w:tcBorders>
              <w:bottom w:val="single" w:sz="2" w:space="0" w:color="231F2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single" w:sz="2" w:space="0" w:color="231F2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967" w:type="dxa"/>
            <w:tcBorders>
              <w:bottom w:val="single" w:sz="2" w:space="0" w:color="231F2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(581)</w:t>
            </w:r>
          </w:p>
        </w:tc>
      </w:tr>
      <w:tr>
        <w:trPr/>
        <w:tc>
          <w:tcPr>
            <w:tcW w:w="29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1,056</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color w:val="231F20"/>
                <w:sz w:val="20"/>
              </w:rPr>
            </w:pPr>
            <w:r>
              <w:rPr>
                <w:rFonts w:ascii="Arial;Helvetica;sans-serif" w:hAnsi="Arial;Helvetica;sans-serif"/>
                <w:color w:val="231F20"/>
                <w:sz w:val="20"/>
              </w:rPr>
              <w:t>1,480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91" w:name="Tc_bvuWWwrVg0GYh1Iny-o2ow_10_5"/>
      <w:bookmarkStart w:id="992" w:name="Tc_1VBrByg1OEW5ct5sK1SO_w_10_2"/>
      <w:bookmarkStart w:id="993" w:name="Tc_gueVWo1iCUaJdcnZ5uUtTg_10_0"/>
      <w:bookmarkStart w:id="994" w:name="Tc_KutrBcklREKtYRRBa4JOkQ_9_0"/>
      <w:bookmarkStart w:id="995" w:name="Tc_TOpjNAqOpkGei6Fvtek3hg_8_0"/>
      <w:bookmarkStart w:id="996" w:name="Tc_DUDUd8wJhUWV-WOnPjU3ZA_7_6"/>
      <w:bookmarkStart w:id="997" w:name="Tc_TcSNk86ubkaHyvE3iTcaZg_7_0"/>
      <w:bookmarkStart w:id="998" w:name="Tc_CdOqHAZ7XUud9tXbjze2Fg_6_0"/>
      <w:bookmarkStart w:id="999" w:name="Tc_S3tY9_rsWU-LrajVfivJ2g_5_0"/>
      <w:bookmarkStart w:id="1000" w:name="Tc_1zIcJ_nGBEKUZ9jBjvryYQ_4_0"/>
      <w:bookmarkStart w:id="1001" w:name="Tc_XgEYGNHjv0yidlfK1NDpsA_3_5"/>
      <w:bookmarkStart w:id="1002" w:name="Tc_hViLYhspp0qhITVaDz4CGw_3_2"/>
      <w:bookmarkStart w:id="1003" w:name="Tc_P0REXYll_EGyEswDkVlxQg_3_0"/>
      <w:bookmarkStart w:id="1004" w:name="Tc_Se-F5vro9k-DT4m9-u218g_2_5"/>
      <w:bookmarkStart w:id="1005" w:name="Tc_whTNzZDYv0uyz6fUTFTCUw_2_2"/>
      <w:bookmarkStart w:id="1006" w:name="Tc_pES2DLUHEky5pcbxVqlIFg_1_5"/>
      <w:bookmarkStart w:id="1007" w:name="Tc_LVAAe55DEkeEwHDUQrNeXg_1_2"/>
      <w:bookmarkStart w:id="1008" w:name="_b2af3dce_c674_46df_bd95_134bc09f1b81"/>
      <w:bookmarkStart w:id="1009" w:name="Tc_bvuWWwrVg0GYh1Iny-o2ow_10_5"/>
      <w:bookmarkStart w:id="1010" w:name="Tc_1VBrByg1OEW5ct5sK1SO_w_10_2"/>
      <w:bookmarkStart w:id="1011" w:name="Tc_gueVWo1iCUaJdcnZ5uUtTg_10_0"/>
      <w:bookmarkStart w:id="1012" w:name="Tc_KutrBcklREKtYRRBa4JOkQ_9_0"/>
      <w:bookmarkStart w:id="1013" w:name="Tc_TOpjNAqOpkGei6Fvtek3hg_8_0"/>
      <w:bookmarkStart w:id="1014" w:name="Tc_DUDUd8wJhUWV-WOnPjU3ZA_7_6"/>
      <w:bookmarkStart w:id="1015" w:name="Tc_TcSNk86ubkaHyvE3iTcaZg_7_0"/>
      <w:bookmarkStart w:id="1016" w:name="Tc_CdOqHAZ7XUud9tXbjze2Fg_6_0"/>
      <w:bookmarkStart w:id="1017" w:name="Tc_S3tY9_rsWU-LrajVfivJ2g_5_0"/>
      <w:bookmarkStart w:id="1018" w:name="Tc_1zIcJ_nGBEKUZ9jBjvryYQ_4_0"/>
      <w:bookmarkStart w:id="1019" w:name="Tc_XgEYGNHjv0yidlfK1NDpsA_3_5"/>
      <w:bookmarkStart w:id="1020" w:name="Tc_hViLYhspp0qhITVaDz4CGw_3_2"/>
      <w:bookmarkStart w:id="1021" w:name="Tc_P0REXYll_EGyEswDkVlxQg_3_0"/>
      <w:bookmarkStart w:id="1022" w:name="Tc_Se-F5vro9k-DT4m9-u218g_2_5"/>
      <w:bookmarkStart w:id="1023" w:name="Tc_whTNzZDYv0uyz6fUTFTCUw_2_2"/>
      <w:bookmarkStart w:id="1024" w:name="Tc_pES2DLUHEky5pcbxVqlIFg_1_5"/>
      <w:bookmarkStart w:id="1025" w:name="Tc_LVAAe55DEkeEwHDUQrNeXg_1_2"/>
      <w:bookmarkStart w:id="1026" w:name="_b2af3dce_c674_46df_bd95_134bc09f1b81"/>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tbl>
      <w:tblPr>
        <w:tblW w:w="4367" w:type="dxa"/>
        <w:jc w:val="left"/>
        <w:tblInd w:w="0" w:type="dxa"/>
        <w:tblLayout w:type="fixed"/>
        <w:tblCellMar>
          <w:top w:w="0" w:type="dxa"/>
          <w:left w:w="0" w:type="dxa"/>
          <w:bottom w:w="0" w:type="dxa"/>
          <w:right w:w="0" w:type="dxa"/>
        </w:tblCellMar>
      </w:tblPr>
      <w:tblGrid>
        <w:gridCol w:w="286"/>
        <w:gridCol w:w="4081"/>
      </w:tblGrid>
      <w:tr>
        <w:trPr/>
        <w:tc>
          <w:tcPr>
            <w:tcW w:w="286" w:type="dxa"/>
            <w:tcBorders/>
            <w:vAlign w:val="center"/>
          </w:tcPr>
          <w:p>
            <w:pPr>
              <w:pStyle w:val="TableContents"/>
              <w:bidi w:val="0"/>
              <w:spacing w:before="240" w:after="240"/>
              <w:jc w:val="both"/>
              <w:rPr>
                <w:rFonts w:ascii="Arial;Helvetica;sans-serif" w:hAnsi="Arial;Helvetica;sans-serif"/>
                <w:sz w:val="20"/>
              </w:rPr>
            </w:pPr>
            <w:r>
              <w:rPr>
                <w:rFonts w:ascii="Arial;Helvetica;sans-serif" w:hAnsi="Arial;Helvetica;sans-serif"/>
                <w:sz w:val="20"/>
              </w:rPr>
              <w:t>5.</w:t>
            </w:r>
          </w:p>
        </w:tc>
        <w:tc>
          <w:tcPr>
            <w:tcW w:w="4081" w:type="dxa"/>
            <w:tcBorders/>
            <w:vAlign w:val="center"/>
          </w:tcPr>
          <w:p>
            <w:pPr>
              <w:pStyle w:val="TableContents"/>
              <w:bidi w:val="0"/>
              <w:spacing w:before="240" w:after="240"/>
              <w:jc w:val="both"/>
              <w:rPr>
                <w:rFonts w:ascii="Arial;Helvetica;sans-serif" w:hAnsi="Arial;Helvetica;sans-serif"/>
                <w:sz w:val="20"/>
              </w:rPr>
            </w:pPr>
            <w:r>
              <w:rPr>
                <w:rFonts w:ascii="Arial;Helvetica;sans-serif" w:hAnsi="Arial;Helvetica;sans-serif"/>
                <w:sz w:val="20"/>
              </w:rPr>
              <w:t xml:space="preserve">Prepaid Expenses and Other Current Assets </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Prepaid expenses and other current assets consisted of the following (in thousands):</w:t>
      </w:r>
    </w:p>
    <w:tbl>
      <w:tblPr>
        <w:tblW w:w="9818" w:type="dxa"/>
        <w:jc w:val="left"/>
        <w:tblInd w:w="0" w:type="dxa"/>
        <w:tblLayout w:type="fixed"/>
        <w:tblCellMar>
          <w:top w:w="0" w:type="dxa"/>
          <w:left w:w="0" w:type="dxa"/>
          <w:bottom w:w="0" w:type="dxa"/>
          <w:right w:w="0" w:type="dxa"/>
        </w:tblCellMar>
      </w:tblPr>
      <w:tblGrid>
        <w:gridCol w:w="6631"/>
        <w:gridCol w:w="326"/>
        <w:gridCol w:w="336"/>
        <w:gridCol w:w="939"/>
        <w:gridCol w:w="326"/>
        <w:gridCol w:w="293"/>
        <w:gridCol w:w="967"/>
      </w:tblGrid>
      <w:tr>
        <w:trPr/>
        <w:tc>
          <w:tcPr>
            <w:tcW w:w="6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10685" cy="175260"/>
                      <wp:effectExtent l="0" t="0" r="0" b="0"/>
                      <wp:wrapNone/>
                      <wp:docPr id="111" name="Frame111"/>
                      <a:graphic xmlns:a="http://schemas.openxmlformats.org/drawingml/2006/main">
                        <a:graphicData uri="http://schemas.microsoft.com/office/word/2010/wordprocessingShape">
                          <wps:wsp>
                            <wps:cNvSpPr txBox="1"/>
                            <wps:spPr>
                              <a:xfrm>
                                <a:off x="0" y="0"/>
                                <a:ext cx="421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3360" cy="175260"/>
                      <wp:effectExtent l="0" t="0" r="0" b="0"/>
                      <wp:wrapNone/>
                      <wp:docPr id="113" name="Frame11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6265" cy="175260"/>
                      <wp:effectExtent l="0" t="0" r="0" b="0"/>
                      <wp:wrapNone/>
                      <wp:docPr id="114" name="Frame114"/>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6055" cy="175260"/>
                      <wp:effectExtent l="0" t="0" r="0" b="0"/>
                      <wp:wrapNone/>
                      <wp:docPr id="116" name="Frame11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4045" cy="175260"/>
                      <wp:effectExtent l="0" t="0" r="0" b="0"/>
                      <wp:wrapNone/>
                      <wp:docPr id="117" name="Frame117"/>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7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6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Reimbursable research and development costs from a collaboration partner</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36"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2,467</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93"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1,387</w:t>
            </w:r>
          </w:p>
        </w:tc>
      </w:tr>
      <w:tr>
        <w:trPr/>
        <w:tc>
          <w:tcPr>
            <w:tcW w:w="663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Prepaid clinical development costs</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336"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1,003</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293"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506</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Prepaid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right"/>
              <w:rPr/>
            </w:pPr>
            <w:r>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384</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1,738</w:t>
            </w:r>
          </w:p>
        </w:tc>
      </w:tr>
      <w:tr>
        <w:trPr/>
        <w:tc>
          <w:tcPr>
            <w:tcW w:w="663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Interest receivable</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336" w:type="dxa"/>
            <w:tcBorders/>
            <w:vAlign w:val="center"/>
          </w:tcPr>
          <w:p>
            <w:pPr>
              <w:pStyle w:val="TableContents"/>
              <w:bidi w:val="0"/>
              <w:spacing w:before="0" w:after="0"/>
              <w:ind w:left="0" w:right="0" w:hanging="0"/>
              <w:jc w:val="right"/>
              <w:rPr>
                <w:color w:val="231F20"/>
              </w:rPr>
            </w:pPr>
            <w:r>
              <w:rPr>
                <w:color w:val="231F20"/>
              </w:rPr>
              <w:t>​</w:t>
            </w:r>
          </w:p>
        </w:tc>
        <w:tc>
          <w:tcPr>
            <w:tcW w:w="939"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419</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93" w:type="dxa"/>
            <w:tcBorders/>
            <w:vAlign w:val="center"/>
          </w:tcPr>
          <w:p>
            <w:pPr>
              <w:pStyle w:val="TableContents"/>
              <w:bidi w:val="0"/>
              <w:spacing w:before="0" w:after="0"/>
              <w:ind w:left="0" w:right="0" w:hanging="0"/>
              <w:jc w:val="right"/>
              <w:rPr>
                <w:color w:val="231F20"/>
              </w:rPr>
            </w:pPr>
            <w:r>
              <w:rPr>
                <w:color w:val="231F20"/>
              </w:rPr>
              <w:t>​</w:t>
            </w:r>
          </w:p>
        </w:tc>
        <w:tc>
          <w:tcPr>
            <w:tcW w:w="967"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319</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Research and development tax incentive credit receivable</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3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321</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93"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967"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6631"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Prepaid subscriptions and licenses</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336" w:type="dxa"/>
            <w:tcBorders/>
            <w:vAlign w:val="center"/>
          </w:tcPr>
          <w:p>
            <w:pPr>
              <w:pStyle w:val="TableContents"/>
              <w:bidi w:val="0"/>
              <w:spacing w:before="0" w:after="0"/>
              <w:ind w:left="0" w:right="0" w:hanging="0"/>
              <w:jc w:val="right"/>
              <w:rPr>
                <w:color w:val="231F20"/>
              </w:rPr>
            </w:pPr>
            <w:r>
              <w:rPr>
                <w:color w:val="231F20"/>
              </w:rPr>
              <w:t>​</w:t>
            </w:r>
          </w:p>
        </w:tc>
        <w:tc>
          <w:tcPr>
            <w:tcW w:w="939"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239</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93" w:type="dxa"/>
            <w:tcBorders/>
            <w:vAlign w:val="center"/>
          </w:tcPr>
          <w:p>
            <w:pPr>
              <w:pStyle w:val="TableContents"/>
              <w:bidi w:val="0"/>
              <w:spacing w:before="0" w:after="0"/>
              <w:ind w:left="0" w:right="0" w:hanging="0"/>
              <w:jc w:val="right"/>
              <w:rPr>
                <w:color w:val="231F20"/>
              </w:rPr>
            </w:pPr>
            <w:r>
              <w:rPr>
                <w:color w:val="231F20"/>
              </w:rPr>
              <w:t>​</w:t>
            </w:r>
          </w:p>
        </w:tc>
        <w:tc>
          <w:tcPr>
            <w:tcW w:w="967"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399</w:t>
            </w:r>
          </w:p>
        </w:tc>
      </w:tr>
      <w:tr>
        <w:trPr/>
        <w:tc>
          <w:tcPr>
            <w:tcW w:w="6631"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pPr>
            <w:r>
              <w:rPr/>
              <w:t> </w:t>
            </w:r>
          </w:p>
        </w:tc>
        <w:tc>
          <w:tcPr>
            <w:tcW w:w="939"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274</w:t>
            </w:r>
          </w:p>
        </w:tc>
        <w:tc>
          <w:tcPr>
            <w:tcW w:w="326" w:type="dxa"/>
            <w:tcBorders>
              <w:bottom w:val="single" w:sz="2" w:space="0" w:color="231F2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967" w:type="dxa"/>
            <w:tcBorders>
              <w:bottom w:val="single" w:sz="2" w:space="0" w:color="231F2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129</w:t>
            </w:r>
          </w:p>
        </w:tc>
      </w:tr>
      <w:tr>
        <w:trPr/>
        <w:tc>
          <w:tcPr>
            <w:tcW w:w="663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Total </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5,107</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color w:val="231F20"/>
                <w:sz w:val="20"/>
              </w:rPr>
            </w:pPr>
            <w:r>
              <w:rPr>
                <w:rFonts w:ascii="Arial;Helvetica;sans-serif" w:hAnsi="Arial;Helvetica;sans-serif"/>
                <w:color w:val="231F20"/>
                <w:sz w:val="20"/>
              </w:rPr>
              <w:t>4,478</w:t>
            </w:r>
          </w:p>
        </w:tc>
      </w:tr>
    </w:tbl>
    <w:p>
      <w:pPr>
        <w:pStyle w:val="TextBody"/>
        <w:pBdr/>
        <w:bidi w:val="0"/>
        <w:spacing w:before="0" w:after="0"/>
        <w:ind w:left="0" w:right="0" w:hanging="36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27" w:name="Tc_NuWESG95P0yaa0TEaEZAJg_9_5"/>
      <w:bookmarkStart w:id="1028" w:name="Tc_M44-2ZBL5EOhMCCQQD8DgQ_9_2"/>
      <w:bookmarkStart w:id="1029" w:name="Tc_1L7-InFRIUm85X6Y6-HmZA_9_0"/>
      <w:bookmarkStart w:id="1030" w:name="Tc_sJvH1ccmEUu9VZ0DBg4v6A_8_3"/>
      <w:bookmarkStart w:id="1031" w:name="Tc_6JSIsRthXEyWmmGTzQ8QrA_8_0"/>
      <w:bookmarkStart w:id="1032" w:name="Tc_51u47rbw6ke3fPe-DbcXwg_7_0"/>
      <w:bookmarkStart w:id="1033" w:name="Tc_sJtaZhQEckSgBdAM-ZtAdQ_6_0"/>
      <w:bookmarkStart w:id="1034" w:name="Tc_8BXo6UXU_UCX3dU5Ra8vsg_5_0"/>
      <w:bookmarkStart w:id="1035" w:name="Tc_Y-YQts8tRkO7rkxI2DHa8Q_4_0"/>
      <w:bookmarkStart w:id="1036" w:name="Tc_yogMer7EAEuuYe41IlZjyg_3_5"/>
      <w:bookmarkStart w:id="1037" w:name="Tc_ij4SxRlY50uQdQXZCStvHw_3_2"/>
      <w:bookmarkStart w:id="1038" w:name="Tc_A0PY2ey2EUqnYKOrbMQfWQ_3_0"/>
      <w:bookmarkStart w:id="1039" w:name="Tc_rDm3Z_uHIkeBSqa29iXsmA_2_5"/>
      <w:bookmarkStart w:id="1040" w:name="Tc_rn5GNAe_Ik67RQRsuOHBjQ_2_2"/>
      <w:bookmarkStart w:id="1041" w:name="Tc_QhbPmNjDRkyKEBcifk3vhg_1_5"/>
      <w:bookmarkStart w:id="1042" w:name="Tc_nV84_I1z6kOc9TrdC4R9ZQ_1_2"/>
      <w:bookmarkStart w:id="1043" w:name="_ff7fed0a_7173_450a_8c0d_4ad6433aae0e"/>
      <w:bookmarkStart w:id="1044" w:name="Tc_NuWESG95P0yaa0TEaEZAJg_9_5"/>
      <w:bookmarkStart w:id="1045" w:name="Tc_M44-2ZBL5EOhMCCQQD8DgQ_9_2"/>
      <w:bookmarkStart w:id="1046" w:name="Tc_1L7-InFRIUm85X6Y6-HmZA_9_0"/>
      <w:bookmarkStart w:id="1047" w:name="Tc_sJvH1ccmEUu9VZ0DBg4v6A_8_3"/>
      <w:bookmarkStart w:id="1048" w:name="Tc_6JSIsRthXEyWmmGTzQ8QrA_8_0"/>
      <w:bookmarkStart w:id="1049" w:name="Tc_51u47rbw6ke3fPe-DbcXwg_7_0"/>
      <w:bookmarkStart w:id="1050" w:name="Tc_sJtaZhQEckSgBdAM-ZtAdQ_6_0"/>
      <w:bookmarkStart w:id="1051" w:name="Tc_8BXo6UXU_UCX3dU5Ra8vsg_5_0"/>
      <w:bookmarkStart w:id="1052" w:name="Tc_Y-YQts8tRkO7rkxI2DHa8Q_4_0"/>
      <w:bookmarkStart w:id="1053" w:name="Tc_yogMer7EAEuuYe41IlZjyg_3_5"/>
      <w:bookmarkStart w:id="1054" w:name="Tc_ij4SxRlY50uQdQXZCStvHw_3_2"/>
      <w:bookmarkStart w:id="1055" w:name="Tc_A0PY2ey2EUqnYKOrbMQfWQ_3_0"/>
      <w:bookmarkStart w:id="1056" w:name="Tc_rDm3Z_uHIkeBSqa29iXsmA_2_5"/>
      <w:bookmarkStart w:id="1057" w:name="Tc_rn5GNAe_Ik67RQRsuOHBjQ_2_2"/>
      <w:bookmarkStart w:id="1058" w:name="Tc_QhbPmNjDRkyKEBcifk3vhg_1_5"/>
      <w:bookmarkStart w:id="1059" w:name="Tc_nV84_I1z6kOc9TrdC4R9ZQ_1_2"/>
      <w:bookmarkStart w:id="1060" w:name="_ff7fed0a_7173_450a_8c0d_4ad6433aae0e"/>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tbl>
      <w:tblPr>
        <w:tblW w:w="3632" w:type="dxa"/>
        <w:jc w:val="left"/>
        <w:tblInd w:w="0" w:type="dxa"/>
        <w:tblLayout w:type="fixed"/>
        <w:tblCellMar>
          <w:top w:w="0" w:type="dxa"/>
          <w:left w:w="0" w:type="dxa"/>
          <w:bottom w:w="0" w:type="dxa"/>
          <w:right w:w="0" w:type="dxa"/>
        </w:tblCellMar>
      </w:tblPr>
      <w:tblGrid>
        <w:gridCol w:w="286"/>
        <w:gridCol w:w="3346"/>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6.</w:t>
            </w:r>
          </w:p>
        </w:tc>
        <w:tc>
          <w:tcPr>
            <w:tcW w:w="334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Accrued and Other Current Liabilities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Accrued and other current liabilities consisted of the following (in thousands): </w:t>
      </w:r>
    </w:p>
    <w:tbl>
      <w:tblPr>
        <w:tblW w:w="7171" w:type="dxa"/>
        <w:jc w:val="left"/>
        <w:tblInd w:w="0" w:type="dxa"/>
        <w:tblLayout w:type="fixed"/>
        <w:tblCellMar>
          <w:top w:w="0" w:type="dxa"/>
          <w:left w:w="0" w:type="dxa"/>
          <w:bottom w:w="0" w:type="dxa"/>
          <w:right w:w="0" w:type="dxa"/>
        </w:tblCellMar>
      </w:tblPr>
      <w:tblGrid>
        <w:gridCol w:w="4381"/>
        <w:gridCol w:w="146"/>
        <w:gridCol w:w="298"/>
        <w:gridCol w:w="977"/>
        <w:gridCol w:w="109"/>
        <w:gridCol w:w="263"/>
        <w:gridCol w:w="997"/>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781935" cy="175260"/>
                      <wp:effectExtent l="0" t="0" r="0" b="0"/>
                      <wp:wrapNone/>
                      <wp:docPr id="118" name="Frame118"/>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9230" cy="175260"/>
                      <wp:effectExtent l="0" t="0" r="0" b="0"/>
                      <wp:wrapNone/>
                      <wp:docPr id="120" name="Frame12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20395" cy="175260"/>
                      <wp:effectExtent l="0" t="0" r="0" b="0"/>
                      <wp:wrapNone/>
                      <wp:docPr id="121" name="Frame12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7005" cy="175260"/>
                      <wp:effectExtent l="0" t="0" r="0" b="0"/>
                      <wp:wrapNone/>
                      <wp:docPr id="123" name="Frame12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33095" cy="175260"/>
                      <wp:effectExtent l="0" t="0" r="0" b="0"/>
                      <wp:wrapNone/>
                      <wp:docPr id="124" name="Frame124"/>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275"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260"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3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43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research and development related costs</w:t>
            </w:r>
          </w:p>
        </w:tc>
        <w:tc>
          <w:tcPr>
            <w:tcW w:w="1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9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7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8,370</w:t>
            </w:r>
          </w:p>
        </w:tc>
        <w:tc>
          <w:tcPr>
            <w:tcW w:w="109"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63"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9,105</w:t>
            </w:r>
          </w:p>
        </w:tc>
      </w:tr>
      <w:tr>
        <w:trPr/>
        <w:tc>
          <w:tcPr>
            <w:tcW w:w="438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employee bonuses</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298" w:type="dxa"/>
            <w:tcBorders/>
            <w:vAlign w:val="center"/>
          </w:tcPr>
          <w:p>
            <w:pPr>
              <w:pStyle w:val="TableContents"/>
              <w:bidi w:val="0"/>
              <w:spacing w:before="0" w:after="1"/>
              <w:ind w:left="0" w:right="0" w:hanging="0"/>
              <w:jc w:val="right"/>
              <w:rPr>
                <w:color w:val="231F20"/>
              </w:rPr>
            </w:pPr>
            <w:r>
              <w:rPr>
                <w:color w:val="231F20"/>
              </w:rPr>
              <w:t>​</w:t>
            </w:r>
          </w:p>
        </w:tc>
        <w:tc>
          <w:tcPr>
            <w:tcW w:w="977"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2,849</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263" w:type="dxa"/>
            <w:tcBorders/>
            <w:vAlign w:val="center"/>
          </w:tcPr>
          <w:p>
            <w:pPr>
              <w:pStyle w:val="TableContents"/>
              <w:bidi w:val="0"/>
              <w:spacing w:before="0" w:after="1"/>
              <w:ind w:left="0" w:right="0" w:hanging="0"/>
              <w:jc w:val="right"/>
              <w:rPr>
                <w:color w:val="231F20"/>
              </w:rPr>
            </w:pPr>
            <w:r>
              <w:rPr>
                <w:color w:val="231F20"/>
              </w:rPr>
              <w:t>​</w:t>
            </w:r>
          </w:p>
        </w:tc>
        <w:tc>
          <w:tcPr>
            <w:tcW w:w="997"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4,518</w:t>
            </w:r>
          </w:p>
        </w:tc>
      </w:tr>
      <w:tr>
        <w:trPr/>
        <w:tc>
          <w:tcPr>
            <w:tcW w:w="43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professional fees</w:t>
            </w:r>
          </w:p>
        </w:tc>
        <w:tc>
          <w:tcPr>
            <w:tcW w:w="1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9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97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1,143</w:t>
            </w:r>
          </w:p>
        </w:tc>
        <w:tc>
          <w:tcPr>
            <w:tcW w:w="109"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6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1,091</w:t>
            </w:r>
          </w:p>
        </w:tc>
      </w:tr>
      <w:tr>
        <w:trPr/>
        <w:tc>
          <w:tcPr>
            <w:tcW w:w="438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payroll related costs</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298" w:type="dxa"/>
            <w:tcBorders/>
            <w:vAlign w:val="center"/>
          </w:tcPr>
          <w:p>
            <w:pPr>
              <w:pStyle w:val="TableContents"/>
              <w:bidi w:val="0"/>
              <w:spacing w:before="0" w:after="1"/>
              <w:ind w:left="0" w:right="0" w:hanging="0"/>
              <w:jc w:val="right"/>
              <w:rPr>
                <w:color w:val="231F20"/>
              </w:rPr>
            </w:pPr>
            <w:r>
              <w:rPr>
                <w:color w:val="231F20"/>
              </w:rPr>
              <w:t>​</w:t>
            </w:r>
          </w:p>
        </w:tc>
        <w:tc>
          <w:tcPr>
            <w:tcW w:w="977"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416</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263" w:type="dxa"/>
            <w:tcBorders/>
            <w:vAlign w:val="center"/>
          </w:tcPr>
          <w:p>
            <w:pPr>
              <w:pStyle w:val="TableContents"/>
              <w:bidi w:val="0"/>
              <w:spacing w:before="0" w:after="1"/>
              <w:ind w:left="0" w:right="0" w:hanging="0"/>
              <w:jc w:val="right"/>
              <w:rPr>
                <w:color w:val="231F20"/>
              </w:rPr>
            </w:pPr>
            <w:r>
              <w:rPr>
                <w:color w:val="231F20"/>
              </w:rPr>
              <w:t>​</w:t>
            </w:r>
          </w:p>
        </w:tc>
        <w:tc>
          <w:tcPr>
            <w:tcW w:w="997"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296</w:t>
            </w:r>
          </w:p>
        </w:tc>
      </w:tr>
      <w:tr>
        <w:trPr/>
        <w:tc>
          <w:tcPr>
            <w:tcW w:w="438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Accrued taxes</w:t>
            </w:r>
          </w:p>
        </w:tc>
        <w:tc>
          <w:tcPr>
            <w:tcW w:w="1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9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97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57</w:t>
            </w:r>
          </w:p>
        </w:tc>
        <w:tc>
          <w:tcPr>
            <w:tcW w:w="109"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6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68</w:t>
            </w:r>
          </w:p>
        </w:tc>
      </w:tr>
      <w:tr>
        <w:trPr/>
        <w:tc>
          <w:tcPr>
            <w:tcW w:w="438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Early exercise of unvested stock options</w:t>
            </w:r>
          </w:p>
        </w:tc>
        <w:tc>
          <w:tcPr>
            <w:tcW w:w="146" w:type="dxa"/>
            <w:tcBorders/>
            <w:vAlign w:val="center"/>
          </w:tcPr>
          <w:p>
            <w:pPr>
              <w:pStyle w:val="TableContents"/>
              <w:bidi w:val="0"/>
              <w:spacing w:before="0" w:after="1"/>
              <w:ind w:left="0" w:right="0" w:hanging="0"/>
              <w:jc w:val="center"/>
              <w:rPr>
                <w:color w:val="231F20"/>
              </w:rPr>
            </w:pPr>
            <w:r>
              <w:rPr>
                <w:color w:val="231F20"/>
              </w:rPr>
              <w:t>​</w:t>
            </w:r>
          </w:p>
        </w:tc>
        <w:tc>
          <w:tcPr>
            <w:tcW w:w="298"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977"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bottom w:val="single" w:sz="2" w:space="0" w:color="231F2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263"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997"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82</w:t>
            </w:r>
          </w:p>
        </w:tc>
      </w:tr>
      <w:tr>
        <w:trPr/>
        <w:tc>
          <w:tcPr>
            <w:tcW w:w="43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12,835</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15,160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0"/>
        <w:ind w:left="0" w:right="0" w:hanging="0"/>
        <w:jc w:val="left"/>
        <w:rPr>
          <w:rFonts w:ascii="Arial;Helvetica;sans-serif" w:hAnsi="Arial;Helvetica;sans-serif"/>
          <w:sz w:val="20"/>
        </w:rPr>
      </w:pPr>
      <w:r>
        <w:rPr>
          <w:rFonts w:ascii="Arial;Helvetica;sans-serif" w:hAnsi="Arial;Helvetica;sans-serif"/>
          <w:sz w:val="20"/>
        </w:rPr>
        <w:t>7. Stock-Based Compensation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initially issuable under the 2020 Plan was a number not to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2022, the Board approved and adopted the Company’s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bookmarkStart w:id="1061" w:name="Tc_SDu_3ifIp0ioRbtDaN6kjA_14_9"/>
      <w:bookmarkStart w:id="1062" w:name="Tc_PugeWbpF-EyMu54QJt950g_14_4"/>
      <w:bookmarkStart w:id="1063" w:name="Tc_tS3GU7gAFU-Uofwc34yZ1A_14_0"/>
      <w:bookmarkStart w:id="1064" w:name="Tc_4Tm0ds3sRkmubONYo6bcag_13_9"/>
      <w:bookmarkStart w:id="1065" w:name="Tc_K1fmIk2yVEqXVUXZMdJBow_13_4"/>
      <w:bookmarkStart w:id="1066" w:name="Tc_AgYfvQgEG0y7tUNqcjtKew_13_0"/>
      <w:bookmarkStart w:id="1067" w:name="Tc_xMAJsVyoxUmAMxvIgHmeBA_11_9"/>
      <w:bookmarkStart w:id="1068" w:name="Tc_ZfbVaSEfM0qaCep0BaUs3Q_11_4"/>
      <w:bookmarkStart w:id="1069" w:name="Tc_Enbca-xTQEuc-3gH2NZvGw_11_0"/>
      <w:bookmarkStart w:id="1070" w:name="Tc_i3Bm-8wNTU2MM35idhsOgA_10_10"/>
      <w:bookmarkStart w:id="1071" w:name="Tc_BYuQ8qSrjkOWHmavC8R69w_10_7"/>
      <w:bookmarkStart w:id="1072" w:name="Tc_1EuM_GDL6U-dH_z6-Iv8LA_10_0"/>
      <w:bookmarkStart w:id="1073" w:name="Tc_pka7MHVoQUyPhkLAwduPiQ_9_10"/>
      <w:bookmarkStart w:id="1074" w:name="Tc_zBdDaieu1UyRRmwboRizEQ_9_7"/>
      <w:bookmarkStart w:id="1075" w:name="Tc_hFHNGpHu50m9VszkEyB_uw_9_0"/>
      <w:bookmarkStart w:id="1076" w:name="Tc_UzqFNSYlV0axfB9tnfY2mQ_8_10"/>
      <w:bookmarkStart w:id="1077" w:name="Tc_mtm1HPVLAUawDEkwCKpBPg_8_7"/>
      <w:bookmarkStart w:id="1078" w:name="Tc_bcD-Yxb2UUK9uxtpXubnag_8_0"/>
      <w:bookmarkStart w:id="1079" w:name="Tc_FYZeeenaR0eT98tDFS8C_A_7_9"/>
      <w:bookmarkStart w:id="1080" w:name="Tc_QITSXjL2xE-A28GXjfePXw_7_4"/>
      <w:bookmarkStart w:id="1081" w:name="Tc_b3fxj38B-0yAwgy5ZpiSyw_7_0"/>
      <w:bookmarkStart w:id="1082" w:name="Tc_pKAkGx4qX0y24UrIkaZy5A_6_9"/>
      <w:bookmarkStart w:id="1083" w:name="Tc_juhyeSChUkqfyppiPSJlNA_6_7"/>
      <w:bookmarkStart w:id="1084" w:name="Tc_OkZpBZDlQE-dbuMBEsf8pw_5_9"/>
      <w:bookmarkStart w:id="1085" w:name="Tc__ll5NEncj0WeoxldbeIfPg_5_7"/>
      <w:bookmarkStart w:id="1086" w:name="Tc_d8m47I92ZkKVh6lkaAwRFQ_5_4"/>
      <w:bookmarkStart w:id="1087" w:name="Tc_8pvqh4wRoEajaVlx8p9gLg_5_2"/>
      <w:bookmarkStart w:id="1088" w:name="Tc_jrXQW8duGUGQjkmVyq05JQ_4_9"/>
      <w:bookmarkStart w:id="1089" w:name="Tc_03y6hDu2002Bw_PXuxSwPA_4_7"/>
      <w:bookmarkStart w:id="1090" w:name="Tc_KRlU3AXh2kivv-bgCKtqYQ_4_4"/>
      <w:bookmarkStart w:id="1091" w:name="Tc_t_iBmWNXc0C7uhRYG7QkLg_4_2"/>
      <w:bookmarkStart w:id="1092" w:name="Tc_KESCW36rsEOUT4N6E8JTng_3_7"/>
      <w:bookmarkStart w:id="1093" w:name="Tc_olWlrXPDjEOSgf2wasLqZw_3_4"/>
      <w:bookmarkStart w:id="1094" w:name="Tc_nd1FW-K6LUC0VWJ2EMzA3w_2_7"/>
      <w:bookmarkStart w:id="1095" w:name="Tc_-PWe8K3VOE2vu_dv9Z1nfA_2_4"/>
      <w:bookmarkStart w:id="1096" w:name="Tc_sZ2jRWg_XUCGZrDjWdwNyg_1_7"/>
      <w:bookmarkStart w:id="1097" w:name="_8efd0b67_9aaa_4f44_a65b_9bde41646e1e"/>
      <w:bookmarkStart w:id="1098" w:name="Tc_ZDnLDvoxVkutosh5mWVaXw_6_6"/>
      <w:bookmarkStart w:id="1099" w:name="Tc_6Gi7CQkjo0eHT_ytcx56wQ_6_3"/>
      <w:bookmarkStart w:id="1100" w:name="Tc_dlSVtyCe60-qJwT_I5Gv4Q_6_0"/>
      <w:bookmarkStart w:id="1101" w:name="Tc_7APpSimd-Uiy-2EpKKSGqg_5_0"/>
      <w:bookmarkStart w:id="1102" w:name="Tc_R44ESZzXgEqzOoOAKHO-EA_4_0"/>
      <w:bookmarkStart w:id="1103" w:name="Tc_xr7Hnu53QE-OX-VgZvpSUw_3_0"/>
      <w:bookmarkStart w:id="1104" w:name="Tc_Mqo0k4f3NkGEyRvnwLbCgg_2_5"/>
      <w:bookmarkStart w:id="1105" w:name="Tc_st0wVeIvekeKZiMvTVZc7w_2_2"/>
      <w:bookmarkStart w:id="1106" w:name="Tc_64JcQxHtzkSbrM3kmDLR-w_1_2"/>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rPr>
          <w:rFonts w:ascii="Arial;Helvetica;sans-serif" w:hAnsi="Arial;Helvetica;sans-serif"/>
          <w:i/>
          <w:sz w:val="20"/>
        </w:rPr>
        <w:t>Stock Option Valuation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spacing w:before="0" w:after="0"/>
        <w:ind w:left="0" w:right="0" w:hanging="0"/>
        <w:jc w:val="left"/>
        <w:rPr/>
      </w:pPr>
      <w:r>
        <w:rPr/>
        <w:t>​</w:t>
      </w:r>
    </w:p>
    <w:tbl>
      <w:tblPr>
        <w:tblW w:w="5470" w:type="dxa"/>
        <w:jc w:val="left"/>
        <w:tblInd w:w="0" w:type="dxa"/>
        <w:tblLayout w:type="fixed"/>
        <w:tblCellMar>
          <w:top w:w="0" w:type="dxa"/>
          <w:left w:w="0" w:type="dxa"/>
          <w:bottom w:w="0" w:type="dxa"/>
          <w:right w:w="0" w:type="dxa"/>
        </w:tblCellMar>
      </w:tblPr>
      <w:tblGrid>
        <w:gridCol w:w="2266"/>
        <w:gridCol w:w="326"/>
        <w:gridCol w:w="194"/>
        <w:gridCol w:w="1022"/>
        <w:gridCol w:w="435"/>
        <w:gridCol w:w="145"/>
        <w:gridCol w:w="1082"/>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38910" cy="175260"/>
                      <wp:effectExtent l="0" t="0" r="0" b="0"/>
                      <wp:wrapNone/>
                      <wp:docPr id="125" name="Frame12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3190" cy="175260"/>
                      <wp:effectExtent l="0" t="0" r="0" b="0"/>
                      <wp:wrapNone/>
                      <wp:docPr id="127" name="Frame12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970" cy="175260"/>
                      <wp:effectExtent l="0" t="0" r="0" b="0"/>
                      <wp:wrapNone/>
                      <wp:docPr id="128" name="Frame128"/>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76225" cy="175260"/>
                      <wp:effectExtent l="0" t="0" r="0" b="0"/>
                      <wp:wrapNone/>
                      <wp:docPr id="129" name="Frame129"/>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2075" cy="175260"/>
                      <wp:effectExtent l="0" t="0" r="0" b="0"/>
                      <wp:wrapNone/>
                      <wp:docPr id="130" name="Frame130"/>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87070" cy="175260"/>
                      <wp:effectExtent l="0" t="0" r="0" b="0"/>
                      <wp:wrapNone/>
                      <wp:docPr id="131" name="Frame131"/>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color w:val="231F20"/>
              </w:rPr>
            </w:pPr>
            <w:r>
              <w:rPr>
                <w:color w:val="231F20"/>
              </w:rPr>
              <w:t>​</w:t>
            </w:r>
          </w:p>
        </w:tc>
        <w:tc>
          <w:tcPr>
            <w:tcW w:w="2878"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Nine Months Ended September 30,</w:t>
            </w:r>
          </w:p>
        </w:tc>
      </w:tr>
      <w:tr>
        <w:trPr/>
        <w:tc>
          <w:tcPr>
            <w:tcW w:w="2266"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435"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2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Risk-free interest rate</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94"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2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3.56%</w:t>
            </w:r>
          </w:p>
        </w:tc>
        <w:tc>
          <w:tcPr>
            <w:tcW w:w="435"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4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8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1.89%</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Expected term (in years)</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94" w:type="dxa"/>
            <w:tcBorders/>
            <w:vAlign w:val="center"/>
          </w:tcPr>
          <w:p>
            <w:pPr>
              <w:pStyle w:val="TableContents"/>
              <w:bidi w:val="0"/>
              <w:spacing w:before="0" w:after="1"/>
              <w:ind w:left="0" w:right="0" w:hanging="0"/>
              <w:jc w:val="left"/>
              <w:rPr>
                <w:color w:val="231F20"/>
              </w:rPr>
            </w:pPr>
            <w:r>
              <w:rPr>
                <w:color w:val="231F20"/>
              </w:rPr>
              <w:t>​</w:t>
            </w:r>
          </w:p>
        </w:tc>
        <w:tc>
          <w:tcPr>
            <w:tcW w:w="1022"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6.03</w:t>
            </w:r>
          </w:p>
        </w:tc>
        <w:tc>
          <w:tcPr>
            <w:tcW w:w="435" w:type="dxa"/>
            <w:tcBorders/>
            <w:vAlign w:val="center"/>
          </w:tcPr>
          <w:p>
            <w:pPr>
              <w:pStyle w:val="TableContents"/>
              <w:bidi w:val="0"/>
              <w:spacing w:before="0" w:after="1"/>
              <w:ind w:left="0" w:right="0" w:hanging="0"/>
              <w:jc w:val="center"/>
              <w:rPr>
                <w:color w:val="231F20"/>
              </w:rPr>
            </w:pPr>
            <w:r>
              <w:rPr>
                <w:color w:val="231F20"/>
              </w:rPr>
              <w:t>​</w:t>
            </w:r>
          </w:p>
        </w:tc>
        <w:tc>
          <w:tcPr>
            <w:tcW w:w="145" w:type="dxa"/>
            <w:tcBorders/>
            <w:vAlign w:val="center"/>
          </w:tcPr>
          <w:p>
            <w:pPr>
              <w:pStyle w:val="TableContents"/>
              <w:bidi w:val="0"/>
              <w:spacing w:before="0" w:after="1"/>
              <w:ind w:left="0" w:right="0" w:hanging="0"/>
              <w:jc w:val="left"/>
              <w:rPr>
                <w:color w:val="231F20"/>
              </w:rPr>
            </w:pPr>
            <w:r>
              <w:rPr>
                <w:color w:val="231F20"/>
              </w:rPr>
              <w:t>​</w:t>
            </w:r>
          </w:p>
        </w:tc>
        <w:tc>
          <w:tcPr>
            <w:tcW w:w="1082"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6.03</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Expected volatility</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94"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2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86.71%</w:t>
            </w:r>
          </w:p>
        </w:tc>
        <w:tc>
          <w:tcPr>
            <w:tcW w:w="435"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4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8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79.55%</w:t>
            </w:r>
          </w:p>
        </w:tc>
      </w:tr>
      <w:tr>
        <w:trPr/>
        <w:tc>
          <w:tcPr>
            <w:tcW w:w="2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Expected dividend yield</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022"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435" w:type="dxa"/>
            <w:tcBorders>
              <w:bottom w:val="double" w:sz="6"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45"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82" w:type="dxa"/>
            <w:tcBorders>
              <w:bottom w:val="double" w:sz="6" w:space="0" w:color="000000"/>
            </w:tcBorders>
            <w:tcMar>
              <w:bottom w:w="28" w:type="dxa"/>
            </w:tcMar>
            <w:vAlign w:val="center"/>
          </w:tcPr>
          <w:p>
            <w:pPr>
              <w:pStyle w:val="TableContents"/>
              <w:bidi w:val="0"/>
              <w:spacing w:before="0" w:after="1"/>
              <w:ind w:left="0" w:right="60" w:hanging="0"/>
              <w:jc w:val="right"/>
              <w:rPr>
                <w:color w:val="231F20"/>
              </w:rPr>
            </w:pPr>
            <w:r>
              <w:rPr>
                <w:color w:val="231F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 Option Activity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the stock option activity under the 2014 Plan, the 2020 Plan and the 2022 Inducement Plan: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14"/>
        <w:gridCol w:w="326"/>
        <w:gridCol w:w="1070"/>
        <w:gridCol w:w="326"/>
        <w:gridCol w:w="261"/>
        <w:gridCol w:w="595"/>
        <w:gridCol w:w="326"/>
        <w:gridCol w:w="1036"/>
        <w:gridCol w:w="326"/>
        <w:gridCol w:w="283"/>
        <w:gridCol w:w="1042"/>
      </w:tblGrid>
      <w:tr>
        <w:trPr/>
        <w:tc>
          <w:tcPr>
            <w:tcW w:w="4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929890" cy="175260"/>
                      <wp:effectExtent l="0" t="0" r="0" b="0"/>
                      <wp:wrapNone/>
                      <wp:docPr id="132" name="Frame132"/>
                      <a:graphic xmlns:a="http://schemas.openxmlformats.org/drawingml/2006/main">
                        <a:graphicData uri="http://schemas.microsoft.com/office/word/2010/wordprocessingShape">
                          <wps:wsp>
                            <wps:cNvSpPr txBox="1"/>
                            <wps:spPr>
                              <a:xfrm>
                                <a:off x="0" y="0"/>
                                <a:ext cx="292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79450" cy="175260"/>
                      <wp:effectExtent l="0" t="0" r="0" b="0"/>
                      <wp:wrapNone/>
                      <wp:docPr id="134" name="Frame134"/>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5735" cy="175260"/>
                      <wp:effectExtent l="0" t="0" r="0" b="0"/>
                      <wp:wrapNone/>
                      <wp:docPr id="136" name="Frame13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77825" cy="175260"/>
                      <wp:effectExtent l="0" t="0" r="0" b="0"/>
                      <wp:wrapNone/>
                      <wp:docPr id="137" name="Frame137"/>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7860" cy="175260"/>
                      <wp:effectExtent l="0" t="0" r="0" b="0"/>
                      <wp:wrapNone/>
                      <wp:docPr id="139" name="Frame1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9705" cy="175260"/>
                      <wp:effectExtent l="0" t="0" r="0" b="0"/>
                      <wp:wrapNone/>
                      <wp:docPr id="141" name="Frame141"/>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1670" cy="175260"/>
                      <wp:effectExtent l="0" t="0" r="0" b="0"/>
                      <wp:wrapNone/>
                      <wp:docPr id="142" name="Frame142"/>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14"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70"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6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595"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03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83"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042"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4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1042" w:type="dxa"/>
            <w:tcBorders/>
            <w:vAlign w:val="center"/>
          </w:tcPr>
          <w:p>
            <w:pPr>
              <w:pStyle w:val="TableContents"/>
              <w:bidi w:val="0"/>
              <w:spacing w:before="0" w:after="1"/>
              <w:ind w:left="0" w:right="0" w:hanging="0"/>
              <w:jc w:val="center"/>
              <w:rPr/>
            </w:pPr>
            <w:r>
              <w:rPr/>
              <w:t>​</w:t>
            </w:r>
          </w:p>
        </w:tc>
      </w:tr>
      <w:tr>
        <w:trPr/>
        <w:tc>
          <w:tcPr>
            <w:tcW w:w="4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1042" w:type="dxa"/>
            <w:tcBorders/>
            <w:vAlign w:val="center"/>
          </w:tcPr>
          <w:p>
            <w:pPr>
              <w:pStyle w:val="TableContents"/>
              <w:bidi w:val="0"/>
              <w:spacing w:before="0" w:after="1"/>
              <w:ind w:left="0" w:right="0" w:hanging="0"/>
              <w:jc w:val="center"/>
              <w:rPr/>
            </w:pPr>
            <w:r>
              <w:rPr/>
              <w:t>​</w:t>
            </w:r>
          </w:p>
        </w:tc>
      </w:tr>
      <w:tr>
        <w:trPr/>
        <w:tc>
          <w:tcPr>
            <w:tcW w:w="4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132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4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 Value</w:t>
            </w:r>
          </w:p>
        </w:tc>
      </w:tr>
      <w:tr>
        <w:trPr/>
        <w:tc>
          <w:tcPr>
            <w:tcW w:w="4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56" w:type="dxa"/>
            <w:gridSpan w:val="2"/>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years)</w:t>
            </w:r>
          </w:p>
        </w:tc>
        <w:tc>
          <w:tcPr>
            <w:tcW w:w="326" w:type="dxa"/>
            <w:tcBorders/>
            <w:vAlign w:val="center"/>
          </w:tcPr>
          <w:p>
            <w:pPr>
              <w:pStyle w:val="TableContents"/>
              <w:bidi w:val="0"/>
              <w:spacing w:before="0" w:after="1"/>
              <w:ind w:left="0" w:right="0" w:hanging="0"/>
              <w:jc w:val="right"/>
              <w:rPr/>
            </w:pPr>
            <w:r>
              <w:rPr/>
              <w:t>​</w:t>
            </w:r>
          </w:p>
        </w:tc>
        <w:tc>
          <w:tcPr>
            <w:tcW w:w="1325"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6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as of December 31, 2022</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8,384,858</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8.59</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w:t>
            </w:r>
          </w:p>
        </w:tc>
      </w:tr>
      <w:tr>
        <w:trPr/>
        <w:tc>
          <w:tcPr>
            <w:tcW w:w="461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2,361,118</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5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right"/>
              <w:rPr/>
            </w:pPr>
            <w:r>
              <w:rPr/>
              <w:t>​</w:t>
            </w:r>
          </w:p>
        </w:tc>
        <w:tc>
          <w:tcPr>
            <w:tcW w:w="1042" w:type="dxa"/>
            <w:tcBorders/>
            <w:vAlign w:val="center"/>
          </w:tcPr>
          <w:p>
            <w:pPr>
              <w:pStyle w:val="TableContents"/>
              <w:bidi w:val="0"/>
              <w:spacing w:before="0" w:after="1"/>
              <w:ind w:left="0" w:right="0" w:hanging="0"/>
              <w:jc w:val="right"/>
              <w:rPr/>
            </w:pPr>
            <w:r>
              <w:rPr/>
              <w:t>—</w:t>
            </w:r>
          </w:p>
        </w:tc>
      </w:tr>
      <w:tr>
        <w:trPr/>
        <w:tc>
          <w:tcPr>
            <w:tcW w:w="46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Exercised(1)</w:t>
            </w:r>
          </w:p>
        </w:tc>
        <w:tc>
          <w:tcPr>
            <w:tcW w:w="326"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(705,347)</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right"/>
              <w:rPr/>
            </w:pPr>
            <w:r>
              <w:rPr/>
              <w:t>​</w:t>
            </w:r>
          </w:p>
        </w:tc>
        <w:tc>
          <w:tcPr>
            <w:tcW w:w="5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right"/>
              <w:rPr/>
            </w:pPr>
            <w:r>
              <w:rPr/>
              <w:t>​</w:t>
            </w:r>
          </w:p>
        </w:tc>
        <w:tc>
          <w:tcPr>
            <w:tcW w:w="1042" w:type="dxa"/>
            <w:tcBorders/>
            <w:shd w:fill="CCEEFF" w:val="clear"/>
            <w:vAlign w:val="center"/>
          </w:tcPr>
          <w:p>
            <w:pPr>
              <w:pStyle w:val="TableContents"/>
              <w:bidi w:val="0"/>
              <w:spacing w:before="0" w:after="1"/>
              <w:ind w:left="0" w:right="0" w:hanging="0"/>
              <w:jc w:val="right"/>
              <w:rPr/>
            </w:pPr>
            <w:r>
              <w:rPr/>
              <w:t>—</w:t>
            </w:r>
          </w:p>
        </w:tc>
      </w:tr>
      <w:tr>
        <w:trPr/>
        <w:tc>
          <w:tcPr>
            <w:tcW w:w="461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1"/>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(1,064,318)</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6.97</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as of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8,976,311</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8.28</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53,940</w:t>
            </w:r>
          </w:p>
        </w:tc>
      </w:tr>
      <w:tr>
        <w:trPr/>
        <w:tc>
          <w:tcPr>
            <w:tcW w:w="4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5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right"/>
              <w:rPr/>
            </w:pPr>
            <w:r>
              <w:rPr/>
              <w:t>​</w:t>
            </w:r>
          </w:p>
        </w:tc>
        <w:tc>
          <w:tcPr>
            <w:tcW w:w="1042" w:type="dxa"/>
            <w:tcBorders/>
            <w:vAlign w:val="center"/>
          </w:tcPr>
          <w:p>
            <w:pPr>
              <w:pStyle w:val="TableContents"/>
              <w:bidi w:val="0"/>
              <w:spacing w:before="0" w:after="1"/>
              <w:ind w:left="0" w:right="0" w:hanging="0"/>
              <w:jc w:val="right"/>
              <w:rPr/>
            </w:pPr>
            <w:r>
              <w:rPr/>
              <w:t>​</w:t>
            </w:r>
          </w:p>
        </w:tc>
      </w:tr>
      <w:tr>
        <w:trPr/>
        <w:tc>
          <w:tcPr>
            <w:tcW w:w="46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Options vested and exercisable as of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4,343,726</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9.91</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7.34</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23,679</w:t>
            </w:r>
          </w:p>
        </w:tc>
      </w:tr>
      <w:tr>
        <w:trPr/>
        <w:tc>
          <w:tcPr>
            <w:tcW w:w="46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Options expected to vest as of September 30, 2023</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4,632,585</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6.75</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8.52</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42"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30,106</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(1)</w:t>
            </w:r>
          </w:p>
        </w:tc>
        <w:tc>
          <w:tcPr>
            <w:tcW w:w="98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Exercised amount includes vesting of early-exercised options and shares returned for taxes withheld for exercise and net transactions.</w:t>
            </w:r>
          </w:p>
        </w:tc>
      </w:tr>
    </w:tbl>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Early Exercise of Stock Options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bookmarkStart w:id="1107" w:name="Tc_IXywHScHwEG6TzpMCfjd4w_6_5"/>
      <w:bookmarkStart w:id="1108" w:name="Tc_ZksAf4MYWUyk6i5nUtMTwA_6_0"/>
      <w:bookmarkStart w:id="1109" w:name="Tc_cWlmilFgMEWHvMMBZZHUTw_5_6"/>
      <w:bookmarkStart w:id="1110" w:name="Tc_aE2dzTzdOk2ukMAj5PcWhw_5_3"/>
      <w:bookmarkStart w:id="1111" w:name="Tc_GUc25Ewl40O02wWzJTsZAw_5_0"/>
      <w:bookmarkStart w:id="1112" w:name="Tc_t6sp5EwG40eV9cgbTyW8eg_4_0"/>
      <w:bookmarkStart w:id="1113" w:name="Tc_RAkm3xK0702VO2NCaj2ubQ_3_6"/>
      <w:bookmarkStart w:id="1114" w:name="Tc_d-F5G-44pk2G2LE2FKFxwA_3_3"/>
      <w:bookmarkStart w:id="1115" w:name="Tc_wOAy2hBTSUafwjp76ugIFQ_3_0"/>
      <w:bookmarkStart w:id="1116" w:name="Tc_a0xHW7cRQ0Kf8tU75LTa8g_2_5"/>
      <w:bookmarkStart w:id="1117" w:name="Tc_VBPME9DYIEy3hBZtIMQlIA_2_0"/>
      <w:bookmarkStart w:id="1118" w:name="Tc_Yg4wYJZ8GE6OxC7rS797zw_1_5"/>
      <w:bookmarkStart w:id="1119" w:name="Tc_CJC5mjCo90qOJtz4OpGtVA_1_3"/>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Arial;Helvetica;sans-serif" w:hAnsi="Arial;Helvetica;sans-serif"/>
          <w:sz w:val="20"/>
        </w:rPr>
        <w:t>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All early exercised options are vested as of September 30,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Restricted Stock Awards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the restricted stock activity under the 2014 Plan during the nine months ended September 30, 2023:</w:t>
      </w:r>
    </w:p>
    <w:p>
      <w:pPr>
        <w:pStyle w:val="TextBody"/>
        <w:bidi w:val="0"/>
        <w:spacing w:before="0" w:after="0"/>
        <w:ind w:left="0" w:right="0" w:hanging="0"/>
        <w:jc w:val="left"/>
        <w:rPr/>
      </w:pPr>
      <w:r>
        <w:rPr/>
        <w:t>​</w:t>
      </w:r>
    </w:p>
    <w:tbl>
      <w:tblPr>
        <w:tblW w:w="8788" w:type="dxa"/>
        <w:jc w:val="left"/>
        <w:tblInd w:w="0" w:type="dxa"/>
        <w:tblLayout w:type="fixed"/>
        <w:tblCellMar>
          <w:top w:w="0" w:type="dxa"/>
          <w:left w:w="0" w:type="dxa"/>
          <w:bottom w:w="0" w:type="dxa"/>
          <w:right w:w="0" w:type="dxa"/>
        </w:tblCellMar>
      </w:tblPr>
      <w:tblGrid>
        <w:gridCol w:w="4666"/>
        <w:gridCol w:w="326"/>
        <w:gridCol w:w="109"/>
        <w:gridCol w:w="1531"/>
        <w:gridCol w:w="326"/>
        <w:gridCol w:w="484"/>
        <w:gridCol w:w="134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962910" cy="175260"/>
                      <wp:effectExtent l="0" t="0" r="0" b="0"/>
                      <wp:wrapNone/>
                      <wp:docPr id="143" name="Frame143"/>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72185" cy="175260"/>
                      <wp:effectExtent l="0" t="0" r="0" b="0"/>
                      <wp:wrapNone/>
                      <wp:docPr id="146" name="Frame14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07340" cy="175260"/>
                      <wp:effectExtent l="0" t="0" r="0" b="0"/>
                      <wp:wrapNone/>
                      <wp:docPr id="148" name="Frame14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54710" cy="175260"/>
                      <wp:effectExtent l="0" t="0" r="0" b="0"/>
                      <wp:wrapNone/>
                      <wp:docPr id="149" name="Frame149"/>
                      <a:graphic xmlns:a="http://schemas.openxmlformats.org/drawingml/2006/main">
                        <a:graphicData uri="http://schemas.microsoft.com/office/word/2010/wordprocessingShape">
                          <wps:wsp>
                            <wps:cNvSpPr txBox="1"/>
                            <wps:spPr>
                              <a:xfrm>
                                <a:off x="0" y="0"/>
                                <a:ext cx="85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center"/>
              <w:rPr>
                <w:color w:val="231F20"/>
              </w:rPr>
            </w:pPr>
            <w:r>
              <w:rPr>
                <w:color w:val="231F20"/>
              </w:rPr>
              <w:t>​</w:t>
            </w:r>
          </w:p>
        </w:tc>
        <w:tc>
          <w:tcPr>
            <w:tcW w:w="153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 Shares</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color w:val="231F20"/>
              </w:rPr>
            </w:pPr>
            <w:r>
              <w:rPr>
                <w:color w:val="231F20"/>
              </w:rPr>
              <w:t>​</w:t>
            </w:r>
          </w:p>
        </w:tc>
        <w:tc>
          <w:tcPr>
            <w:tcW w:w="183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Fair Value</w:t>
            </w:r>
          </w:p>
        </w:tc>
      </w:tr>
      <w:tr>
        <w:trPr/>
        <w:tc>
          <w:tcPr>
            <w:tcW w:w="466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restricted stock as of December 31, 2022</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53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295,911</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48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34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2.40</w:t>
            </w:r>
          </w:p>
        </w:tc>
      </w:tr>
      <w:tr>
        <w:trPr/>
        <w:tc>
          <w:tcPr>
            <w:tcW w:w="466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Granted</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531"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484" w:type="dxa"/>
            <w:tcBorders/>
            <w:vAlign w:val="center"/>
          </w:tcPr>
          <w:p>
            <w:pPr>
              <w:pStyle w:val="TableContents"/>
              <w:bidi w:val="0"/>
              <w:spacing w:before="0" w:after="1"/>
              <w:ind w:left="0" w:right="0" w:hanging="0"/>
              <w:jc w:val="right"/>
              <w:rPr>
                <w:color w:val="231F20"/>
              </w:rPr>
            </w:pPr>
            <w:r>
              <w:rPr>
                <w:color w:val="231F20"/>
              </w:rPr>
              <w:t>​</w:t>
            </w:r>
          </w:p>
        </w:tc>
        <w:tc>
          <w:tcPr>
            <w:tcW w:w="1346" w:type="dxa"/>
            <w:tcBorders/>
            <w:vAlign w:val="center"/>
          </w:tcPr>
          <w:p>
            <w:pPr>
              <w:pStyle w:val="TableContents"/>
              <w:bidi w:val="0"/>
              <w:spacing w:before="0" w:after="1"/>
              <w:ind w:left="0" w:right="0" w:hanging="0"/>
              <w:jc w:val="right"/>
              <w:rPr>
                <w:color w:val="231F20"/>
              </w:rPr>
            </w:pPr>
            <w:r>
              <w:rPr>
                <w:color w:val="231F20"/>
              </w:rPr>
              <w:t>—</w:t>
            </w:r>
          </w:p>
        </w:tc>
      </w:tr>
      <w:tr>
        <w:trPr/>
        <w:tc>
          <w:tcPr>
            <w:tcW w:w="466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Vested</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53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(147,955)</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484"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34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2.40</w:t>
            </w:r>
          </w:p>
        </w:tc>
      </w:tr>
      <w:tr>
        <w:trPr/>
        <w:tc>
          <w:tcPr>
            <w:tcW w:w="466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Forfeited</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531"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bottom w:val="single" w:sz="2" w:space="0" w:color="231F2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484"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346"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r>
      <w:tr>
        <w:trPr/>
        <w:tc>
          <w:tcPr>
            <w:tcW w:w="46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restricted stock as of September 30, 2023</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147,956</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3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2.40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Performance-Based Restricted Stock Unit Awards</w:t>
      </w:r>
    </w:p>
    <w:p>
      <w:pPr>
        <w:pStyle w:val="TextBody"/>
        <w:bidi w:val="0"/>
        <w:spacing w:before="24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In November 2022, the Company granted to certain employees 710,000</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of each PSU vests upon certification by the Compensation Committee of the Company of achieving a pre-determined performance goal by June 30, 2024, and 35%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 xml:space="preserve">of each PSU vests upon certification by the Compensation Committee of the Company of achieving a pre-determined performance goal by June 30, 2024. </w:t>
      </w:r>
    </w:p>
    <w:p>
      <w:pPr>
        <w:pStyle w:val="TextBody"/>
        <w:bidi w:val="0"/>
        <w:spacing w:before="24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Expense recognition for PSUs commences when it is determined that attainment of the performance goal is met. As of September 30, 2023, the performance goals were not yet met, and therefore, the Company recorded zero</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stock-based compensation expense related to the PSUs for the three and nine months ended September 30, 2023.</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2020 Employee Stock Purchase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A total of 430,416 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 shares of common stock, or (iii) a lesser number of shares determined by the Company’s Board of Directors no later than December 31 of the preceding calendar year.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and $0.3 million for the three and nine months ended September 30, 2023, respectively.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bookmarkStart w:id="1120" w:name="Tc_5YZqb-mmHESk3eu8EzabQw_5_11"/>
      <w:bookmarkStart w:id="1121" w:name="Tc_xiVJHiHMNU2-2fg7xe3LMA_5_8"/>
      <w:bookmarkStart w:id="1122" w:name="Tc_sWPT7gyuj0CLzftmD8PEtw_5_5"/>
      <w:bookmarkStart w:id="1123" w:name="Tc_Nx00jKL6eECChq6_trF2nw_5_2"/>
      <w:bookmarkStart w:id="1124" w:name="Tc_rc3w3nWyo0-_kaIXdp167g_5_0"/>
      <w:bookmarkStart w:id="1125" w:name="Tc_wvIfcbCUUEuM8PhSJpTi2Q_4_0"/>
      <w:bookmarkStart w:id="1126" w:name="Tc_0bZFN1ckC0mvW0r_5-xR_w_3_11"/>
      <w:bookmarkStart w:id="1127" w:name="Tc_G_vuQ-7ryE6vCG71IUd_zw_3_8"/>
      <w:bookmarkStart w:id="1128" w:name="Tc_ym9doREBo0CYZKO59--g3Q_3_5"/>
      <w:bookmarkStart w:id="1129" w:name="Tc_z2vKEEoO1kyYNx78HxVaoA_3_2"/>
      <w:bookmarkStart w:id="1130" w:name="Tc_7PwSCgYJtEOtfFlGWvKqcQ_3_0"/>
      <w:bookmarkStart w:id="1131" w:name="Tc_w3idazXGpUiIanw5qBN9PQ_2_11"/>
      <w:bookmarkStart w:id="1132" w:name="Tc_JBhnQLOMOUeFMBdwg-OtBA_2_8"/>
      <w:bookmarkStart w:id="1133" w:name="Tc_Xh9AQAgvbEyh6c-rerFj_w_2_5"/>
      <w:bookmarkStart w:id="1134" w:name="Tc_8YfHpEmtTESQPgZ9rCsrjg_2_2"/>
      <w:bookmarkStart w:id="1135" w:name="Tc_xHZ3jcxs6EuhD5sVgNDdjQ_1_8"/>
      <w:bookmarkStart w:id="1136" w:name="Tc_uJL5pGtm_0226T9h6Wnn6Q_1_2"/>
      <w:bookmarkStart w:id="1137" w:name="_7696fed0_bf15_4ed1_89cd_9ba4b1765fad"/>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Fonts w:ascii="Arial;Helvetica;sans-serif" w:hAnsi="Arial;Helvetica;sans-serif"/>
          <w:i/>
          <w:sz w:val="20"/>
        </w:rPr>
        <w:t>Stock-Based Compensation Expense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Stock-based compensation expense related to awards granted under the 2014 Plan, the 2020 Plan, the ESPP and the 2022 Inducement Plan was classified in the condensed consolidated statements of operations and comprehensive loss as follows (in thousands):</w:t>
      </w:r>
    </w:p>
    <w:tbl>
      <w:tblPr>
        <w:tblW w:w="9035" w:type="dxa"/>
        <w:jc w:val="left"/>
        <w:tblInd w:w="0" w:type="dxa"/>
        <w:tblLayout w:type="fixed"/>
        <w:tblCellMar>
          <w:top w:w="0" w:type="dxa"/>
          <w:left w:w="0" w:type="dxa"/>
          <w:bottom w:w="0" w:type="dxa"/>
          <w:right w:w="0" w:type="dxa"/>
        </w:tblCellMar>
      </w:tblPr>
      <w:tblGrid>
        <w:gridCol w:w="2491"/>
        <w:gridCol w:w="326"/>
        <w:gridCol w:w="326"/>
        <w:gridCol w:w="906"/>
        <w:gridCol w:w="504"/>
        <w:gridCol w:w="326"/>
        <w:gridCol w:w="906"/>
        <w:gridCol w:w="326"/>
        <w:gridCol w:w="276"/>
        <w:gridCol w:w="904"/>
        <w:gridCol w:w="426"/>
        <w:gridCol w:w="276"/>
        <w:gridCol w:w="1042"/>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81785" cy="175260"/>
                      <wp:effectExtent l="0" t="0" r="0" b="0"/>
                      <wp:wrapNone/>
                      <wp:docPr id="150" name="Frame15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5310" cy="175260"/>
                      <wp:effectExtent l="0" t="0" r="0" b="0"/>
                      <wp:wrapNone/>
                      <wp:docPr id="153" name="Frame1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20040" cy="175260"/>
                      <wp:effectExtent l="0" t="0" r="0" b="0"/>
                      <wp:wrapNone/>
                      <wp:docPr id="154" name="Frame154"/>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5310" cy="175260"/>
                      <wp:effectExtent l="0" t="0" r="0" b="0"/>
                      <wp:wrapNone/>
                      <wp:docPr id="156" name="Frame15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75260" cy="175260"/>
                      <wp:effectExtent l="0" t="0" r="0" b="0"/>
                      <wp:wrapNone/>
                      <wp:docPr id="158" name="Frame158"/>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74040" cy="175260"/>
                      <wp:effectExtent l="0" t="0" r="0" b="0"/>
                      <wp:wrapNone/>
                      <wp:docPr id="159" name="Frame15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70510" cy="175260"/>
                      <wp:effectExtent l="0" t="0" r="0" b="0"/>
                      <wp:wrapNone/>
                      <wp:docPr id="160" name="Frame160"/>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75260" cy="175260"/>
                      <wp:effectExtent l="0" t="0" r="0" b="0"/>
                      <wp:wrapNone/>
                      <wp:docPr id="161" name="Frame161"/>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61670" cy="175260"/>
                      <wp:effectExtent l="0" t="0" r="0" b="0"/>
                      <wp:wrapNone/>
                      <wp:docPr id="162" name="Frame162"/>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968"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924"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r>
      <w:tr>
        <w:trPr/>
        <w:tc>
          <w:tcPr>
            <w:tcW w:w="2491"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1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426"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3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Research and development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32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0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2,801</w:t>
            </w:r>
          </w:p>
        </w:tc>
        <w:tc>
          <w:tcPr>
            <w:tcW w:w="504"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32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0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2,812</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7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04"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8,858</w:t>
            </w:r>
          </w:p>
        </w:tc>
        <w:tc>
          <w:tcPr>
            <w:tcW w:w="426" w:type="dxa"/>
            <w:tcBorders/>
            <w:shd w:fill="CCEEFF" w:val="clear"/>
            <w:vAlign w:val="center"/>
          </w:tcPr>
          <w:p>
            <w:pPr>
              <w:pStyle w:val="TableContents"/>
              <w:bidi w:val="0"/>
              <w:spacing w:before="0" w:after="1"/>
              <w:ind w:left="0" w:right="0" w:hanging="0"/>
              <w:jc w:val="center"/>
              <w:rPr>
                <w:color w:val="231F20"/>
              </w:rPr>
            </w:pPr>
            <w:r>
              <w:rPr>
                <w:color w:val="231F20"/>
              </w:rPr>
              <w:t>    </w:t>
            </w:r>
          </w:p>
        </w:tc>
        <w:tc>
          <w:tcPr>
            <w:tcW w:w="276"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42"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9,088</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General and administrative</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231F20"/>
            </w:tcBorders>
            <w:tcMar>
              <w:bottom w:w="28" w:type="dxa"/>
            </w:tcMar>
            <w:vAlign w:val="center"/>
          </w:tcPr>
          <w:p>
            <w:pPr>
              <w:pStyle w:val="TableContents"/>
              <w:bidi w:val="0"/>
              <w:spacing w:before="0" w:after="1"/>
              <w:ind w:left="0" w:right="0" w:hanging="0"/>
              <w:jc w:val="right"/>
              <w:rPr/>
            </w:pPr>
            <w:r>
              <w:rPr/>
              <w:t> </w:t>
            </w:r>
          </w:p>
        </w:tc>
        <w:tc>
          <w:tcPr>
            <w:tcW w:w="906"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1,304</w:t>
            </w:r>
          </w:p>
        </w:tc>
        <w:tc>
          <w:tcPr>
            <w:tcW w:w="504" w:type="dxa"/>
            <w:tcBorders>
              <w:bottom w:val="single" w:sz="2" w:space="0" w:color="231F2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906"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1,463</w:t>
            </w:r>
          </w:p>
        </w:tc>
        <w:tc>
          <w:tcPr>
            <w:tcW w:w="326" w:type="dxa"/>
            <w:tcBorders/>
            <w:vAlign w:val="center"/>
          </w:tcPr>
          <w:p>
            <w:pPr>
              <w:pStyle w:val="TableContents"/>
              <w:bidi w:val="0"/>
              <w:spacing w:before="0" w:after="1"/>
              <w:ind w:left="0" w:right="0" w:hanging="0"/>
              <w:jc w:val="left"/>
              <w:rPr/>
            </w:pPr>
            <w:r>
              <w:rPr/>
              <w:t> </w:t>
            </w:r>
          </w:p>
        </w:tc>
        <w:tc>
          <w:tcPr>
            <w:tcW w:w="276" w:type="dxa"/>
            <w:tcBorders>
              <w:bottom w:val="single" w:sz="2" w:space="0" w:color="231F20"/>
            </w:tcBorders>
            <w:tcMar>
              <w:bottom w:w="28" w:type="dxa"/>
            </w:tcMar>
            <w:vAlign w:val="center"/>
          </w:tcPr>
          <w:p>
            <w:pPr>
              <w:pStyle w:val="TableContents"/>
              <w:bidi w:val="0"/>
              <w:spacing w:before="0" w:after="1"/>
              <w:ind w:left="0" w:right="0" w:hanging="0"/>
              <w:jc w:val="right"/>
              <w:rPr/>
            </w:pPr>
            <w:r>
              <w:rPr/>
              <w:t> </w:t>
            </w:r>
          </w:p>
        </w:tc>
        <w:tc>
          <w:tcPr>
            <w:tcW w:w="904"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4,047</w:t>
            </w:r>
          </w:p>
        </w:tc>
        <w:tc>
          <w:tcPr>
            <w:tcW w:w="426" w:type="dxa"/>
            <w:tcBorders>
              <w:bottom w:val="single" w:sz="2" w:space="0" w:color="231F2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276" w:type="dxa"/>
            <w:tcBorders>
              <w:bottom w:val="single" w:sz="2" w:space="0" w:color="231F2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1042" w:type="dxa"/>
            <w:tcBorders>
              <w:bottom w:val="single" w:sz="2" w:space="0" w:color="231F2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4,880</w:t>
            </w:r>
          </w:p>
        </w:tc>
      </w:tr>
      <w:tr>
        <w:trPr/>
        <w:tc>
          <w:tcPr>
            <w:tcW w:w="24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4,105</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4,275</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12,905</w:t>
            </w:r>
          </w:p>
        </w:tc>
        <w:tc>
          <w:tcPr>
            <w:tcW w:w="4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color w:val="231F20"/>
                <w:sz w:val="20"/>
              </w:rPr>
            </w:pPr>
            <w:r>
              <w:rPr>
                <w:rFonts w:ascii="Arial;Helvetica;sans-serif" w:hAnsi="Arial;Helvetica;sans-serif"/>
                <w:color w:val="231F20"/>
                <w:sz w:val="20"/>
              </w:rPr>
              <w:t>13,968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38" w:name="Tc_dDPsP2IAWEqD3f_UqOb-5Q_6_0"/>
      <w:bookmarkStart w:id="1139" w:name="Tc_mLLE4g0FKkaA8Kd-cBhbIA_5_0"/>
      <w:bookmarkStart w:id="1140" w:name="Tc_5v3meMh0bkGnx5NNNB213w_4_6"/>
      <w:bookmarkStart w:id="1141" w:name="Tc_qP86puAH7kmIxXb5iO3DmA_4_0"/>
      <w:bookmarkStart w:id="1142" w:name="Tc_IYAXQex8eU2R2nziFuOhrg_3_0"/>
      <w:bookmarkStart w:id="1143" w:name="Tc__EtSU2RdK0SuwHmGxY2Ohg_2_6"/>
      <w:bookmarkStart w:id="1144" w:name="Tc_2Byas5IAgUmPX_zXnoepyg_2_3"/>
      <w:bookmarkStart w:id="1145" w:name="Tc_dfwcebOf_02ONcVHi-a6Cg_1_3"/>
      <w:bookmarkStart w:id="1146" w:name="Tc_nphLst_5F0uzYCzWF7kBDA_7_11"/>
      <w:bookmarkStart w:id="1147" w:name="Tc_Hf81uKexJ0q8K_3BeRSx_g_7_8"/>
      <w:bookmarkStart w:id="1148" w:name="Tc_yCt3cHp7JEGRTbrS_e7mMA_7_5"/>
      <w:bookmarkStart w:id="1149" w:name="Tc_t-docEIqj0KdIZW2DxU2BQ_7_2"/>
      <w:bookmarkStart w:id="1150" w:name="Tc_tBeDlmlaJU2tD0WrTyY2fw_7_0"/>
      <w:bookmarkStart w:id="1151" w:name="Tc_QSMrJsTSck6Y6Q6oFU3I1g_6_0"/>
      <w:bookmarkStart w:id="1152" w:name="Tc_Bk5jOyL6DUqkXg_SmqU4_Q_5_0"/>
      <w:bookmarkStart w:id="1153" w:name="Tc_OyL3FPOGMUaAZNd1kZaOjw_4_11"/>
      <w:bookmarkStart w:id="1154" w:name="Tc_BzQChT2j7EyPkkv2jiPlnQ_4_8"/>
      <w:bookmarkStart w:id="1155" w:name="Tc_IuR91fDCMka4h5T86j-MCA_4_5"/>
      <w:bookmarkStart w:id="1156" w:name="Tc_Y3ky_grd20CShIxPbUyIrg_4_2"/>
      <w:bookmarkStart w:id="1157" w:name="Tc_ormdkzaFekuLfujFw1hEWw_4_0"/>
      <w:bookmarkStart w:id="1158" w:name="Tc_XkIipggD10OEkU6wJa5j0Q_3_0"/>
      <w:bookmarkStart w:id="1159" w:name="Tc_ghR3e3RK1EKJHhVyd6OyIQ_2_11"/>
      <w:bookmarkStart w:id="1160" w:name="Tc_yIMW8BzMy0Osb1dmWQVqNg_2_8"/>
      <w:bookmarkStart w:id="1161" w:name="Tc_shXTkacfP061d6sxkhNnwQ_2_5"/>
      <w:bookmarkStart w:id="1162" w:name="Tc_1lbvzaVFmEWjJUHUJK5_yQ_2_2"/>
      <w:bookmarkStart w:id="1163" w:name="Tc_PgKgZ51do0WBQwjQSk10dw_1_8"/>
      <w:bookmarkStart w:id="1164" w:name="Tc_o6ut8DqJskir1CvdCsn-lQ_1_2"/>
      <w:bookmarkStart w:id="1165" w:name="_c1d399cf_3ebe_4830_accf_b3af50adaf27"/>
      <w:bookmarkStart w:id="1166" w:name="_19893027_4e96_4434_bf40_b4f83e8a082a"/>
      <w:bookmarkStart w:id="1167" w:name="Tc_dDPsP2IAWEqD3f_UqOb-5Q_6_0"/>
      <w:bookmarkStart w:id="1168" w:name="Tc_mLLE4g0FKkaA8Kd-cBhbIA_5_0"/>
      <w:bookmarkStart w:id="1169" w:name="Tc_5v3meMh0bkGnx5NNNB213w_4_6"/>
      <w:bookmarkStart w:id="1170" w:name="Tc_qP86puAH7kmIxXb5iO3DmA_4_0"/>
      <w:bookmarkStart w:id="1171" w:name="Tc_IYAXQex8eU2R2nziFuOhrg_3_0"/>
      <w:bookmarkStart w:id="1172" w:name="Tc__EtSU2RdK0SuwHmGxY2Ohg_2_6"/>
      <w:bookmarkStart w:id="1173" w:name="Tc_2Byas5IAgUmPX_zXnoepyg_2_3"/>
      <w:bookmarkStart w:id="1174" w:name="Tc_dfwcebOf_02ONcVHi-a6Cg_1_3"/>
      <w:bookmarkStart w:id="1175" w:name="Tc_nphLst_5F0uzYCzWF7kBDA_7_11"/>
      <w:bookmarkStart w:id="1176" w:name="Tc_Hf81uKexJ0q8K_3BeRSx_g_7_8"/>
      <w:bookmarkStart w:id="1177" w:name="Tc_yCt3cHp7JEGRTbrS_e7mMA_7_5"/>
      <w:bookmarkStart w:id="1178" w:name="Tc_t-docEIqj0KdIZW2DxU2BQ_7_2"/>
      <w:bookmarkStart w:id="1179" w:name="Tc_tBeDlmlaJU2tD0WrTyY2fw_7_0"/>
      <w:bookmarkStart w:id="1180" w:name="Tc_QSMrJsTSck6Y6Q6oFU3I1g_6_0"/>
      <w:bookmarkStart w:id="1181" w:name="Tc_Bk5jOyL6DUqkXg_SmqU4_Q_5_0"/>
      <w:bookmarkStart w:id="1182" w:name="Tc_OyL3FPOGMUaAZNd1kZaOjw_4_11"/>
      <w:bookmarkStart w:id="1183" w:name="Tc_BzQChT2j7EyPkkv2jiPlnQ_4_8"/>
      <w:bookmarkStart w:id="1184" w:name="Tc_IuR91fDCMka4h5T86j-MCA_4_5"/>
      <w:bookmarkStart w:id="1185" w:name="Tc_Y3ky_grd20CShIxPbUyIrg_4_2"/>
      <w:bookmarkStart w:id="1186" w:name="Tc_ormdkzaFekuLfujFw1hEWw_4_0"/>
      <w:bookmarkStart w:id="1187" w:name="Tc_XkIipggD10OEkU6wJa5j0Q_3_0"/>
      <w:bookmarkStart w:id="1188" w:name="Tc_ghR3e3RK1EKJHhVyd6OyIQ_2_11"/>
      <w:bookmarkStart w:id="1189" w:name="Tc_yIMW8BzMy0Osb1dmWQVqNg_2_8"/>
      <w:bookmarkStart w:id="1190" w:name="Tc_shXTkacfP061d6sxkhNnwQ_2_5"/>
      <w:bookmarkStart w:id="1191" w:name="Tc_1lbvzaVFmEWjJUHUJK5_yQ_2_2"/>
      <w:bookmarkStart w:id="1192" w:name="Tc_PgKgZ51do0WBQwjQSk10dw_1_8"/>
      <w:bookmarkStart w:id="1193" w:name="Tc_o6ut8DqJskir1CvdCsn-lQ_1_2"/>
      <w:bookmarkStart w:id="1194" w:name="_c1d399cf_3ebe_4830_accf_b3af50adaf27"/>
      <w:bookmarkStart w:id="1195" w:name="_19893027_4e96_4434_bf40_b4f83e8a082a"/>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p>
    <w:tbl>
      <w:tblPr>
        <w:tblW w:w="2147" w:type="dxa"/>
        <w:jc w:val="left"/>
        <w:tblInd w:w="0" w:type="dxa"/>
        <w:tblLayout w:type="fixed"/>
        <w:tblCellMar>
          <w:top w:w="0" w:type="dxa"/>
          <w:left w:w="0" w:type="dxa"/>
          <w:bottom w:w="0" w:type="dxa"/>
          <w:right w:w="0" w:type="dxa"/>
        </w:tblCellMar>
      </w:tblPr>
      <w:tblGrid>
        <w:gridCol w:w="286"/>
        <w:gridCol w:w="1861"/>
      </w:tblGrid>
      <w:tr>
        <w:trPr/>
        <w:tc>
          <w:tcPr>
            <w:tcW w:w="286" w:type="dxa"/>
            <w:tcBorders/>
            <w:vAlign w:val="center"/>
          </w:tcPr>
          <w:p>
            <w:pPr>
              <w:pStyle w:val="TableContents"/>
              <w:bidi w:val="0"/>
              <w:spacing w:before="120" w:after="240"/>
              <w:jc w:val="left"/>
              <w:rPr>
                <w:rFonts w:ascii="Arial;Helvetica;sans-serif" w:hAnsi="Arial;Helvetica;sans-serif"/>
                <w:sz w:val="20"/>
              </w:rPr>
            </w:pPr>
            <w:r>
              <w:rPr>
                <w:rFonts w:ascii="Arial;Helvetica;sans-serif" w:hAnsi="Arial;Helvetica;sans-serif"/>
                <w:sz w:val="20"/>
              </w:rPr>
              <w:t>8.</w:t>
            </w:r>
          </w:p>
        </w:tc>
        <w:tc>
          <w:tcPr>
            <w:tcW w:w="1861" w:type="dxa"/>
            <w:tcBorders/>
            <w:vAlign w:val="center"/>
          </w:tcPr>
          <w:p>
            <w:pPr>
              <w:pStyle w:val="TableContents"/>
              <w:bidi w:val="0"/>
              <w:spacing w:before="120" w:after="240"/>
              <w:jc w:val="left"/>
              <w:rPr>
                <w:rFonts w:ascii="Arial;Helvetica;sans-serif" w:hAnsi="Arial;Helvetica;sans-serif"/>
                <w:sz w:val="20"/>
              </w:rPr>
            </w:pPr>
            <w:r>
              <w:rPr>
                <w:rFonts w:ascii="Arial;Helvetica;sans-serif" w:hAnsi="Arial;Helvetica;sans-serif"/>
                <w:sz w:val="20"/>
              </w:rPr>
              <w:t>Net Loss Per Share</w:t>
            </w:r>
          </w:p>
        </w:tc>
      </w:tr>
    </w:tbl>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Net Loss Per Share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Basic and diluted net loss per share was calculated as follows (in thousands, except share and per share amounts):</w:t>
      </w:r>
    </w:p>
    <w:tbl>
      <w:tblPr>
        <w:tblW w:w="10205" w:type="dxa"/>
        <w:jc w:val="left"/>
        <w:tblInd w:w="0" w:type="dxa"/>
        <w:tblLayout w:type="fixed"/>
        <w:tblCellMar>
          <w:top w:w="0" w:type="dxa"/>
          <w:left w:w="0" w:type="dxa"/>
          <w:bottom w:w="0" w:type="dxa"/>
          <w:right w:w="0" w:type="dxa"/>
        </w:tblCellMar>
      </w:tblPr>
      <w:tblGrid>
        <w:gridCol w:w="3710"/>
        <w:gridCol w:w="326"/>
        <w:gridCol w:w="213"/>
        <w:gridCol w:w="1080"/>
        <w:gridCol w:w="330"/>
        <w:gridCol w:w="213"/>
        <w:gridCol w:w="1080"/>
        <w:gridCol w:w="326"/>
        <w:gridCol w:w="211"/>
        <w:gridCol w:w="1066"/>
        <w:gridCol w:w="326"/>
        <w:gridCol w:w="211"/>
        <w:gridCol w:w="1113"/>
      </w:tblGrid>
      <w:tr>
        <w:trPr/>
        <w:tc>
          <w:tcPr>
            <w:tcW w:w="3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55850" cy="175260"/>
                      <wp:effectExtent l="0" t="0" r="0" b="0"/>
                      <wp:wrapNone/>
                      <wp:docPr id="163" name="Frame163"/>
                      <a:graphic xmlns:a="http://schemas.openxmlformats.org/drawingml/2006/main">
                        <a:graphicData uri="http://schemas.microsoft.com/office/word/2010/wordprocessingShape">
                          <wps:wsp>
                            <wps:cNvSpPr txBox="1"/>
                            <wps:spPr>
                              <a:xfrm>
                                <a:off x="0" y="0"/>
                                <a:ext cx="2355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5255" cy="175260"/>
                      <wp:effectExtent l="0" t="0" r="0" b="0"/>
                      <wp:wrapNone/>
                      <wp:docPr id="165" name="Frame16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85800" cy="175260"/>
                      <wp:effectExtent l="0" t="0" r="0" b="0"/>
                      <wp:wrapNone/>
                      <wp:docPr id="166" name="Frame166"/>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9550" cy="175260"/>
                      <wp:effectExtent l="0" t="0" r="0" b="0"/>
                      <wp:wrapNone/>
                      <wp:docPr id="167" name="Frame167"/>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5255" cy="175260"/>
                      <wp:effectExtent l="0" t="0" r="0" b="0"/>
                      <wp:wrapNone/>
                      <wp:docPr id="168" name="Frame16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85800" cy="175260"/>
                      <wp:effectExtent l="0" t="0" r="0" b="0"/>
                      <wp:wrapNone/>
                      <wp:docPr id="169" name="Frame169"/>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76910" cy="175260"/>
                      <wp:effectExtent l="0" t="0" r="0" b="0"/>
                      <wp:wrapNone/>
                      <wp:docPr id="172" name="Frame17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06755" cy="175260"/>
                      <wp:effectExtent l="0" t="0" r="0" b="0"/>
                      <wp:wrapNone/>
                      <wp:docPr id="175" name="Frame175"/>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0" w:type="dxa"/>
            <w:tcBorders>
              <w:top w:val="single" w:sz="2" w:space="0" w:color="000000"/>
            </w:tcBorders>
            <w:tcMar>
              <w:top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color w:val="231F20"/>
              </w:rPr>
            </w:pPr>
            <w:r>
              <w:rPr>
                <w:color w:val="231F20"/>
              </w:rPr>
              <w:t>​</w:t>
            </w:r>
          </w:p>
        </w:tc>
        <w:tc>
          <w:tcPr>
            <w:tcW w:w="2916"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Three Months Ended September 30, </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color w:val="231F20"/>
              </w:rPr>
            </w:pPr>
            <w:r>
              <w:rPr>
                <w:color w:val="231F20"/>
              </w:rPr>
              <w:t>​</w:t>
            </w:r>
          </w:p>
        </w:tc>
        <w:tc>
          <w:tcPr>
            <w:tcW w:w="2927"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Nine Months Ended September 30, </w:t>
            </w:r>
          </w:p>
        </w:tc>
      </w:tr>
      <w:tr>
        <w:trPr/>
        <w:tc>
          <w:tcPr>
            <w:tcW w:w="3710"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3710"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Numerator:</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3"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080"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3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3"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080"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06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113"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3710"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Net loss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3"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80"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(21,502)</w:t>
            </w:r>
          </w:p>
        </w:tc>
        <w:tc>
          <w:tcPr>
            <w:tcW w:w="330" w:type="dxa"/>
            <w:tcBorders/>
            <w:vAlign w:val="center"/>
          </w:tcPr>
          <w:p>
            <w:pPr>
              <w:pStyle w:val="TableContents"/>
              <w:bidi w:val="0"/>
              <w:spacing w:before="0" w:after="0"/>
              <w:ind w:left="0" w:right="0" w:hanging="0"/>
              <w:jc w:val="left"/>
              <w:rPr>
                <w:color w:val="231F20"/>
              </w:rPr>
            </w:pPr>
            <w:r>
              <w:rPr>
                <w:color w:val="231F20"/>
              </w:rPr>
              <w:t>​</w:t>
            </w:r>
          </w:p>
        </w:tc>
        <w:tc>
          <w:tcPr>
            <w:tcW w:w="213"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80"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(22,720)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(69,883)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113" w:type="dxa"/>
            <w:tcBorders/>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(78,608)</w:t>
            </w:r>
          </w:p>
        </w:tc>
      </w:tr>
      <w:tr>
        <w:trPr/>
        <w:tc>
          <w:tcPr>
            <w:tcW w:w="3710" w:type="dxa"/>
            <w:tcBorders/>
            <w:shd w:fill="CCEEFF" w:val="cle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1080" w:type="dxa"/>
            <w:tcBorders/>
            <w:shd w:fill="CCEEFF" w:val="clear"/>
            <w:vAlign w:val="center"/>
          </w:tcPr>
          <w:p>
            <w:pPr>
              <w:pStyle w:val="TableContents"/>
              <w:bidi w:val="0"/>
              <w:spacing w:before="0" w:after="0"/>
              <w:ind w:left="0" w:right="0" w:hanging="0"/>
              <w:jc w:val="right"/>
              <w:rPr/>
            </w:pPr>
            <w:r>
              <w:rPr/>
              <w:t>  </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108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r>
      <w:tr>
        <w:trPr/>
        <w:tc>
          <w:tcPr>
            <w:tcW w:w="3710" w:type="dxa"/>
            <w:tcBorders/>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Weighted average shares used to compute net loss per share, basic and diluted</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44,977,161</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 </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40,036,201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41,999,978</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39,930,418</w:t>
            </w:r>
          </w:p>
        </w:tc>
      </w:tr>
      <w:tr>
        <w:trPr/>
        <w:tc>
          <w:tcPr>
            <w:tcW w:w="37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olor w:val="231F20"/>
                <w:sz w:val="20"/>
              </w:rPr>
            </w:pPr>
            <w:r>
              <w:rPr>
                <w:rFonts w:ascii="Arial;Helvetica;sans-serif" w:hAnsi="Arial;Helvetica;sans-serif"/>
                <w:color w:val="231F20"/>
                <w:sz w:val="20"/>
              </w:rPr>
              <w:t>Net loss per share, basic and diluted</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(0.48)</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(0.57)</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(1.66)</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(1.97)</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potentially dilutive shares that were excluded from the calculation of diluted net loss per share because their effect would have been anti-dilutive for the periods presented are as follows:</w:t>
      </w:r>
    </w:p>
    <w:p>
      <w:pPr>
        <w:pStyle w:val="TextBody"/>
        <w:bidi w:val="0"/>
        <w:spacing w:before="0" w:after="0"/>
        <w:ind w:left="0" w:right="0" w:hanging="0"/>
        <w:jc w:val="left"/>
        <w:rPr/>
      </w:pPr>
      <w:r>
        <w:rPr/>
        <w:t>​</w:t>
      </w:r>
    </w:p>
    <w:tbl>
      <w:tblPr>
        <w:tblW w:w="8745" w:type="dxa"/>
        <w:jc w:val="left"/>
        <w:tblInd w:w="0" w:type="dxa"/>
        <w:tblLayout w:type="fixed"/>
        <w:tblCellMar>
          <w:top w:w="0" w:type="dxa"/>
          <w:left w:w="0" w:type="dxa"/>
          <w:bottom w:w="0" w:type="dxa"/>
          <w:right w:w="0" w:type="dxa"/>
        </w:tblCellMar>
      </w:tblPr>
      <w:tblGrid>
        <w:gridCol w:w="6196"/>
        <w:gridCol w:w="146"/>
        <w:gridCol w:w="109"/>
        <w:gridCol w:w="961"/>
        <w:gridCol w:w="146"/>
        <w:gridCol w:w="109"/>
        <w:gridCol w:w="1078"/>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934460" cy="175260"/>
                      <wp:effectExtent l="0" t="0" r="0" b="0"/>
                      <wp:wrapNone/>
                      <wp:docPr id="176" name="Frame176"/>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2710" cy="175260"/>
                      <wp:effectExtent l="0" t="0" r="0" b="0"/>
                      <wp:wrapNone/>
                      <wp:docPr id="177" name="Frame1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10235" cy="175260"/>
                      <wp:effectExtent l="0" t="0" r="0" b="0"/>
                      <wp:wrapNone/>
                      <wp:docPr id="179" name="Frame17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2710" cy="175260"/>
                      <wp:effectExtent l="0" t="0" r="0" b="0"/>
                      <wp:wrapNone/>
                      <wp:docPr id="180" name="Frame1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84530" cy="175260"/>
                      <wp:effectExtent l="0" t="0" r="0" b="0"/>
                      <wp:wrapNone/>
                      <wp:docPr id="182" name="Frame182"/>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9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294"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September 30, </w:t>
            </w:r>
          </w:p>
        </w:tc>
      </w:tr>
      <w:tr>
        <w:trPr/>
        <w:tc>
          <w:tcPr>
            <w:tcW w:w="6196" w:type="dxa"/>
            <w:tcBorders/>
            <w:vAlign w:val="center"/>
          </w:tcPr>
          <w:p>
            <w:pPr>
              <w:pStyle w:val="TableContents"/>
              <w:bidi w:val="0"/>
              <w:spacing w:before="0" w:after="1"/>
              <w:ind w:left="0" w:right="0" w:hanging="0"/>
              <w:jc w:val="left"/>
              <w:rPr>
                <w:color w:val="231F20"/>
              </w:rPr>
            </w:pPr>
            <w:r>
              <w:rPr>
                <w:color w:val="231F20"/>
              </w:rPr>
              <w:t>​</w:t>
            </w:r>
          </w:p>
        </w:tc>
        <w:tc>
          <w:tcPr>
            <w:tcW w:w="14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color w:val="231F20"/>
              </w:rPr>
            </w:pPr>
            <w:r>
              <w:rPr>
                <w:color w:val="231F20"/>
              </w:rPr>
              <w:t>​</w:t>
            </w:r>
          </w:p>
        </w:tc>
        <w:tc>
          <w:tcPr>
            <w:tcW w:w="107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2022</w:t>
            </w:r>
          </w:p>
        </w:tc>
      </w:tr>
      <w:tr>
        <w:trPr/>
        <w:tc>
          <w:tcPr>
            <w:tcW w:w="619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restricted stock awards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147,956</w:t>
            </w:r>
          </w:p>
        </w:tc>
        <w:tc>
          <w:tcPr>
            <w:tcW w:w="1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345,230</w:t>
            </w:r>
          </w:p>
        </w:tc>
      </w:tr>
      <w:tr>
        <w:trPr/>
        <w:tc>
          <w:tcPr>
            <w:tcW w:w="619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Unvested performance-based restricted stock unit awards outstanding</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665,000</w:t>
            </w:r>
          </w:p>
        </w:tc>
        <w:tc>
          <w:tcPr>
            <w:tcW w:w="14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078" w:type="dxa"/>
            <w:tcBorders/>
            <w:vAlign w:val="center"/>
          </w:tcPr>
          <w:p>
            <w:pPr>
              <w:pStyle w:val="TableContents"/>
              <w:bidi w:val="0"/>
              <w:spacing w:before="0" w:after="1"/>
              <w:ind w:left="0" w:right="0" w:hanging="0"/>
              <w:jc w:val="right"/>
              <w:rPr>
                <w:color w:val="231F20"/>
              </w:rPr>
            </w:pPr>
            <w:r>
              <w:rPr>
                <w:color w:val="231F20"/>
              </w:rPr>
              <w:t>—</w:t>
            </w:r>
          </w:p>
        </w:tc>
      </w:tr>
      <w:tr>
        <w:trPr/>
        <w:tc>
          <w:tcPr>
            <w:tcW w:w="6196" w:type="dxa"/>
            <w:tcBorders/>
            <w:shd w:fill="CCEEFF" w:val="clear"/>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Options to purchase common stock</w:t>
            </w:r>
          </w:p>
        </w:tc>
        <w:tc>
          <w:tcPr>
            <w:tcW w:w="1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8,976,311</w:t>
            </w:r>
          </w:p>
        </w:tc>
        <w:tc>
          <w:tcPr>
            <w:tcW w:w="1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8,329,948</w:t>
            </w:r>
          </w:p>
        </w:tc>
      </w:tr>
      <w:tr>
        <w:trPr/>
        <w:tc>
          <w:tcPr>
            <w:tcW w:w="6196" w:type="dxa"/>
            <w:tcBorders/>
            <w:vAlign w:val="center"/>
          </w:tcPr>
          <w:p>
            <w:pPr>
              <w:pStyle w:val="TableContents"/>
              <w:bidi w:val="0"/>
              <w:spacing w:before="0" w:after="1"/>
              <w:ind w:left="0" w:right="0" w:hanging="0"/>
              <w:jc w:val="left"/>
              <w:rPr>
                <w:rFonts w:ascii="Arial;Helvetica;sans-serif" w:hAnsi="Arial;Helvetica;sans-serif"/>
                <w:color w:val="231F20"/>
                <w:sz w:val="20"/>
              </w:rPr>
            </w:pPr>
            <w:r>
              <w:rPr>
                <w:rFonts w:ascii="Arial;Helvetica;sans-serif" w:hAnsi="Arial;Helvetica;sans-serif"/>
                <w:color w:val="231F20"/>
                <w:sz w:val="20"/>
              </w:rPr>
              <w:t>Employee stock purchase plan contingently issuable</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65,669</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0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182,139</w:t>
            </w:r>
          </w:p>
        </w:tc>
      </w:tr>
      <w:tr>
        <w:trPr/>
        <w:tc>
          <w:tcPr>
            <w:tcW w:w="6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9,854,936</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07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color w:val="231F20"/>
                <w:sz w:val="20"/>
              </w:rPr>
            </w:pPr>
            <w:r>
              <w:rPr>
                <w:rFonts w:ascii="Arial;Helvetica;sans-serif" w:hAnsi="Arial;Helvetica;sans-serif"/>
                <w:color w:val="231F20"/>
                <w:sz w:val="20"/>
              </w:rPr>
              <w:t>8,857,317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67" w:type="dxa"/>
        <w:jc w:val="left"/>
        <w:tblInd w:w="0" w:type="dxa"/>
        <w:tblLayout w:type="fixed"/>
        <w:tblCellMar>
          <w:top w:w="0" w:type="dxa"/>
          <w:left w:w="0" w:type="dxa"/>
          <w:bottom w:w="0" w:type="dxa"/>
          <w:right w:w="0" w:type="dxa"/>
        </w:tblCellMar>
      </w:tblPr>
      <w:tblGrid>
        <w:gridCol w:w="286"/>
        <w:gridCol w:w="781"/>
      </w:tblGrid>
      <w:tr>
        <w:trPr/>
        <w:tc>
          <w:tcPr>
            <w:tcW w:w="28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9.</w:t>
            </w:r>
          </w:p>
        </w:tc>
        <w:tc>
          <w:tcPr>
            <w:tcW w:w="78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Leases</w:t>
            </w:r>
          </w:p>
        </w:tc>
      </w:tr>
    </w:tbl>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The Company leases certain of its facilities under non-cancellable operating leases expiring at various dates through 2026.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June 1, 2013, the Company entered into a management services agreement with MandalMed, Inc. (the “MandalMed Services Agreement”) to have access to and use a portion of approximately 5,762 square feet of space for the use of laboratory benches, lab equipment, office space, and administrative and facilities services. The Company subsequently entered into six amendments to extend the agreement term to November 2023. As part of the sixth amendment, the Company gained access to use additional space of approximately 2,130 square feet for a three year period commencing on December 1, 2020 and ending on November 30, 2023.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196" w:name="Tc_1mL3N3fi0ku-GuaoNTzvHQ_6_5"/>
      <w:bookmarkStart w:id="1197" w:name="Tc_porjh7eBZESfRLUgs8qAug_6_2"/>
      <w:bookmarkStart w:id="1198" w:name="Tc_LsP6k3-1-EG5yCfwUkrv3w_6_0"/>
      <w:bookmarkStart w:id="1199" w:name="Tc_UVWajkm4VUyJpbDKT0QTjQ_5_0"/>
      <w:bookmarkStart w:id="1200" w:name="Tc_7aEJxEXdEUGwMqRnoPk_cw_4_0"/>
      <w:bookmarkStart w:id="1201" w:name="Tc_dSGDw0BAnkmStAceMaLXCA_3_5"/>
      <w:bookmarkStart w:id="1202" w:name="Tc_QGJJZ7w4K0WogWAAsPlDRQ_3_2"/>
      <w:bookmarkStart w:id="1203" w:name="Tc_6p0r_J7NhEaFb7G88rzMQw_3_0"/>
      <w:bookmarkStart w:id="1204" w:name="Tc_ZNB_uTxLxUSWxrgfIPNwtg_2_6"/>
      <w:bookmarkStart w:id="1205" w:name="Tc_wP-XuJwj30e7oLRy56-dTA_2_3"/>
      <w:bookmarkStart w:id="1206" w:name="Tc_H99fPYVvk02aDqc35zAuyw_1_6"/>
      <w:bookmarkStart w:id="1207" w:name="Tc_lh84IfVBfkO1UV86N-yl2w_1_3"/>
      <w:bookmarkStart w:id="1208" w:name="_cbcba377_9e57_4e67_8b6f_d7989726f854"/>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ascii="Arial;Helvetica;sans-serif" w:hAnsi="Arial;Helvetica;sans-serif"/>
          <w:sz w:val="20"/>
        </w:rPr>
        <w:t>According to the terms of the MandalMed Services Agreement, the Company paid a security deposit of less than $0.1 million and is required to pay monthly rent and common area charges.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August 27, 2020, the Company entered into a lease agreement with 512 2nd Street LLC to lease approximately 3,500 square feet of office space in San Francisco, California (the “Office Space Lease Agreement”). The Office Space Lease Agreement was for a period of two years commencing on September 1, 2020 and ending August 31, 2022. In April 2022, the Company extended the Office Space Lease Agreement up to August 31, 2023 and had one year renewal option to extend the term up to </w:t>
      </w:r>
      <w:r>
        <w:rPr>
          <w:rFonts w:ascii="Arial;Helvetica;sans-serif" w:hAnsi="Arial;Helvetica;sans-serif"/>
          <w:b w:val="false"/>
          <w:i w:val="false"/>
          <w:caps w:val="false"/>
          <w:smallCaps w:val="false"/>
          <w:sz w:val="20"/>
        </w:rPr>
        <w:t>August 31, 2024</w:t>
      </w:r>
      <w:r>
        <w:rPr>
          <w:rFonts w:ascii="Arial;Helvetica;sans-serif" w:hAnsi="Arial;Helvetica;sans-serif"/>
          <w:sz w:val="20"/>
        </w:rPr>
        <w:t>. The Company decided not to exercise the one-year renewal option at the end of the lease term (i.e., August 31, 2023). According to the terms of the Office Space Lease Agreement, the Company paid a $0.1 million security deposit and is required to pay monthly rent and common area charges. As of September 30, 2023, this security deposit is recorded as prepaid expenses and other current assets in the accompanying condensed consolidated financial statements due to expiration of the lease on August 31, 2023 and expected return of the deposit within 12 months.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August 17, 2023, the Company entered into a sublease agreement with Dropbox, Inc. to sublease approximately 6,713 square feet of office space in San Francisco, California (the “Dropbox Sublease Agreement”). The Dropbox Sublease Agreement is for a period of two years commencing on September 5, 2023 and ending December 31, 2025. According to the terms of the Dropbox Sublease Agreement, the Company paid a $0.1 million security deposit and is required to pay monthly rent and common area charges. The sublease was accounted for under Topic 842 and the Company recorded ROU asset and lease liability of $0.2 million and $0.2 million, respectively, in the accompanying condensed consolidated financial statements.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August 23, 2023, the Company entered into a lease agreement with The Cambridge Redevelopment Authority to lease approximately 4,020 square feet of office space in Cambridge, Massachusetts (the “Cambridge Lease Agreement”). The Cambridge Lease Agreement is for a period of three years commencing on September 15, 2023 and ending September 14, 2026. According to the terms of the Cambridge Lease Agreement, the Company paid a less than $0.1 million security deposit and is required to pay monthly rent and common area charges. The lease was accounted for under Topic 842 and the Company recorded ROU asset and lease liability of $0.7 million and $0.7 million, respectively, in the accompanying condensed consolidated financial statements.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table summarizes total lease expense during the three and nine months ended September 30, 2023 (in thousands):</w:t>
      </w:r>
    </w:p>
    <w:tbl>
      <w:tblPr>
        <w:tblW w:w="10145" w:type="dxa"/>
        <w:jc w:val="left"/>
        <w:tblInd w:w="0" w:type="dxa"/>
        <w:tblLayout w:type="fixed"/>
        <w:tblCellMar>
          <w:top w:w="0" w:type="dxa"/>
          <w:left w:w="0" w:type="dxa"/>
          <w:bottom w:w="0" w:type="dxa"/>
          <w:right w:w="0" w:type="dxa"/>
        </w:tblCellMar>
      </w:tblPr>
      <w:tblGrid>
        <w:gridCol w:w="3331"/>
        <w:gridCol w:w="109"/>
        <w:gridCol w:w="211"/>
        <w:gridCol w:w="2971"/>
        <w:gridCol w:w="386"/>
        <w:gridCol w:w="211"/>
        <w:gridCol w:w="292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15185" cy="175260"/>
                      <wp:effectExtent l="0" t="0" r="0" b="0"/>
                      <wp:wrapNone/>
                      <wp:docPr id="183" name="Frame183"/>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86585" cy="175260"/>
                      <wp:effectExtent l="0" t="0" r="0" b="0"/>
                      <wp:wrapNone/>
                      <wp:docPr id="186" name="Frame18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5110" cy="175260"/>
                      <wp:effectExtent l="0" t="0" r="0" b="0"/>
                      <wp:wrapNone/>
                      <wp:docPr id="187" name="Frame18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58010" cy="175260"/>
                      <wp:effectExtent l="0" t="0" r="0" b="0"/>
                      <wp:wrapNone/>
                      <wp:docPr id="189" name="Frame189"/>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971" w:type="dxa"/>
            <w:tcBorders>
              <w:top w:val="single" w:sz="2" w:space="0" w:color="000000"/>
            </w:tcBorders>
            <w:tcMar>
              <w:top w:w="28" w:type="dxa"/>
            </w:tcMar>
            <w:vAlign w:val="center"/>
          </w:tcPr>
          <w:p>
            <w:pPr>
              <w:pStyle w:val="TableContents"/>
              <w:bidi w:val="0"/>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Three Months Ended September 30, </w:t>
            </w:r>
          </w:p>
        </w:tc>
        <w:tc>
          <w:tcPr>
            <w:tcW w:w="38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right"/>
              <w:rPr>
                <w:color w:val="231F20"/>
              </w:rPr>
            </w:pPr>
            <w:r>
              <w:rPr>
                <w:color w:val="231F20"/>
              </w:rPr>
              <w:t>​</w:t>
            </w:r>
          </w:p>
        </w:tc>
        <w:tc>
          <w:tcPr>
            <w:tcW w:w="292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Nine Months Ended September 30, </w:t>
            </w:r>
          </w:p>
        </w:tc>
      </w:tr>
      <w:tr>
        <w:trPr/>
        <w:tc>
          <w:tcPr>
            <w:tcW w:w="3331"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29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38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right"/>
              <w:rPr>
                <w:color w:val="231F20"/>
              </w:rPr>
            </w:pPr>
            <w:r>
              <w:rPr>
                <w:color w:val="231F20"/>
              </w:rPr>
              <w:t>​</w:t>
            </w:r>
          </w:p>
        </w:tc>
        <w:tc>
          <w:tcPr>
            <w:tcW w:w="29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r>
      <w:tr>
        <w:trPr/>
        <w:tc>
          <w:tcPr>
            <w:tcW w:w="3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Straight-line operating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97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320</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9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973</w:t>
            </w:r>
          </w:p>
        </w:tc>
      </w:tr>
      <w:tr>
        <w:trPr/>
        <w:tc>
          <w:tcPr>
            <w:tcW w:w="3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 lease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 </w:t>
            </w:r>
          </w:p>
        </w:tc>
        <w:tc>
          <w:tcPr>
            <w:tcW w:w="297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w:t>
            </w:r>
          </w:p>
        </w:tc>
        <w:tc>
          <w:tcPr>
            <w:tcW w:w="38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 </w:t>
            </w:r>
          </w:p>
        </w:tc>
        <w:tc>
          <w:tcPr>
            <w:tcW w:w="29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w:t>
            </w:r>
          </w:p>
        </w:tc>
      </w:tr>
      <w:tr>
        <w:trPr/>
        <w:tc>
          <w:tcPr>
            <w:tcW w:w="3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Variable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2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29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w:t>
            </w:r>
          </w:p>
        </w:tc>
      </w:tr>
      <w:tr>
        <w:trPr/>
        <w:tc>
          <w:tcPr>
            <w:tcW w:w="33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expense</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97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92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1,199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bookmarkStart w:id="1209" w:name="Tc_nY5DubWSlUC33y9-IpeN9A_4_0"/>
      <w:bookmarkStart w:id="1210" w:name="Tc_4jKcAfDU3kSz0lG3aenLYQ_3_0"/>
      <w:bookmarkStart w:id="1211" w:name="Tc_29DEVWOP_k27mzwSF3Sz9w_2_3"/>
      <w:bookmarkStart w:id="1212" w:name="Tc_vh0lvCYGGEK52xmWujBKLw_1_3"/>
      <w:bookmarkStart w:id="1213" w:name="Tc_TZ6JnNMrcUOCRNBwjJyVgQ_10_2"/>
      <w:bookmarkStart w:id="1214" w:name="Tc_aYNjcXMdT0-cREfbRMxkqA_10_0"/>
      <w:bookmarkStart w:id="1215" w:name="Tc_32rnc3f0pE-0SlO3e_USKA_9_0"/>
      <w:bookmarkStart w:id="1216" w:name="Tc_0ri9tpii8EKsi4uyZdgdZg_8_0"/>
      <w:bookmarkStart w:id="1217" w:name="Tc_4hhnzyV9Ak6_JuxQAgWJNg_7_0"/>
      <w:bookmarkStart w:id="1218" w:name="Tc_kTIkdh0uVEWiqQSblQBnIg_6_0"/>
      <w:bookmarkStart w:id="1219" w:name="Tc_6JAyipRmWkatyE3sQIFZbQ_5_0"/>
      <w:bookmarkStart w:id="1220" w:name="Tc_vgkJDzCO1EWjNxTNDtb2WQ_4_0"/>
      <w:bookmarkStart w:id="1221" w:name="Tc_q4M5ar-srkOtsLT2key07g_3_0"/>
      <w:bookmarkStart w:id="1222" w:name="Tc_ol6Vr7k8rEGMYJnMEgnFFw_2_2"/>
      <w:bookmarkStart w:id="1223" w:name="Tc_c9VztKpb7kaGNhdQ1_pp3w_2_0"/>
      <w:bookmarkStart w:id="1224" w:name="Tc_5aLub0zP40K1QXDdYrfQ4Q_1_0"/>
      <w:bookmarkStart w:id="1225" w:name="_e19a4331_b8c1_4268_b1f4_74208e4c8185"/>
      <w:bookmarkStart w:id="1226" w:name="Tc_Xj_nV44D5E2wavea6yL6tQ_5_5"/>
      <w:bookmarkStart w:id="1227" w:name="Tc_BuvN8Rusnkm2O0Ps5x-zZw_5_2"/>
      <w:bookmarkStart w:id="1228" w:name="Tc_K5TWvJvhTECl2eF3yBrKBA_5_0"/>
      <w:bookmarkStart w:id="1229" w:name="Tc_Dz7vcnl8Ikm0ZQNLGTRVZA_4_5"/>
      <w:bookmarkStart w:id="1230" w:name="Tc_kzr0L68VR0WoOrREV5MxTA_4_2"/>
      <w:bookmarkStart w:id="1231" w:name="Tc_CTOfe2ixVkux-y3HYH0e7g_4_0"/>
      <w:bookmarkStart w:id="1232" w:name="Tc_BU1rXv4alkK-tppFPGgzoA_3_0"/>
      <w:bookmarkStart w:id="1233" w:name="Tc_fjMk7nYUeECEvmCKJRSM-Q_2_6"/>
      <w:bookmarkStart w:id="1234" w:name="Tc_KGe2ZEh9zEWE1mJ027A92A_2_3"/>
      <w:bookmarkStart w:id="1235" w:name="Tc_iM0W-TqhrUSwKLYrn4QsqQ_1_6"/>
      <w:bookmarkStart w:id="1236" w:name="Tc_2nOvEBqSt0WzF1s9ZgdBig_1_3"/>
      <w:bookmarkStart w:id="1237" w:name="_8829d9d1_b888_4850_b683_69dd64b58317"/>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Pr>
          <w:rFonts w:ascii="Arial;Helvetica;sans-serif" w:hAnsi="Arial;Helvetica;sans-serif"/>
          <w:sz w:val="20"/>
        </w:rPr>
        <w:t>The following table summarizes supplemental cash flow information during the three and nine months ended September 30, 2023 (in thousands):</w:t>
      </w:r>
    </w:p>
    <w:tbl>
      <w:tblPr>
        <w:tblW w:w="10205" w:type="dxa"/>
        <w:jc w:val="left"/>
        <w:tblInd w:w="0" w:type="dxa"/>
        <w:tblLayout w:type="fixed"/>
        <w:tblCellMar>
          <w:top w:w="0" w:type="dxa"/>
          <w:left w:w="0" w:type="dxa"/>
          <w:bottom w:w="0" w:type="dxa"/>
          <w:right w:w="0" w:type="dxa"/>
        </w:tblCellMar>
      </w:tblPr>
      <w:tblGrid>
        <w:gridCol w:w="5200"/>
        <w:gridCol w:w="109"/>
        <w:gridCol w:w="211"/>
        <w:gridCol w:w="2184"/>
        <w:gridCol w:w="109"/>
        <w:gridCol w:w="211"/>
        <w:gridCol w:w="2181"/>
      </w:tblGrid>
      <w:tr>
        <w:trPr/>
        <w:tc>
          <w:tcPr>
            <w:tcW w:w="5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302000" cy="175260"/>
                      <wp:effectExtent l="0" t="0" r="0" b="0"/>
                      <wp:wrapNone/>
                      <wp:docPr id="190" name="Frame190"/>
                      <a:graphic xmlns:a="http://schemas.openxmlformats.org/drawingml/2006/main">
                        <a:graphicData uri="http://schemas.microsoft.com/office/word/2010/wordprocessingShape">
                          <wps:wsp>
                            <wps:cNvSpPr txBox="1"/>
                            <wps:spPr>
                              <a:xfrm>
                                <a:off x="0" y="0"/>
                                <a:ext cx="330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86840" cy="175260"/>
                      <wp:effectExtent l="0" t="0" r="0" b="0"/>
                      <wp:wrapNone/>
                      <wp:docPr id="193" name="Frame193"/>
                      <a:graphic xmlns:a="http://schemas.openxmlformats.org/drawingml/2006/main">
                        <a:graphicData uri="http://schemas.microsoft.com/office/word/2010/wordprocessingShape">
                          <wps:wsp>
                            <wps:cNvSpPr txBox="1"/>
                            <wps:spPr>
                              <a:xfrm>
                                <a:off x="0" y="0"/>
                                <a:ext cx="138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84935" cy="175260"/>
                      <wp:effectExtent l="0" t="0" r="0" b="0"/>
                      <wp:wrapNone/>
                      <wp:docPr id="196" name="Frame196"/>
                      <a:graphic xmlns:a="http://schemas.openxmlformats.org/drawingml/2006/main">
                        <a:graphicData uri="http://schemas.microsoft.com/office/word/2010/wordprocessingShape">
                          <wps:wsp>
                            <wps:cNvSpPr txBox="1"/>
                            <wps:spPr>
                              <a:xfrm>
                                <a:off x="0" y="0"/>
                                <a:ext cx="138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00"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84" w:type="dxa"/>
            <w:tcBorders>
              <w:top w:val="single" w:sz="2" w:space="0" w:color="000000"/>
            </w:tcBorders>
            <w:tcMar>
              <w:top w:w="28" w:type="dxa"/>
            </w:tcMar>
            <w:vAlign w:val="center"/>
          </w:tcPr>
          <w:p>
            <w:pPr>
              <w:pStyle w:val="TableContents"/>
              <w:bidi w:val="0"/>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Three Months Ended September 30, </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right"/>
              <w:rPr>
                <w:color w:val="231F20"/>
              </w:rPr>
            </w:pPr>
            <w:r>
              <w:rPr>
                <w:color w:val="231F20"/>
              </w:rPr>
              <w:t>​</w:t>
            </w:r>
          </w:p>
        </w:tc>
        <w:tc>
          <w:tcPr>
            <w:tcW w:w="2181"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Nine Months Ended September 30, </w:t>
            </w:r>
          </w:p>
        </w:tc>
      </w:tr>
      <w:tr>
        <w:trPr/>
        <w:tc>
          <w:tcPr>
            <w:tcW w:w="5200"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2184"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right"/>
              <w:rPr>
                <w:color w:val="231F20"/>
              </w:rPr>
            </w:pPr>
            <w:r>
              <w:rPr>
                <w:color w:val="231F20"/>
              </w:rPr>
              <w:t>​</w:t>
            </w:r>
          </w:p>
        </w:tc>
        <w:tc>
          <w:tcPr>
            <w:tcW w:w="21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r>
      <w:tr>
        <w:trPr/>
        <w:tc>
          <w:tcPr>
            <w:tcW w:w="520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amounts included measurement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1" w:type="dxa"/>
            <w:tcBorders/>
            <w:shd w:fill="CCEEFF" w:val="clear"/>
            <w:vAlign w:val="center"/>
          </w:tcPr>
          <w:p>
            <w:pPr>
              <w:pStyle w:val="TableContents"/>
              <w:bidi w:val="0"/>
              <w:spacing w:before="0" w:after="1"/>
              <w:ind w:left="0" w:right="0" w:hanging="0"/>
              <w:jc w:val="center"/>
              <w:rPr>
                <w:color w:val="231F20"/>
              </w:rPr>
            </w:pPr>
            <w:r>
              <w:rPr>
                <w:color w:val="231F20"/>
              </w:rPr>
              <w:t>​</w:t>
            </w:r>
          </w:p>
        </w:tc>
      </w:tr>
      <w:tr>
        <w:trPr/>
        <w:tc>
          <w:tcPr>
            <w:tcW w:w="520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968</w:t>
            </w:r>
          </w:p>
        </w:tc>
      </w:tr>
      <w:tr>
        <w:trPr/>
        <w:tc>
          <w:tcPr>
            <w:tcW w:w="5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Supplemental noncash information on lease liabilities arising from obtaining right-use-assets</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8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896</w:t>
            </w:r>
          </w:p>
        </w:tc>
      </w:tr>
    </w:tbl>
    <w:p>
      <w:pPr>
        <w:pStyle w:val="TextBody"/>
        <w:bidi w:val="0"/>
        <w:spacing w:before="0" w:after="0"/>
        <w:ind w:left="0" w:right="0" w:hanging="0"/>
        <w:jc w:val="left"/>
        <w:rPr/>
      </w:pPr>
      <w:r>
        <w:rPr/>
        <w:t>​</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The following table summarizes the Company’s future minimum lease payments and reconciliation of lease liabilities as of September 30, 2023 (in thousands):</w:t>
      </w:r>
    </w:p>
    <w:tbl>
      <w:tblPr>
        <w:tblW w:w="4694" w:type="dxa"/>
        <w:jc w:val="left"/>
        <w:tblInd w:w="0" w:type="dxa"/>
        <w:tblLayout w:type="fixed"/>
        <w:tblCellMar>
          <w:top w:w="0" w:type="dxa"/>
          <w:left w:w="0" w:type="dxa"/>
          <w:bottom w:w="0" w:type="dxa"/>
          <w:right w:w="0" w:type="dxa"/>
        </w:tblCellMar>
      </w:tblPr>
      <w:tblGrid>
        <w:gridCol w:w="3406"/>
        <w:gridCol w:w="386"/>
        <w:gridCol w:w="211"/>
        <w:gridCol w:w="69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62810" cy="175260"/>
                      <wp:effectExtent l="0" t="0" r="0" b="0"/>
                      <wp:wrapNone/>
                      <wp:docPr id="197" name="Frame19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45110" cy="175260"/>
                      <wp:effectExtent l="0" t="0" r="0" b="0"/>
                      <wp:wrapNone/>
                      <wp:docPr id="198" name="Frame1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200"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Years Ending December 31,</w:t>
            </w:r>
          </w:p>
        </w:tc>
        <w:tc>
          <w:tcPr>
            <w:tcW w:w="3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color w:val="231F20"/>
              </w:rPr>
            </w:pPr>
            <w:r>
              <w:rPr>
                <w:color w:val="231F20"/>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color w:val="231F20"/>
              </w:rPr>
            </w:pPr>
            <w:r>
              <w:rPr>
                <w:color w:val="231F20"/>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color w:val="231F20"/>
              </w:rPr>
            </w:pPr>
            <w:r>
              <w:rPr>
                <w:color w:val="231F20"/>
              </w:rPr>
              <w:t>​</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(from October 2023)</w:t>
            </w:r>
          </w:p>
        </w:tc>
        <w:tc>
          <w:tcPr>
            <w:tcW w:w="3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w:t>
            </w:r>
          </w:p>
        </w:tc>
        <w:tc>
          <w:tcPr>
            <w:tcW w:w="38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1,162</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1,245</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future minimum lease payments</w:t>
            </w:r>
          </w:p>
        </w:tc>
        <w:tc>
          <w:tcPr>
            <w:tcW w:w="3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2,932</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Interest</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liabilities at present value</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2,623</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liabilities, current</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924</w:t>
            </w:r>
          </w:p>
        </w:tc>
      </w:tr>
      <w:tr>
        <w:trPr/>
        <w:tc>
          <w:tcPr>
            <w:tcW w:w="3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liabilities, non-current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1,699</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table summarizes lease term and discount rate as of September 30, 2023:</w:t>
      </w:r>
    </w:p>
    <w:p>
      <w:pPr>
        <w:pStyle w:val="TextBody"/>
        <w:bidi w:val="0"/>
        <w:spacing w:before="0" w:after="0"/>
        <w:ind w:left="0" w:right="0" w:hanging="0"/>
        <w:jc w:val="left"/>
        <w:rPr/>
      </w:pPr>
      <w:r>
        <w:rPr/>
        <w:t>​</w:t>
      </w:r>
    </w:p>
    <w:tbl>
      <w:tblPr>
        <w:tblW w:w="5987" w:type="dxa"/>
        <w:jc w:val="left"/>
        <w:tblInd w:w="0" w:type="dxa"/>
        <w:tblLayout w:type="fixed"/>
        <w:tblCellMar>
          <w:top w:w="0" w:type="dxa"/>
          <w:left w:w="0" w:type="dxa"/>
          <w:bottom w:w="0" w:type="dxa"/>
          <w:right w:w="0" w:type="dxa"/>
        </w:tblCellMar>
      </w:tblPr>
      <w:tblGrid>
        <w:gridCol w:w="4216"/>
        <w:gridCol w:w="386"/>
        <w:gridCol w:w="109"/>
        <w:gridCol w:w="127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677160" cy="175260"/>
                      <wp:effectExtent l="0" t="0" r="0" b="0"/>
                      <wp:wrapNone/>
                      <wp:docPr id="201" name="Frame201"/>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5110" cy="175260"/>
                      <wp:effectExtent l="0" t="0" r="0" b="0"/>
                      <wp:wrapNone/>
                      <wp:docPr id="202" name="Frame20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10260" cy="175260"/>
                      <wp:effectExtent l="0" t="0" r="0" b="0"/>
                      <wp:wrapNone/>
                      <wp:docPr id="204" name="Frame20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386" w:type="dxa"/>
            <w:tcBorders>
              <w:top w:val="single" w:sz="2" w:space="0" w:color="000000"/>
            </w:tcBorders>
            <w:tcMar>
              <w:top w:w="28" w:type="dxa"/>
            </w:tcMar>
            <w:vAlign w:val="center"/>
          </w:tcPr>
          <w:p>
            <w:pPr>
              <w:pStyle w:val="TableContents"/>
              <w:bidi w:val="0"/>
              <w:spacing w:before="0" w:after="1"/>
              <w:ind w:left="0" w:right="0" w:hanging="0"/>
              <w:jc w:val="left"/>
              <w:rPr>
                <w:color w:val="231F20"/>
              </w:rPr>
            </w:pPr>
            <w:r>
              <w:rPr>
                <w:color w:val="231F20"/>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right"/>
              <w:rPr>
                <w:color w:val="231F20"/>
              </w:rPr>
            </w:pPr>
            <w:r>
              <w:rPr>
                <w:color w:val="231F20"/>
              </w:rPr>
              <w:t>​</w:t>
            </w:r>
          </w:p>
        </w:tc>
        <w:tc>
          <w:tcPr>
            <w:tcW w:w="1276" w:type="dxa"/>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September 30,</w:t>
            </w:r>
          </w:p>
        </w:tc>
      </w:tr>
      <w:tr>
        <w:trPr/>
        <w:tc>
          <w:tcPr>
            <w:tcW w:w="4216" w:type="dxa"/>
            <w:tcBorders/>
            <w:vAlign w:val="center"/>
          </w:tcPr>
          <w:p>
            <w:pPr>
              <w:pStyle w:val="TableContents"/>
              <w:bidi w:val="0"/>
              <w:spacing w:before="0" w:after="1"/>
              <w:ind w:left="0" w:right="0" w:hanging="0"/>
              <w:jc w:val="left"/>
              <w:rPr>
                <w:color w:val="231F20"/>
              </w:rPr>
            </w:pPr>
            <w:r>
              <w:rPr>
                <w:color w:val="231F20"/>
              </w:rPr>
              <w:t>​</w:t>
            </w:r>
          </w:p>
        </w:tc>
        <w:tc>
          <w:tcPr>
            <w:tcW w:w="386"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2023</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remaining lease term (years)</w:t>
            </w:r>
          </w:p>
        </w:tc>
        <w:tc>
          <w:tcPr>
            <w:tcW w:w="38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2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w:t>
            </w:r>
          </w:p>
        </w:tc>
      </w:tr>
      <w:tr>
        <w:trPr/>
        <w:tc>
          <w:tcPr>
            <w:tcW w:w="421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discount rate</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27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9.00%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3422" w:type="dxa"/>
        <w:jc w:val="left"/>
        <w:tblInd w:w="0" w:type="dxa"/>
        <w:tblLayout w:type="fixed"/>
        <w:tblCellMar>
          <w:top w:w="0" w:type="dxa"/>
          <w:left w:w="0" w:type="dxa"/>
          <w:bottom w:w="0" w:type="dxa"/>
          <w:right w:w="0" w:type="dxa"/>
        </w:tblCellMar>
      </w:tblPr>
      <w:tblGrid>
        <w:gridCol w:w="391"/>
        <w:gridCol w:w="3031"/>
      </w:tblGrid>
      <w:tr>
        <w:trPr/>
        <w:tc>
          <w:tcPr>
            <w:tcW w:w="39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10.</w:t>
            </w:r>
          </w:p>
        </w:tc>
        <w:tc>
          <w:tcPr>
            <w:tcW w:w="303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Commitments and Contingencies</w:t>
            </w:r>
          </w:p>
        </w:tc>
      </w:tr>
    </w:tbl>
    <w:p>
      <w:pPr>
        <w:pStyle w:val="TextBody"/>
        <w:pBdr/>
        <w:bidi w:val="0"/>
        <w:spacing w:before="0" w:after="0"/>
        <w:ind w:left="0" w:right="0" w:hanging="389"/>
        <w:jc w:val="both"/>
        <w:rPr>
          <w:rFonts w:ascii="Arial;Helvetica;sans-serif" w:hAnsi="Arial;Helvetica;sans-serif"/>
          <w:i/>
          <w:sz w:val="20"/>
        </w:rPr>
      </w:pPr>
      <w:r>
        <w:rPr>
          <w:rFonts w:ascii="Arial;Helvetica;sans-serif" w:hAnsi="Arial;Helvetica;sans-serif"/>
          <w:i/>
          <w:sz w:val="20"/>
        </w:rPr>
        <w:t>Loan Agreement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On September 5, 2023, the Company entered into the Loan Agreement by and between the Company and the Bank. The Loan Agreement provides for a four-year senior secured credit facility in an aggregate principal amount of up to $50.0 million (the “Credit Facility”), of which $25.0 million became available upon the closing of the Private Placement, and the remaining $25.0 million may be made available upon approval of the Bank in its discretion. The Credit Facility will mature on August 1, 2027 (the “Maturity Date”). As of September 30, 2023, the Company had not drawn down from the Credit Facility.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The obligations under the Loan Agreement are secured by substantially all of the assets of the Company, subject to limited exceptions.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2024, as well as certain other fees and expenses of the Bank.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shd w:fill="FFFFFF" w:val="clear"/>
        <w:bidi w:val="0"/>
        <w:spacing w:before="0" w:after="0"/>
        <w:ind w:left="0" w:right="0" w:hanging="0"/>
        <w:jc w:val="both"/>
        <w:rPr/>
      </w:pPr>
      <w:r>
        <w:rPr/>
        <w:t> </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 xml:space="preserve">Clinical Collaboration and Supply Agreement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July 22, 2020, the Company entered into a non-exclusive clinical collaboration and supply agreement with Novartis Institutes for BioMedical Research, Inc. (“Novartis”). On January 13, 2022, the Company entered into the amended and restated clinical collaboration and supply agreement with Novartis, and on October 9, 2023, the Company and Novartis entered into the amendment no. 1 (the “Novartis Amendment”) to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Symbol" w:hAnsi="Symbol"/>
          <w:sz w:val="20"/>
        </w:rPr>
        <w:t>a</w:t>
      </w:r>
      <w:r>
        <w:rPr>
          <w:rFonts w:ascii="Arial;Helvetica;sans-serif" w:hAnsi="Arial;Helvetica;sans-serif"/>
          <w:sz w:val="20"/>
        </w:rPr>
        <w:t xml:space="preserve">”) Inhibitor Piqray® (alpelisib) (collectively the “Novartis Study Drugs”) as part of the Company’s Phase 1b/2 clinical study of palazestrant in patients with metastatic estrogen receptor-positive breast cancer. </w:t>
      </w:r>
      <w:r>
        <w:rPr>
          <w:rFonts w:ascii="Arial;Helvetica;sans-serif" w:hAnsi="Arial;Helvetica;sans-serif"/>
          <w:sz w:val="20"/>
          <w:shd w:fill="FFFFFF" w:val="clear"/>
        </w:rPr>
        <w:t xml:space="preserve">The Novartis Amendment, among other things, expanded our clinical collaboration with </w:t>
      </w:r>
      <w:r>
        <w:rPr>
          <w:rFonts w:ascii="Arial;Helvetica;sans-serif" w:hAnsi="Arial;Helvetica;sans-serif"/>
          <w:sz w:val="20"/>
        </w:rPr>
        <w:t>Novartis</w:t>
      </w:r>
      <w:r>
        <w:rPr>
          <w:rFonts w:ascii="Arial;Helvetica;sans-serif" w:hAnsi="Arial;Helvetica;sans-serif"/>
          <w:sz w:val="20"/>
          <w:shd w:fill="FFFFFF" w:val="clear"/>
        </w:rPr>
        <w:t xml:space="preserve">, increasing the size of the ongoing Phase 1/2 clinical study testing palazestrant in combination with ribociclib to approximately 60 patients. </w:t>
      </w:r>
      <w:r>
        <w:rPr>
          <w:rFonts w:ascii="Arial;Helvetica;sans-serif" w:hAnsi="Arial;Helvetica;sans-serif"/>
          <w:sz w:val="20"/>
        </w:rPr>
        <w:t>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r>
        <w:rPr>
          <w:rFonts w:ascii="Arial;Helvetica;sans-serif" w:hAnsi="Arial;Helvetica;sans-serif"/>
          <w:sz w:val="20"/>
          <w:shd w:fill="FFFFFF" w:val="clea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Costs associated with research activities performed under the agreement are included in research and development expenses in the accompanying condensed consolidated financial statements, with any reimbursable costs from Novartis reflected as a reduction of such expenses. For the three and nine months ended September 30, 2023, costs reimbursable from Novartis were $0.6 million and $2.0 million, respectively. As of September 30, 2023, the Company had incurred the full agreed-upon reimbursement amount. The receivable due from Novartis was $2.5 million, which is recorded under prepaid expenses and other current assets in the accompanying condensed consolidated balance sheets.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Clinical Trial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and nine months ended September 30, 2023, and 2022.</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License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on product sales, if any. During the research term, the Company will contribute funding to Aurigene to facilitate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$8.0 million upfront payment was incurred in June 2022 and recorded as research and development expense in the accompanying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September 30, 2023, it was determined that it is not probable to achieve any of the milestone targets, and therefore, the Company recorded zero expense related to the milestone for the three and nine months ended September 30, 2023.</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Management Services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September 30, 2023, the Company did not have material contractual commitments with respect to these arrangements.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Contingencies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Indemnification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September 30, 2023, and December 31, 2022, the Company had not incurred any material costs as a result of such indemnifications.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38" w:name="Item2ManagementsDiscussionandAnalysisofF"/>
      <w:bookmarkStart w:id="1239" w:name="_2eda1e9c_efcb_4b7a_8945_946b4b088492"/>
      <w:bookmarkEnd w:id="1238"/>
      <w:bookmarkEnd w:id="1239"/>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2022, filed with the U.S. Securities and Exchange Commission, or the SEC, on March 9, 2023, or our Annual Report on Form 10-K.</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palazestrant (OP-1250), is a novel oral therapy with combined activity as both a complete ER antagonist, or CERAN, and a selective ER degrader, or SERD, which we believe will drive deeper, more durable responses than existing therapies. Palazestrant, both as a monotherapy and in combination with inhibitors of cyclin-dependent kinase 4 and 6, or CDK4/6, demonstrated robust anti-tumor activity in a range of preclinical xenograft models of breast cancer, including in ESR1 and PIK3C</w:t>
      </w:r>
      <w:r>
        <w:rPr>
          <w:rFonts w:ascii="Symbol" w:hAnsi="Symbol"/>
          <w:sz w:val="20"/>
        </w:rPr>
        <w:t>a</w:t>
      </w:r>
      <w:r>
        <w:rPr>
          <w:rFonts w:ascii="Arial;Helvetica;sans-serif" w:hAnsi="Arial;Helvetica;sans-serif"/>
          <w:sz w:val="20"/>
          <w:shd w:fill="FFFFFF" w:val="clear"/>
        </w:rPr>
        <w:t xml:space="preserve"> mutations and central nervous system, or CNS, metastasis. In August 2020, we initiated an ongoing Phase 1/2 monotherapy dose escalation and expansion study evaluating palazestrant for the treatment of recurrent, locally advanced or metastatic ER-positive, or ER+, human epidermal growth factor receptor 2-negative, or HER2-, breast cancer. We reported initial data from the Phase 1a dose escalation portion of this study in November 2021, which provided proof-of-concept for palazestrant as a monotherapy treatment for ER+/HER2- breast cancer. We reported additional monotherapy data from the Phase 1b dose expansion portion of this study in October 2022. In October 2023 at the European Society for Medical Oncology, or ESMO, Congress 2023, we presented Phase 2 clinical data for palazestrant as a monotherapy which highlighted that: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Across 86 heavily pretreated patients, where 42% of patients were fourth-line or later at study entry, 120 mg once-daily, monotherapy palazestrant was well tolerated and achieved a median progression-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free survival, or PFS, of 4.6 months and clinical benefit rate, or CBR, of 40%, and a median PFS of 5.6 months and CBR of 52% in patients with ESR1 mutations at baseline.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In a subset analysis of 49 second- or third-line patients with or without prior chemotherapy, the median PFS was 7.2 months and CBR was 48% across all patients, and the median PFS was 7.3 months and CBR was 59% in ESR1-mutant patients.</w:t>
            </w:r>
          </w:p>
        </w:tc>
      </w:tr>
    </w:tbl>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We expect to enroll the first patient in our proposed Phase 3 monotherapy clinical trial for the treatment of advanced or metastatic breast cancer (OPERA-01) in the fourth quarter of 2023.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 xml:space="preserve">In 2022, we also initiated Phase 1b/2 dose escalation and expansion studies evaluating palazestrant in combination with CDK4/6 inhibitors palbociclib and ribociclib and phosphatidylinositol 3 kinase alpha, or </w:t>
      </w:r>
      <w:r>
        <w:rPr>
          <w:rFonts w:ascii="Arial;Helvetica;sans-serif" w:hAnsi="Arial;Helvetica;sans-serif"/>
          <w:sz w:val="20"/>
        </w:rPr>
        <w:t>PI3K</w:t>
      </w:r>
      <w:r>
        <w:rPr>
          <w:rFonts w:ascii="Symbol" w:hAnsi="Symbol"/>
          <w:sz w:val="20"/>
        </w:rPr>
        <w:t>a,</w:t>
      </w:r>
      <w:r>
        <w:rPr>
          <w:rFonts w:ascii="Arial;Helvetica;sans-serif" w:hAnsi="Arial;Helvetica;sans-serif"/>
          <w:sz w:val="20"/>
          <w:shd w:fill="FFFFFF" w:val="clear"/>
        </w:rPr>
        <w:t xml:space="preserve"> inhibitor, alpelisib. In December 2022, we reported initial data from the Phase 1a dose escalation portion of the study in combination with palbociclib which demonstrated combinability including no drug-drug interaction, or DDI, between the two agents. In May 2023, we presented additional interim data from the combination study which continued to demonstrate combinability,</w:t>
      </w:r>
      <w:r>
        <w:rPr>
          <w:rFonts w:ascii="Arial;Helvetica;sans-serif" w:hAnsi="Arial;Helvetica;sans-serif"/>
          <w:sz w:val="20"/>
        </w:rPr>
        <w:t xml:space="preserve"> with no DDI between palbociclib and palazestrant. Exposure of palbociclib and palazestrant in combination with each other was consistent with observed monotherapy exposure levels.</w:t>
      </w:r>
      <w:r>
        <w:rPr>
          <w:rFonts w:ascii="Arial;Helvetica;sans-serif" w:hAnsi="Arial;Helvetica;sans-serif"/>
          <w:sz w:val="20"/>
          <w:shd w:fill="FFFFFF" w:val="clear"/>
        </w:rPr>
        <w:t xml:space="preserve"> We anticipate presenting updated results from the Phase 2 expansion portion of the palazestrant-palbociclib combination clinical study and from the Phase 1b dose escalation portion of the palazestrant-ribociclib combination clinical study at the 2023 San Antonio Breast Cancer Symposium in December 2023. In October 2023, we announced the expansion of our clinical collaboration with </w:t>
      </w:r>
      <w:r>
        <w:rPr>
          <w:rFonts w:ascii="Arial;Helvetica;sans-serif" w:hAnsi="Arial;Helvetica;sans-serif"/>
          <w:sz w:val="20"/>
        </w:rPr>
        <w:t xml:space="preserve">Novartis Institutes for BioMedical Research, Inc., or </w:t>
      </w:r>
      <w:r>
        <w:rPr>
          <w:rFonts w:ascii="Arial;Helvetica;sans-serif" w:hAnsi="Arial;Helvetica;sans-serif"/>
          <w:sz w:val="20"/>
          <w:shd w:fill="FFFFFF" w:val="clear"/>
        </w:rPr>
        <w:t>Novartis, increasing the size of the ongoing Phase 1/2 clinical study testing palazestrant in combination with ribociclib to approximately 60 patients.</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In July 2022, we were granted Fast Track designation from the U.S. Food and Drug Administration, or the FDA, for palazestrant for patients with ER+/HER2- metastatic breast cancer that has progressed following one or more lines of endocrine therapy with at least one line given in combination with a CDK4/6 inhibitor. Based on the clinical results we have achieved to date, we are advancing palazestrant through late-stage clinical development both as a monotherapy and in combination with other targeted agents. We own worldwide development and commercialization rights to palazestrant. We believe palazestrant’s oral formulation and dual mechanism of action directly address the limitations of current endocrine therapies, such as fulvestrant and tamoxifen, and position palazestrant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shd w:fill="FFFFFF" w:val="clear"/>
        </w:rPr>
        <w:t xml:space="preserve">In October 2023, we announced a new pipeline asset, reporting new preclinical data regarding the discovery of novel compounds targeting KAT6, an epigenetic target that is dysregulated in breast and other cancers, demonstrating potent anti-tumor activity. We are developing this asset in collaboration with </w:t>
      </w:r>
      <w:r>
        <w:rPr>
          <w:rFonts w:ascii="Arial;Helvetica;sans-serif" w:hAnsi="Arial;Helvetica;sans-serif"/>
          <w:sz w:val="20"/>
        </w:rPr>
        <w:t>Aurigene Discovery Technologies Limited, or Aurigene. We expect to file an Investigational New Drug, or IND, application with the FDA in 2024</w:t>
      </w:r>
      <w:r>
        <w:rPr>
          <w:rFonts w:ascii="Arial;Helvetica;sans-serif" w:hAnsi="Arial;Helvetica;sans-serif"/>
          <w:sz w:val="20"/>
          <w:shd w:fill="FFFFFF" w:val="clea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In March 2023, we announced a corporate restructuring and portfolio prioritization to focus our resources on the late-stage clinical development of palazestrant for the treatment of ER+/HER2- metastatic breast cancer.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In September 2023, we entered into a stock purchase agreement for a private placement of 13,211,381 shares of our common stock, at a price of $9.84 per share, to selected institutional and accredited investors resulting in gross proceeds of approximately $130.0 million, or the Private Placement. We also entered into the Loan and Security Agreement, or the Loan Agreement, with Silicon Valley Bank, a division of First-Citizens Bank &amp; Trust Company, or the Bank, providing us with up to $50.0 million of borrowing capacity, or the Credit Facility, of which $25.0 million became available upon the closing of the Private Placement on September 12, 2023, and the remaining $25.0 million may be made available upon approval of the Bank in its discretion.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2023, we had cash, cash equivalents, and marketable securities of $276.9 million. We believe that our cash, cash equivalents, and marketable securities as of September 30, 2023, as well as the available balance under the Credit Facility, will be sufficient to fund our current operating plan into 2027.</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have incurred significant operating losses since the commencement of our operations. Our net losses were $21.5 million and $22.7 million for the three months ended September 30, 2023 and 2022, respectively, and $69.9 million and $78.6 million for the nine months ended September 30, 2023 and 2022, respectively. </w:t>
      </w:r>
      <w:r>
        <w:rPr>
          <w:rFonts w:ascii="Arial;Helvetica;sans-serif" w:hAnsi="Arial;Helvetica;sans-serif"/>
          <w:sz w:val="20"/>
          <w:shd w:fill="FFFFFF" w:val="clear"/>
        </w:rPr>
        <w:t>We expect to incur significant and increasing losses for the foreseeable future as we continue to advance our product candidate, make potential milestone payments to our licensors, and as we continue to operate as a public company. Our net losses may fluctuate significantly from period to period, depending on the timing of expenditures on our research and development activities. As of September 30, 2023, we had an accumulated deficit of $278.9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r>
        <w:rPr>
          <w:rFonts w:ascii="Arial;Helvetica;sans-serif" w:hAnsi="Arial;Helvetica;san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 our ongoing and planned research and development of our lead product candidate, palazestrant, for the treatment of ER+ positive breast cancer;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initiate nonclinical studies and clinical trials for any additional product candidates that we may pursue in the future;</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 to discover and develop additional product candidates and further expand our clinical product pipeline;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 regulatory approvals for any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 to scale up external manufacturing capacity with the aim of securing sufficient quantities to meet our capacity requirements for clinical trials and potential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 a sales, marketing and distribution infrastructure to commercialize any approved product candidates and related additional commercial manufacturing costs;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 maintain, expand, protect and enforce our intellectual property portfolio, including patents, trade secrets and know how;</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attract, hire and retain additional clinical, scientific, quality control, and manufacturing management and administrative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 clinical, operational, financial and management information systems and personnel, including personnel to support our product development and planned future commercialization efforts;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expand our operations in the United States and to other geographies;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incur additional legal, accounting, investor relations and other expenses associated with operating as a public company.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will require substantial additional funding to develop our product candidate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risk of a U.S. government shutdown, as well as potential disruptions from the Russia-Ukraine conflict and armed conflict between Israel and groups based in surrounding regions,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date, we have not generated any revenue from product sales and do not expect to generate any revenue from the sale of products for the foreseeable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palazestrant.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External expenses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expenses incurred in connection with the discovery and nonclinical development of our product candidates, including under agreements with third parties, such as consultants and contract research organizations, or CROs;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manufacturing products for use in our nonclinical studies and clinical trials, including payments to contract manufacturing organizations, or CMOs, and consultants;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funding research performed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purchasing lab supplies and non-capital equipment used in designing, developing and manufacturing nonclinical study and clinical trial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associated with consultants for chemistry, manufacturing and controls development, regulatory, statistics and other services;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expenses related to regulatory activities, including filing fees paid to regulatory agencies; and</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facility costs including rent, depreciation and maintenance expenses.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to advance the development of our lead product candidate and nonclinical program were $19.5 million and $17.6 million for the three months ended September 30, 2023 and 2022, respectively, and $60.3 million and $60.7 million for the nine months ended September 30, 2023 and 2022,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our research and development expenses may fluctuate from period to period, we generally expect our research and development expenses to increase substantially in absolute dollars for the foreseeable future as we advance palazestrant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progress of nonclinical and clinical development activities;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number and scope of nonclinical and clinical programs we decide to pursue;</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maintain our current research and development programs and to establish new ones;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an appropriate safety profile with investigational new drug-enabling toxicology studies;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successful patient enrollment in, and the initiation and completion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successful completion of clinical trials with safety, tolerability and efficacy profiles that are satisfactory to the FDA or any comparable foreign regulatory authority;</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commercial manufacturing capabilities or making arrangements with third-party manufacturers;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receipt of regulatory approvals from applicable regulatory authorities;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receipt and terms of any marketing approvals from applicable regulatory authorities;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establish licensing or collaboration arrangements;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performance of our future collaborators, if any;</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 and timely delivery of commercial-grade product formulations that can be used in our planned clinical trials and for commercial launch;</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commercializing the product candidate, if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and maintaining patent and trade secret protection and regulatory exclusivity for our product candidates;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maintaining, defending and enforcing patent claims and other intellectual property rights;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maintaining continued acceptable safety profiles of our products following approval; and</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and retaining key research and development personnel.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changes in the outcome of any of these factors could significantly impact the costs, timing and viability associated with the development of our product candidates.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Total other income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Total other income consists of interest income and other expense. Interest income primarily consists of interest income on our cash equivalents and marketable securities. Other expense primarily consists of unrealized foreign currency remeasurement gain (loss), loss on disposal of equipment and miscellaneous income (expense) not related to operating activities.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Comparison of the three months ended September 30, 2023 and 2022</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our results of operations for the three months ended September 30, 2023 and 2022:</w:t>
      </w:r>
    </w:p>
    <w:tbl>
      <w:tblPr>
        <w:tblW w:w="6686" w:type="dxa"/>
        <w:jc w:val="left"/>
        <w:tblInd w:w="0" w:type="dxa"/>
        <w:tblLayout w:type="fixed"/>
        <w:tblCellMar>
          <w:top w:w="0" w:type="dxa"/>
          <w:left w:w="0" w:type="dxa"/>
          <w:bottom w:w="0" w:type="dxa"/>
          <w:right w:w="0" w:type="dxa"/>
        </w:tblCellMar>
      </w:tblPr>
      <w:tblGrid>
        <w:gridCol w:w="2491"/>
        <w:gridCol w:w="264"/>
        <w:gridCol w:w="1016"/>
        <w:gridCol w:w="408"/>
        <w:gridCol w:w="264"/>
        <w:gridCol w:w="1016"/>
        <w:gridCol w:w="326"/>
        <w:gridCol w:w="90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81785" cy="175260"/>
                      <wp:effectExtent l="0" t="0" r="0" b="0"/>
                      <wp:wrapNone/>
                      <wp:docPr id="205" name="Frame20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7640" cy="175260"/>
                      <wp:effectExtent l="0" t="0" r="0" b="0"/>
                      <wp:wrapNone/>
                      <wp:docPr id="206" name="Frame20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5160" cy="175260"/>
                      <wp:effectExtent l="0" t="0" r="0" b="0"/>
                      <wp:wrapNone/>
                      <wp:docPr id="207" name="Frame207"/>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59080" cy="175260"/>
                      <wp:effectExtent l="0" t="0" r="0" b="0"/>
                      <wp:wrapNone/>
                      <wp:docPr id="208" name="Frame208"/>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7640" cy="175260"/>
                      <wp:effectExtent l="0" t="0" r="0" b="0"/>
                      <wp:wrapNone/>
                      <wp:docPr id="209" name="Frame209"/>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5160" cy="175260"/>
                      <wp:effectExtent l="0" t="0" r="0" b="0"/>
                      <wp:wrapNone/>
                      <wp:docPr id="210" name="Frame210"/>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2135" cy="175260"/>
                      <wp:effectExtent l="0" t="0" r="0" b="0"/>
                      <wp:wrapNone/>
                      <wp:docPr id="212" name="Frame2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968" w:type="dxa"/>
            <w:gridSpan w:val="5"/>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12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8"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Change</w:t>
            </w:r>
          </w:p>
        </w:tc>
      </w:tr>
      <w:tr>
        <w:trPr/>
        <w:tc>
          <w:tcPr>
            <w:tcW w:w="2491"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3931" w:type="dxa"/>
            <w:gridSpan w:val="6"/>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264"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pPr>
            <w:r>
              <w:rPr/>
              <w:t>  </w:t>
            </w:r>
          </w:p>
        </w:tc>
        <w:tc>
          <w:tcPr>
            <w:tcW w:w="408"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2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19,453</w:t>
            </w:r>
          </w:p>
        </w:tc>
        <w:tc>
          <w:tcPr>
            <w:tcW w:w="408"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17,627</w:t>
            </w:r>
          </w:p>
        </w:tc>
        <w:tc>
          <w:tcPr>
            <w:tcW w:w="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1,826</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264" w:type="dxa"/>
            <w:tcBorders/>
            <w:shd w:fill="CCEEFF" w:val="clear"/>
            <w:vAlign w:val="center"/>
          </w:tcPr>
          <w:p>
            <w:pPr>
              <w:pStyle w:val="TableContents"/>
              <w:bidi w:val="0"/>
              <w:spacing w:before="0" w:after="1"/>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3,889</w:t>
            </w:r>
          </w:p>
        </w:tc>
        <w:tc>
          <w:tcPr>
            <w:tcW w:w="4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5,595</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(1,706)</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264" w:type="dxa"/>
            <w:tcBorders/>
            <w:vAlign w:val="center"/>
          </w:tcPr>
          <w:p>
            <w:pPr>
              <w:pStyle w:val="TableContents"/>
              <w:bidi w:val="0"/>
              <w:spacing w:before="0" w:after="1"/>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23,342</w:t>
            </w:r>
          </w:p>
        </w:tc>
        <w:tc>
          <w:tcPr>
            <w:tcW w:w="4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23,222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264" w:type="dxa"/>
            <w:tcBorders/>
            <w:shd w:fill="CCEEFF" w:val="clear"/>
            <w:vAlign w:val="center"/>
          </w:tcPr>
          <w:p>
            <w:pPr>
              <w:pStyle w:val="TableContents"/>
              <w:bidi w:val="0"/>
              <w:spacing w:before="0" w:after="1"/>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(23,342)</w:t>
            </w:r>
          </w:p>
        </w:tc>
        <w:tc>
          <w:tcPr>
            <w:tcW w:w="4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(23,222)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264" w:type="dxa"/>
            <w:tcBorders/>
            <w:vAlign w:val="center"/>
          </w:tcPr>
          <w:p>
            <w:pPr>
              <w:pStyle w:val="TableContents"/>
              <w:bidi w:val="0"/>
              <w:spacing w:before="0" w:after="1"/>
              <w:ind w:left="0" w:right="0" w:hanging="0"/>
              <w:jc w:val="left"/>
              <w:rPr/>
            </w:pPr>
            <w:r>
              <w:rPr/>
              <w:t> </w:t>
            </w:r>
          </w:p>
        </w:tc>
        <w:tc>
          <w:tcPr>
            <w:tcW w:w="1016" w:type="dxa"/>
            <w:tcBorders/>
            <w:vAlign w:val="center"/>
          </w:tcPr>
          <w:p>
            <w:pPr>
              <w:pStyle w:val="TableContents"/>
              <w:bidi w:val="0"/>
              <w:spacing w:before="0" w:after="1"/>
              <w:ind w:left="0" w:right="0" w:hanging="0"/>
              <w:jc w:val="left"/>
              <w:rPr/>
            </w:pPr>
            <w:r>
              <w:rPr/>
              <w:t>  </w:t>
            </w:r>
          </w:p>
        </w:tc>
        <w:tc>
          <w:tcPr>
            <w:tcW w:w="408"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right"/>
              <w:rPr/>
            </w:pPr>
            <w:r>
              <w:rPr/>
              <w:t> </w:t>
            </w:r>
          </w:p>
        </w:tc>
        <w:tc>
          <w:tcPr>
            <w:tcW w:w="101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264"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1,919</w:t>
            </w:r>
          </w:p>
        </w:tc>
        <w:tc>
          <w:tcPr>
            <w:tcW w:w="408"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right"/>
              <w:rPr/>
            </w:pPr>
            <w:r>
              <w:rPr/>
              <w:t> </w:t>
            </w:r>
          </w:p>
        </w:tc>
        <w:tc>
          <w:tcPr>
            <w:tcW w:w="10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1,297</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w:t>
            </w:r>
          </w:p>
        </w:tc>
        <w:tc>
          <w:tcPr>
            <w:tcW w:w="264" w:type="dxa"/>
            <w:tcBorders/>
            <w:vAlign w:val="center"/>
          </w:tcPr>
          <w:p>
            <w:pPr>
              <w:pStyle w:val="TableContents"/>
              <w:bidi w:val="0"/>
              <w:spacing w:before="0" w:after="1"/>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w:t>
            </w:r>
          </w:p>
        </w:tc>
        <w:tc>
          <w:tcPr>
            <w:tcW w:w="4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w:t>
            </w:r>
          </w:p>
        </w:tc>
        <w:tc>
          <w:tcPr>
            <w:tcW w:w="264" w:type="dxa"/>
            <w:tcBorders/>
            <w:shd w:fill="CCEEFF" w:val="clear"/>
            <w:vAlign w:val="center"/>
          </w:tcPr>
          <w:p>
            <w:pPr>
              <w:pStyle w:val="TableContents"/>
              <w:bidi w:val="0"/>
              <w:spacing w:before="0" w:after="1"/>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1,840</w:t>
            </w:r>
          </w:p>
        </w:tc>
        <w:tc>
          <w:tcPr>
            <w:tcW w:w="4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1,338</w:t>
            </w:r>
          </w:p>
        </w:tc>
      </w:tr>
      <w:tr>
        <w:trPr/>
        <w:tc>
          <w:tcPr>
            <w:tcW w:w="249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(21,502)</w:t>
            </w:r>
          </w:p>
        </w:tc>
        <w:tc>
          <w:tcPr>
            <w:tcW w:w="40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(22,720)</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1,218</w:t>
            </w:r>
          </w:p>
        </w:tc>
      </w:tr>
    </w:tbl>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Research and development expenses for the three months ended September 30, 2023 were $19.5 million, compared to $17.6 million for the three months ended September 30, 2022. The increase of $1.8 million was primarily due to increased spending on clinical operations and development-related activities as we continue to advance palazestrant into late-stage clinical trials. The increase was partially offset by decreased spending on (i) </w:t>
      </w:r>
      <w:r>
        <w:rPr>
          <w:rFonts w:ascii="Arial;Helvetica;sans-serif" w:hAnsi="Arial;Helvetica;sans-serif"/>
          <w:sz w:val="20"/>
          <w:shd w:fill="FFFFFF" w:val="clear"/>
        </w:rPr>
        <w:t>clinical pharmacology-related costs, and (ii) personnel-related expenses, which primarily related to lower headcount as a result of the restructuring and portfolio prioritization during the first quarter of 2023</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General and administrative expenses for the three months ended September 30, 2023 were $3.9 million compared to $5.6 million for the three months ended September 30, 2022. The decrease of $1.7 million was primarily due to decreased spending on (i) corporate- and legal-related costs, and (ii) personnel-related expenses, primarily due to lower headcount as a result of the restructuring and portfolio prioritization, and a decrease of approximately </w:t>
      </w:r>
      <w:r>
        <w:rPr>
          <w:rFonts w:ascii="Arial;Helvetica;sans-serif" w:hAnsi="Arial;Helvetica;sans-serif"/>
          <w:sz w:val="20"/>
          <w:shd w:fill="FFFFFF" w:val="clear"/>
        </w:rPr>
        <w:t>$0.2 million in non-cash stock-based compensation expense</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income for the three months ended September 30, 2023 was $1.8 million, which primarily consisted of interest income from our marketable securities of $1.9 million, partially offset by losses from the sale of the fixed assets.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Comparison of the nine months ended September 30, 2023 and 2022</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our results of operations for the nine months ended September 30, 2023 and 2022:</w:t>
      </w:r>
    </w:p>
    <w:tbl>
      <w:tblPr>
        <w:tblW w:w="6922" w:type="dxa"/>
        <w:jc w:val="left"/>
        <w:tblInd w:w="0" w:type="dxa"/>
        <w:tblLayout w:type="fixed"/>
        <w:tblCellMar>
          <w:top w:w="0" w:type="dxa"/>
          <w:left w:w="0" w:type="dxa"/>
          <w:bottom w:w="0" w:type="dxa"/>
          <w:right w:w="0" w:type="dxa"/>
        </w:tblCellMar>
      </w:tblPr>
      <w:tblGrid>
        <w:gridCol w:w="2491"/>
        <w:gridCol w:w="326"/>
        <w:gridCol w:w="256"/>
        <w:gridCol w:w="985"/>
        <w:gridCol w:w="396"/>
        <w:gridCol w:w="256"/>
        <w:gridCol w:w="985"/>
        <w:gridCol w:w="326"/>
        <w:gridCol w:w="90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81785" cy="175260"/>
                      <wp:effectExtent l="0" t="0" r="0" b="0"/>
                      <wp:wrapNone/>
                      <wp:docPr id="213" name="Frame21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2560" cy="175260"/>
                      <wp:effectExtent l="0" t="0" r="0" b="0"/>
                      <wp:wrapNone/>
                      <wp:docPr id="215" name="Frame21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25475" cy="175260"/>
                      <wp:effectExtent l="0" t="0" r="0" b="0"/>
                      <wp:wrapNone/>
                      <wp:docPr id="216" name="Frame21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51460" cy="175260"/>
                      <wp:effectExtent l="0" t="0" r="0" b="0"/>
                      <wp:wrapNone/>
                      <wp:docPr id="217" name="Frame21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2560" cy="175260"/>
                      <wp:effectExtent l="0" t="0" r="0" b="0"/>
                      <wp:wrapNone/>
                      <wp:docPr id="218" name="Frame21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25475" cy="175260"/>
                      <wp:effectExtent l="0" t="0" r="0" b="0"/>
                      <wp:wrapNone/>
                      <wp:docPr id="219" name="Frame219"/>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72135" cy="175260"/>
                      <wp:effectExtent l="0" t="0" r="0" b="0"/>
                      <wp:wrapNone/>
                      <wp:docPr id="221" name="Frame2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878" w:type="dxa"/>
            <w:gridSpan w:val="5"/>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2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Change</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849" w:type="dxa"/>
            <w:gridSpan w:val="6"/>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pPr>
            <w:r>
              <w:rPr/>
              <w:t>  </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8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60,268</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8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60,690</w:t>
            </w:r>
          </w:p>
        </w:tc>
        <w:tc>
          <w:tcPr>
            <w:tcW w:w="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14,277</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19,079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(4,802)</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74,545</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79,769</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(5,224)</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(74,545)</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(79,769)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5,224</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left"/>
              <w:rPr/>
            </w:pPr>
            <w:r>
              <w:rPr/>
              <w:t>  </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pPr>
            <w:r>
              <w:rPr/>
              <w:t> </w:t>
            </w:r>
          </w:p>
        </w:tc>
        <w:tc>
          <w:tcPr>
            <w:tcW w:w="985"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right"/>
              <w:rPr/>
            </w:pPr>
            <w:r>
              <w:rPr/>
              <w:t> </w:t>
            </w:r>
          </w:p>
        </w:tc>
        <w:tc>
          <w:tcPr>
            <w:tcW w:w="90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4,774</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right"/>
              <w:rPr/>
            </w:pPr>
            <w:r>
              <w:rPr/>
              <w:t> </w:t>
            </w:r>
          </w:p>
        </w:tc>
        <w:tc>
          <w:tcPr>
            <w:tcW w:w="98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1,255</w:t>
            </w:r>
          </w:p>
        </w:tc>
        <w:tc>
          <w:tcPr>
            <w:tcW w:w="326" w:type="dxa"/>
            <w:tcBorders/>
            <w:shd w:fill="CCEEFF" w:val="clear"/>
            <w:vAlign w:val="center"/>
          </w:tcPr>
          <w:p>
            <w:pPr>
              <w:pStyle w:val="TableContents"/>
              <w:bidi w:val="0"/>
              <w:spacing w:before="0" w:after="1"/>
              <w:ind w:left="0" w:right="0" w:hanging="0"/>
              <w:jc w:val="righ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3,519</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4,662</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3,501</w:t>
            </w:r>
          </w:p>
        </w:tc>
      </w:tr>
      <w:tr>
        <w:trPr/>
        <w:tc>
          <w:tcPr>
            <w:tcW w:w="249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(69,883)</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8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(78,608)</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8,725</w:t>
            </w:r>
          </w:p>
        </w:tc>
      </w:tr>
    </w:tbl>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Research and development expenses for the nine months ended September 30, 2023 were $60.3 million, compared to $60.7 million for the nine months ended September 30, 2022. The decrease of $0.4 million was primarily due to decreased spending on preclinical research programs, </w:t>
      </w:r>
      <w:r>
        <w:rPr>
          <w:rFonts w:ascii="Arial;Helvetica;sans-serif" w:hAnsi="Arial;Helvetica;sans-serif"/>
          <w:sz w:val="20"/>
          <w:shd w:fill="FFFFFF" w:val="clear"/>
        </w:rPr>
        <w:t>including the $8.0 million upfront payment in connection with the exclusive global license agreement entered into in June 2022 between the Company and Aurigene, or the Aurigene Agreement, incurred and paid in June 2022, and (ii) personnel-related expenses, which primarily related to lower headcount as a result of the restructuring and portfolio prioritization, and a decrease of approximately $0.2 million in non-cash stock-based compensation expense. Total decreases were primarily offset by increased spending on clinical operations-related activities as we continue to advance palazestrant into late-stage clinical trials</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General and administrative expenses for the nine months ended September 30, 2023 were $14.3 million compared to $19.1 million for the nine months ended September 30, 2022. The decrease of $4.8 million was primarily due to decreased spending on (i) corporate and legal-related costs, and (ii) personnel-related expenses, which primarily related to lower headcount as a result of the restructuring and portfolio prioritization, and a decrease </w:t>
      </w:r>
      <w:r>
        <w:rPr>
          <w:rFonts w:ascii="Arial;Helvetica;sans-serif" w:hAnsi="Arial;Helvetica;sans-serif"/>
          <w:sz w:val="20"/>
          <w:shd w:fill="FFFFFF" w:val="clear"/>
        </w:rPr>
        <w:t>of approximately $0.8 million in non-cash stock-based compensation expense</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 xml:space="preserve">Other income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income for the nine months ended September 30, 2023 was $4.7 million, which primarily consisted of interest income from our marketable securities of $4.8 million, partially offset by losses from the sale of the disposed assets.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Sources of liquidity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Since our inception, we have not generated any revenue from product sales and have incurred significant operating losses and negative cash flows from our operations. Our net losses were $21.5 million and $22.7 million for the three months ended September 30, 2023 and 2022, respectively, and $69.9 million and $78.6 million for the nine months ended September 30, 2023 and 2022, respectively. Through September 30, 2023, we had received aggregate gross proceeds of $526.1 million from sales of our common stock, convertible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preferred stock and issuance of convertible promissory notes, stock option exercises, and sale of stock through the Company’s 2020 Employee Stock Purchase Plan, or ESPP.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As of September 30, 2023, we had $276.9 million in cash, cash equivalents and marketable securities and accumulated deficit of $278.9 million. We had no debt outstanding as of September 30, 2023.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September 2023, we completed the Private Placement  resulting in gross proceeds of approximately $130.0 million. After deducting offering expenses related to the Private Placement of approximately $0.2 million, the net proceeds to from the Private Placement were approximately $129.8 million</w:t>
      </w:r>
      <w:r>
        <w:rPr>
          <w:rFonts w:ascii="Arial;Helvetica;sans-serif" w:hAnsi="Arial;Helvetica;sans-serif"/>
          <w:sz w:val="20"/>
          <w:shd w:fill="FFFFFF" w:val="clea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Also on September 5, 2023, we entered into the Loan Agreement which provides for the Credit Facility in an aggregate principal amount of up to $50.0 million, of which $25.0 million became available upon the closing of the Private Placement, and the remaining $25.0 million may be made available upon approval of the Bank in its discretion. The Credit Facility will mature on August 1, 2027. As of September 30, 2023, we had not drawn down from the Credit Facility, and had no other debt outstanding.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to incur significant expenses and operating losses for the foreseeable future as we advance the clinical development of palazestrant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primary uses of cash are to fund our research and development activities, including with respect to palazestrant and other nonclinical programs, business planning, establishing and maintaining our intellectual property portfolio, hiring personnel, raising capital and providing general and administrative support for these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than as noted above, we currently have no financing commitments, such as lines of credit or guarantees, that are expected to affect our liquidity over the next five years.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Future funding and material cash requirements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our cash, cash equivalents, and marketable securities as of September 30, 2023, as well as the available balance under the Credit Facility, will enable us to fund our current operating plan into 2027. We anticipate our cash, cash equivalents, and marketable securities balance to range between $250.0 to $255.0 million on December 31, 2023. If we are unable to raise capital when needed or on attractive terms, we would be forced to delay, reduce or eliminate our research and development programs or future commercialization efforts. Our future capital requirements will depend on many factors, including:</w:t>
      </w:r>
    </w:p>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progress, results and costs of product discovery, nonclinical studies and clinical trials;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prioritization and number of our research and development programs;</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timing and outcome of regulatory review of our product candidate;</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establish and maintain collaborations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achievement of milestones or occurrence of other developments that trigger payments under any collaboration agreements we enter into;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extent to which we are obligated to reimburse, or entitled to reimbursement of, clinical trial costs under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preparing, filing and prosecuting patent applications, maintaining and enforcing our intellectual property rights and defending intellectual property-related claims;</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extent to which we acquire or in-license other product candidates and technologies;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securing manufacturing arrangements for commercial production;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establishing or contracting for sales and marketing capabilities if we obtain regulatory approvals to market our product candidates.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flows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shows a summary of our cash flows for each of the periods presented:</w:t>
      </w:r>
    </w:p>
    <w:tbl>
      <w:tblPr>
        <w:tblW w:w="7060" w:type="dxa"/>
        <w:jc w:val="left"/>
        <w:tblInd w:w="0" w:type="dxa"/>
        <w:tblLayout w:type="fixed"/>
        <w:tblCellMar>
          <w:top w:w="0" w:type="dxa"/>
          <w:left w:w="0" w:type="dxa"/>
          <w:bottom w:w="0" w:type="dxa"/>
          <w:right w:w="0" w:type="dxa"/>
        </w:tblCellMar>
      </w:tblPr>
      <w:tblGrid>
        <w:gridCol w:w="3811"/>
        <w:gridCol w:w="326"/>
        <w:gridCol w:w="255"/>
        <w:gridCol w:w="982"/>
        <w:gridCol w:w="394"/>
        <w:gridCol w:w="255"/>
        <w:gridCol w:w="1037"/>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19985" cy="175260"/>
                      <wp:effectExtent l="0" t="0" r="0" b="0"/>
                      <wp:wrapNone/>
                      <wp:docPr id="222" name="Frame222"/>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1925" cy="175260"/>
                      <wp:effectExtent l="0" t="0" r="0" b="0"/>
                      <wp:wrapNone/>
                      <wp:docPr id="224" name="Frame22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23570" cy="175260"/>
                      <wp:effectExtent l="0" t="0" r="0" b="0"/>
                      <wp:wrapNone/>
                      <wp:docPr id="225" name="Frame225"/>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0190" cy="175260"/>
                      <wp:effectExtent l="0" t="0" r="0" b="0"/>
                      <wp:wrapNone/>
                      <wp:docPr id="226" name="Frame22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1925" cy="175260"/>
                      <wp:effectExtent l="0" t="0" r="0" b="0"/>
                      <wp:wrapNone/>
                      <wp:docPr id="227" name="Frame22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58495" cy="175260"/>
                      <wp:effectExtent l="0" t="0" r="0" b="0"/>
                      <wp:wrapNone/>
                      <wp:docPr id="228" name="Frame228"/>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923"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26" w:type="dxa"/>
            <w:tcBorders/>
            <w:vAlign w:val="center"/>
          </w:tcPr>
          <w:p>
            <w:pPr>
              <w:pStyle w:val="TableContents"/>
              <w:bidi w:val="0"/>
              <w:spacing w:before="0" w:after="1"/>
              <w:ind w:left="0" w:right="0" w:hanging="0"/>
              <w:jc w:val="center"/>
              <w:rPr/>
            </w:pPr>
            <w:r>
              <w:rPr/>
              <w:t>    </w:t>
            </w:r>
          </w:p>
        </w:tc>
        <w:tc>
          <w:tcPr>
            <w:tcW w:w="12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811"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8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(65,251)</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3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(62,354)</w:t>
            </w:r>
          </w:p>
        </w:tc>
      </w:tr>
      <w:tr>
        <w:trPr/>
        <w:tc>
          <w:tcPr>
            <w:tcW w:w="3811"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Net cash provided by investing activities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right"/>
              <w:rPr/>
            </w:pPr>
            <w:r>
              <w:rPr/>
              <w:t> </w:t>
            </w:r>
          </w:p>
        </w:tc>
        <w:tc>
          <w:tcPr>
            <w:tcW w:w="98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26,064</w:t>
            </w:r>
          </w:p>
        </w:tc>
        <w:tc>
          <w:tcPr>
            <w:tcW w:w="394"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right"/>
              <w:rPr/>
            </w:pPr>
            <w:r>
              <w:rPr/>
              <w:t> </w:t>
            </w:r>
          </w:p>
        </w:tc>
        <w:tc>
          <w:tcPr>
            <w:tcW w:w="103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75,143</w:t>
            </w:r>
          </w:p>
        </w:tc>
      </w:tr>
      <w:tr>
        <w:trPr/>
        <w:tc>
          <w:tcPr>
            <w:tcW w:w="3811"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132,892</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w:t>
            </w:r>
          </w:p>
        </w:tc>
      </w:tr>
      <w:tr>
        <w:trPr/>
        <w:tc>
          <w:tcPr>
            <w:tcW w:w="38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increase in cash and cash equivalents</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8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93,705</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12,992</w:t>
            </w:r>
          </w:p>
        </w:tc>
      </w:tr>
    </w:tbl>
    <w:p>
      <w:pPr>
        <w:pStyle w:val="TextBody"/>
        <w:bidi w:val="0"/>
        <w:spacing w:before="240" w:after="240"/>
        <w:ind w:left="0" w:right="0" w:hanging="0"/>
        <w:jc w:val="left"/>
        <w:rPr>
          <w:rFonts w:ascii="Arial;Helvetica;sans-serif" w:hAnsi="Arial;Helvetica;sans-serif"/>
          <w:i/>
          <w:sz w:val="20"/>
        </w:rPr>
      </w:pPr>
      <w:r>
        <w:rPr>
          <w:rFonts w:ascii="Arial;Helvetica;sans-serif" w:hAnsi="Arial;Helvetica;sans-serif"/>
          <w:i/>
          <w:sz w:val="20"/>
        </w:rPr>
        <w:t>Operating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Net cash used in operating activities in the nine months ended September 30, 2023 consisted primarily of our net loss of $69.9 million and a net increase in operating assets and liabilities of $5.4 million, partially offset by non-cash charges of $10.1 million. The net loss consisted primarily of $60.3 million in research and development expenses and $14.3 million in general and administrative expenses. The non-cash charges consisted primarily of stock-based compensation expense of $12.9 million and depreciation and amortization expenses of $0.3 million</w:t>
      </w:r>
      <w:r>
        <w:rPr>
          <w:rFonts w:ascii="Arial;Helvetica;sans-serif" w:hAnsi="Arial;Helvetica;sans-serif"/>
          <w:sz w:val="20"/>
          <w:shd w:fill="FFFFFF" w:val="clear"/>
        </w:rPr>
        <w:t>, primarily offset by non-cash interest income on our marketable securities of $3.3 million</w:t>
      </w:r>
      <w:r>
        <w:rPr>
          <w:rFonts w:ascii="Arial;Helvetica;sans-serif" w:hAnsi="Arial;Helvetica;sans-serif"/>
          <w:sz w:val="20"/>
        </w:rPr>
        <w:t>. The net increase in operating assets and liabilities was primarily due to (i) an increase of $5.3 million in other assets and long-term deposits, and (ii) a decrease of $2.2 million in accrued and other current liabilities and. The changes were partially offset by (i) an increase of $1.8 million in accounts payable, which is primarily a result of timing of invoice payment, and (ii) a decrease of $0.3 million in prepaid expenses and other current assets.</w:t>
      </w:r>
    </w:p>
    <w:p>
      <w:pPr>
        <w:pStyle w:val="TextBody"/>
        <w:bidi w:val="0"/>
        <w:spacing w:before="0" w:after="240"/>
        <w:ind w:left="0" w:right="0" w:hanging="0"/>
        <w:jc w:val="both"/>
        <w:rPr>
          <w:rFonts w:ascii="Arial;Helvetica;sans-serif" w:hAnsi="Arial;Helvetica;sans-serif"/>
          <w:i w:val="false"/>
          <w:caps w:val="false"/>
          <w:smallCaps w:val="false"/>
          <w:sz w:val="20"/>
          <w:shd w:fill="FFFFFF" w:val="clear"/>
        </w:rPr>
      </w:pPr>
      <w:r>
        <w:rPr>
          <w:rFonts w:ascii="Arial;Helvetica;sans-serif" w:hAnsi="Arial;Helvetica;sans-serif"/>
          <w:i w:val="false"/>
          <w:caps w:val="false"/>
          <w:smallCaps w:val="false"/>
          <w:sz w:val="20"/>
          <w:shd w:fill="FFFFFF" w:val="clear"/>
        </w:rPr>
        <w:t>Net cash used in operating activities in the nine months ended September 30, 2022 consisted primarily of our net loss of $78.6 million, partially offset by non-cash charges of $14.0 million and a net decrease in operating assets and liabilities of $2.2 million. The net loss consisted primarily of $60.7 million in research and development expenses and $19.1 million in general and administrative expenses. The non-cash charges consisted primarily of stock-based compensation expense of $14.0 million and depreciation and amortization expenses of less than $0.1 million, including premium amortization on our marketable securities, and non-cash lease expense of less than $0.1 million, net of cash payments of $1.0 million. The net decrease in operating assets and liabilities was primarily due to (i) an increase of $3.3 million in other current liabilities and (ii) a decrease of $0.1 million in prepaid expenses and other current assets. The changes are partially offset by (i) a net increase of $1.1 million in other assets and (ii) an increase of less than $0.1 million in accounts payable, which is primarily a result of timing of invoice payment.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Investing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Net cash provided by investing activities in the nine months ended September 30, 2023 was predominately due to maturities of marketable securities which was partially offset by purchase of marketable securities. </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Net cash provided by investing activities in the nine months ended September 30, 2022 was predominately due to maturities of marketable securities which was partially offset by purchase of marketable securities.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Financing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Net cash provided by financing activities during the nine months ended September 30, 2023 consists of $129.8 million in net proceeds from the Private Placement, $2.4 million from the exercise of stock options, and $0.7 million from the sale of our common stock under the 2020 ESPP.</w:t>
      </w:r>
    </w:p>
    <w:p>
      <w:pPr>
        <w:pStyle w:val="TextBody"/>
        <w:bidi w:val="0"/>
        <w:spacing w:before="0" w:after="240"/>
        <w:ind w:left="0" w:right="0" w:hanging="0"/>
        <w:jc w:val="both"/>
        <w:rPr>
          <w:rFonts w:ascii="Arial;Helvetica;sans-serif" w:hAnsi="Arial;Helvetica;sans-serif"/>
          <w:b w:val="false"/>
          <w:sz w:val="20"/>
          <w:shd w:fill="FFFFFF" w:val="clear"/>
        </w:rPr>
      </w:pPr>
      <w:r>
        <w:rPr>
          <w:rFonts w:ascii="Arial;Helvetica;sans-serif" w:hAnsi="Arial;Helvetica;sans-serif"/>
          <w:b w:val="false"/>
          <w:sz w:val="20"/>
          <w:shd w:fill="FFFFFF" w:val="clear"/>
        </w:rPr>
        <w:t>Net cash provided by financing activities during the nine months ended September 30, 2022 consists of $0.1 million and $0.1 million in net proceeds from the sale of our common stock under the 2020 ESPP and the exercise of stock options, respectively.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Contractual obligations and commitments </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Refer to Note 10 of our notes to the condensed consolidated financial statements contained in this Quarterly Report on Form 10-Q for further information; other than as set forth therein, there have been no material changes outside the ordinary course of business during the nine months ended September 30, 2023 to our commitments and contingencies disclosed in “Management’s Discussion and Analysis of Financial Condition and Results of Operations” included in our Annual Report on Form 10-K.</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Critical accounting policies and significant judgements and estimates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During the nine months ended September 30, 2023, there were no material changes to our critical accounting policies and estimates as reported in our Annual Report on Form 10-K. </w:t>
      </w:r>
    </w:p>
    <w:p>
      <w:pPr>
        <w:pStyle w:val="TextBody"/>
        <w:bidi w:val="0"/>
        <w:spacing w:before="0" w:after="240"/>
        <w:ind w:left="0" w:right="0" w:hanging="0"/>
        <w:jc w:val="both"/>
        <w:rPr>
          <w:rFonts w:ascii="Arial;Helvetica;sans-serif" w:hAnsi="Arial;Helvetica;sans-serif"/>
          <w:b/>
          <w:sz w:val="20"/>
        </w:rPr>
      </w:pPr>
      <w:bookmarkStart w:id="1240" w:name="Item3Quantitative"/>
      <w:bookmarkEnd w:id="1240"/>
      <w:r>
        <w:rPr>
          <w:rFonts w:ascii="Arial;Helvetica;sans-serif" w:hAnsi="Arial;Helvetica;sans-serif"/>
          <w:b/>
          <w:sz w:val="20"/>
        </w:rPr>
        <w:t>Item 3. Quantitative and Qualitative Disclosures About Market Risk.</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During the nine months ended September 30, 2023, there were no material changes to our market risk disclosures reported in our Annual Report on Form 10-K.</w:t>
      </w:r>
    </w:p>
    <w:p>
      <w:pPr>
        <w:pStyle w:val="TextBody"/>
        <w:bidi w:val="0"/>
        <w:spacing w:before="0" w:after="240"/>
        <w:ind w:left="0" w:right="0" w:hanging="0"/>
        <w:jc w:val="left"/>
        <w:rPr>
          <w:rFonts w:ascii="Arial;Helvetica;sans-serif" w:hAnsi="Arial;Helvetica;sans-serif"/>
          <w:b/>
          <w:sz w:val="20"/>
        </w:rPr>
      </w:pPr>
      <w:bookmarkStart w:id="1241" w:name="Item4ControlsandProcedures"/>
      <w:bookmarkEnd w:id="1241"/>
      <w:r>
        <w:rPr>
          <w:rFonts w:ascii="Arial;Helvetica;sans-serif" w:hAnsi="Arial;Helvetica;sans-serif"/>
          <w:b/>
          <w:sz w:val="20"/>
        </w:rPr>
        <w:t>Item 4.     Controls and Procedures.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2023,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2023, the design and operation of our disclosure controls and procedures were effective at a reasonable assurance level.</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There was no change in our internal control over financial reporting identified in connection with the evaluation required by Rules 13a-15(d) and 15d-15(d) of the Exchange Act that occurred during the three months ended September 30, 2023 that has materially affected, or is reasonably likely to materially affect, our internal control over financial reporting.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242" w:name="PARTIIOTHERINFORMATION_169197"/>
      <w:bookmarkStart w:id="1243" w:name="_5f05145b_8a33_480d_81fa_0e2c99f9952b"/>
      <w:bookmarkEnd w:id="1242"/>
      <w:bookmarkEnd w:id="1243"/>
      <w:r>
        <w:rPr>
          <w:rFonts w:ascii="Arial;Helvetica;sans-serif" w:hAnsi="Arial;Helvetica;sans-serif"/>
          <w:b/>
          <w:sz w:val="20"/>
        </w:rPr>
        <w:t>PART II-OTHER INFORMATION</w:t>
      </w:r>
    </w:p>
    <w:p>
      <w:pPr>
        <w:pStyle w:val="TextBody"/>
        <w:bidi w:val="0"/>
        <w:spacing w:before="0" w:after="240"/>
        <w:ind w:left="0" w:right="0" w:hanging="0"/>
        <w:jc w:val="left"/>
        <w:rPr>
          <w:rFonts w:ascii="Arial;Helvetica;sans-serif" w:hAnsi="Arial;Helvetica;sans-serif"/>
          <w:b/>
          <w:sz w:val="20"/>
        </w:rPr>
      </w:pPr>
      <w:bookmarkStart w:id="1244" w:name="Item1LegalProceedings_105808"/>
      <w:bookmarkEnd w:id="1244"/>
      <w:r>
        <w:rPr>
          <w:rFonts w:ascii="Arial;Helvetica;sans-serif" w:hAnsi="Arial;Helvetica;sans-serif"/>
          <w:b/>
          <w:sz w:val="20"/>
        </w:rPr>
        <w:t>Item 1. Legal Proceedings.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0" w:after="240"/>
        <w:ind w:left="0" w:right="0" w:hanging="0"/>
        <w:jc w:val="left"/>
        <w:rPr>
          <w:rFonts w:ascii="Arial;Helvetica;sans-serif" w:hAnsi="Arial;Helvetica;sans-serif"/>
          <w:b/>
          <w:sz w:val="20"/>
        </w:rPr>
      </w:pPr>
      <w:bookmarkStart w:id="1245" w:name="Item_1A_Risk_Factors"/>
      <w:bookmarkStart w:id="1246" w:name="_12e7dbf4_cd63_4016_b5a5_33c356024ab7"/>
      <w:bookmarkEnd w:id="1245"/>
      <w:bookmarkEnd w:id="1246"/>
      <w:r>
        <w:rPr>
          <w:rFonts w:ascii="Arial;Helvetica;sans-serif" w:hAnsi="Arial;Helvetica;sans-serif"/>
          <w:b/>
          <w:sz w:val="20"/>
        </w:rPr>
        <w:t>Item 1A. Risk Factors.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RISK FACTOR SUMMARY</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r>
        <w:rPr>
          <w:rFonts w:ascii="Arial;Helvetica;sans-serif" w:hAnsi="Arial;Helvetica;sans-serif"/>
          <w:sz w:val="20"/>
          <w:shd w:fill="FFFFFF" w:val="clear"/>
        </w:rPr>
        <w:t>.</w:t>
      </w:r>
    </w:p>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completed any clinical trials and have no products approved for commercial sale, which may make it difficult for you to evaluate our current business and predict our future success and viability.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incurred net losses since inception, and we expect to continue to incur net losses for the foreseeable future. While our expenses may fluctuate from period to period, we generally expect to continue to incur increased expenses and operating losses for the foreseeable future as we continue our research and development efforts and seek to obtain regulatory approval for palazestrant. In addition, we may be unable to continue as a going concern over the long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substantially dependent on the success of our only product candidate, palazestrant, which is currently in clinical development. We cannot assure you that our planned clinical development programs for palazestrant will be completed in a timely manner, or at all, or that we will be able to obtain approval for palazestrant from the FDA,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we will be unable to generate product revenue and our business, financial condition, results of operations and prospects will be significantly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Even if approved, palazestrant may not achieve adequate market acceptance among physicians, patients, healthcare payors and others in the medical community necessary for commercial success. The degree of market acceptance would depend on a number of factors. If palazestrant is approved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but does not achieve an adequate level of acceptance by physicians, hospitals, healthcare payors and patients, we may not generate or derive sufficient revenue which could significantly harm our business, financial condition, results of operations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significant competition, and if our competitors develop and market technologies or products more rapidly than we do or that are more effective, safer or less expensive than palazestrant, or product candidates we may develop in the future, our commercial opportunities will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obtain U.S. or foreign regulatory approvals and, as a result, may be unable to commercialize palazestrant or any future product candidate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Unfavorable U.S. and global macroeconomic and geopolitical conditions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palazestrant and any other future product candidates we may develop and, accordingly, may not achieve our research, development and commercialization goals.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internal computer systems, or those of any of our CROs, manufacturers, other contractors, consultants, collaborators or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or future product candidates we may develop and our business, financial condition, results of operations and prospects could be significantly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tc>
      </w:tr>
    </w:tbl>
    <w:p>
      <w:pPr>
        <w:pStyle w:val="TextBody"/>
        <w:pBdr/>
        <w:bidi w:val="0"/>
        <w:spacing w:before="0" w:after="0"/>
        <w:ind w:left="0" w:right="0" w:hanging="0"/>
        <w:jc w:val="both"/>
        <w:rPr>
          <w:rFonts w:ascii="Arial;Helvetica;sans-serif" w:hAnsi="Arial;Helvetica;sans-serif"/>
          <w:b/>
          <w:sz w:val="20"/>
        </w:rPr>
      </w:pPr>
      <w:r>
        <w:rPr>
          <w:rFonts w:ascii="Arial;Helvetica;sans-serif" w:hAnsi="Arial;Helvetica;sans-serif"/>
          <w:b/>
          <w:sz w:val="20"/>
        </w:rPr>
        <w:t>Risks related to our financial position and the need for additional capital</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have not completed any clinical trials and have no products approved for commercial sale, which may make it difficult for you to evaluate our current business and predict our future success and viability.</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palazestrant (OP-1250), securing related intellectual property rights, conducting nonclinical studies, conducting a Phase 1/2 clinical study of palazestrant, and initiating a Phase 3 clinical trial of palazestrant. We have not yet demonstrated our ability to successfully complete any clinical trials, obtain marketing approvals, manufacture a commercial-scale product or arrange for a third party to do so on our behalf, or conduct sales and marketing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activities necessary for successful product commercialization. As a result, it may be more difficult for you to accurately predict our future success or viability than it could be if we had a longer operating history.</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palazestrant and any future drug candidates we may develop. Our expenses could increase beyond expectations if we are required by the FDA, the European Medicines Agency, or the EMA, or other regulatory agencies to perform clinical trials or nonclinical studies in addition to those that we currently anticipate. Other unanticipated costs may also arise. In addition, if we obtain marketing approval for palazestrant,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As of September 30, 2023, we had $276.9 million in cash, cash equivalents, and marketable securities. In September 2023, we entered into the Loan Agreement with the Bank, providing us with up to $50.0 million of borrowing capacity under the Credit Facility, of which $25.0 million became available upon the closing of the Private Placement, and the remaining $25.0 million may be made available upon approval of the Bank in its discretion. We believe that our cash, cash equivalents, and marketable securities as of September 30, 2023, as well as the available balance under the Credit Facility, will be sufficient to fund our current operating plan into 2027.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risk of a U.S. government shutdown, the ongoing Russia-Ukraine conflict and related sanctions, armed conflict between Israel and groups based in surrounding regions, inflation rates and the responses by central banking authorities to control such inflation, monetary supply shifts and related financial instability. Advancing the development of palazestrant and any future product candidates we may develop will require a significant amount of capital, and our existing cash, cash equivalents and marketable securities will not be sufficient to fund all of the activities that are necessary to complete the development of palazestrant.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will be required to obtain additional funding through public or private equity offerings, debt financings, collaborations and licensing arrangements or other sources, which may dilute our stockholders or restrict our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 Furthermore, if a prolonged U.S. government shutdown occurs, it could adversely impact our ability to access the public markets and obtain necessary capital in order to properly capitalize and continue our operations.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have incurred net losses since inception, and we expect to continue to incur net losses for the foreseeable future. In addition, we may be unable to continue as a going concern over the long term.</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incurred net losses in each reporting period since our inception, have not generated any revenue from product sales to date and have financed our operations principally through the Private Placement, our initial public offering and private financings. We have incurred net losses of $21.5 million and $22.7 million for the three months ended September 30, 2023 and 2022, respectively. We had an accumulated deficit of $278.9 million as of September 30, 2023. Our losses have resulted principally from expenses incurred in research and development of palazestrant and from management and administrative costs and other expenses that we have incurred while building our business infrastructure. Our only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our condensed consolidated financial statements for the three months ended September 30, 2023 and 2022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Regulatory approval is not guaranteed and may never be obtained. As a result, these conditions raise substantial doubt about our ability to continue as a going concern over the long term.</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never generated revenue from product sales and may never be profitable.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completing clinical and nonclinical development of our product candidate and programs and identifying and developing new product candidates;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and obtaining marketing approvals for any product candidates that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achieving adequate access and reimbursement by government and third-party payors for product candidates that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market acceptance of product candidates that we develop as viable treatment options;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addressing any competing technological and market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negotiating favorable terms in any collaboration, licensing or other arrangements into which we may enter and performing our obligations in such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maintaining, protecting, enforcing and expanding our portfolio of intellectual property rights, including patents, trade secrets and know-how;</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defending against third-party interference, infringement or other intellectual property-related claims, if any; and</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attracting, hiring and retaining qualified personnel.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palazestrant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terms of our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0" w:after="240"/>
        <w:ind w:left="0" w:right="0" w:hanging="0"/>
        <w:jc w:val="both"/>
        <w:rPr>
          <w:rFonts w:ascii="Arial;Helvetica;sans-serif" w:hAnsi="Arial;Helvetica;sans-serif"/>
          <w:b w:val="false"/>
          <w:sz w:val="20"/>
        </w:rPr>
      </w:pPr>
      <w:r>
        <w:rPr>
          <w:rFonts w:ascii="Arial;Helvetica;sans-serif" w:hAnsi="Arial;Helvetica;sans-serif"/>
          <w:b w:val="false"/>
          <w:sz w:val="20"/>
        </w:rPr>
        <w:t>In September 2023, we entered into the Loan Agreement with the Bank. The Loan Agreement provides for the Credit Facility in an aggregate principal amount of up to $50.0 million, of which $25.0 million was available as of September 30, 2023 and up to $25.0 million of which may be made available upon approval of the Bank in its discretion. The Credit Facility will mature on August 1, 2027.</w:t>
      </w:r>
    </w:p>
    <w:p>
      <w:pPr>
        <w:pStyle w:val="TextBody"/>
        <w:bidi w:val="0"/>
        <w:spacing w:before="0" w:after="240"/>
        <w:ind w:left="0" w:right="0" w:hanging="0"/>
        <w:jc w:val="both"/>
        <w:rPr>
          <w:rFonts w:ascii="Arial;Helvetica;sans-serif" w:hAnsi="Arial;Helvetica;sans-serif"/>
          <w:b w:val="false"/>
          <w:sz w:val="20"/>
        </w:rPr>
      </w:pPr>
      <w:r>
        <w:rPr>
          <w:rFonts w:ascii="Arial;Helvetica;sans-serif" w:hAnsi="Arial;Helvetica;sans-serif"/>
          <w:b w:val="false"/>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events that it interprets as a material adverse change as delineated in the Loan Agreement, payment defaults or breaches of certain affirmative or negative covenants,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the discovery, development and commercialization of our product candidate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are substantially dependent on the success of our only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future success is heavily dependent on our ability to timely complete clinical trials, obtain marketing approval for and successfully commercialize palazestrant, our only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commonly referred to as EMA approval</w:t>
      </w:r>
      <w:r>
        <w:rPr>
          <w:rFonts w:ascii="Times New Roman;Times;serif" w:hAnsi="Times New Roman;Times;serif"/>
          <w:sz w:val="24"/>
        </w:rPr>
        <w:t>)</w:t>
      </w:r>
      <w:r>
        <w:rPr>
          <w:rFonts w:ascii="Arial;Helvetica;sans-serif" w:hAnsi="Arial;Helvetica;sans-serif"/>
          <w:sz w:val="20"/>
        </w:rPr>
        <w:t xml:space="preserve">, or any comparable foreign regulatory authority. If we are unable to complete development of, obtain regulatory approval for and commercialize palazestrant in one or more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indications and in a timely manner,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we will be unable to generate product revenue and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Clinical testing is expensive and can take many years to complete, and its outcome is inherently uncertain. Failure can occur at any time during the clinical trial process. The results of nonclinical studies and clinical trials of palazestrant and any future product candidates we may develop may not be predictive of the results of subsequent clinical trials. We have a limited operating history and to date have not demonstrated our ability to complete large-scale clinical trials.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or product candidates we may develop in the future may also be undergoing surgical, radiation and chemotherapy treatments and may be using other approved products or investigational new drugs, which can cause side effects or adverse events that are unrelated to palazestrant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know whether our current clinical trial of palazestrant or any future clinical trials we may conduct will demonstrate consistent or adequate efficacy and safety to obtain regulatory approval to market palazestrant or any future product candidates we may develop. Most product candidates that begin clinical trials are never approved by regulatory authorities for commercialization. If we are unable to bring palazestrant or any future product candidates to market, our ability to create long-term stockholder value will be limited.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addition, we may rely in part on nonclinical, clinical and quality data generated by CROs and other third parties for regulatory submissions for palazestrant. While we have or will have agreements governing these third parties’ services, we have limited influence over their actual performance. If these third parties do not make data available to us, or, if applicable, make regulatory submissions in a timely manner, our development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programs may be significantly delayed, and we may need to conduct additional studies or collect additional data independently. In either case, our development costs would increase.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palazestrant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palazestrant or any future product candidates we may develop. Even if regulatory approval is secured for palazestrant, the terms of such approval may limit the scope and use of palazestrant,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palazestrant, including and any other indication we are seeking for approval under palazestrant.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regulatory approval processes of the FDA, EMA and comparable foreign authorities are lengthy, time consuming and inherently unpredictable, and if we are ultimately unable to obtain regulatory approval for palazestrant or any future product candidates we may develop, our business, financial condition, results of operations and prospects will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Applications for palazestrant could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disagree with the design, implementation or results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determine that palazestrant is not safe and effective, only moderately effective or have undesirable or unintended side effects, toxicities or other characteristics that preclude our obtaining marketing approval or prevent or limit commercial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population studied in the clinical trial may not be sufficiently broad or representative to assure efficacy and safety in the full population for which we seek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disagree with our interpretation of data from nonclinical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data collected from clinical trials of palazestrant may not be sufficient to support the submission of a NDA, or other submission or to obtain regulatory approval in the United States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be unable to demonstrate to the FDA, EMA or other comparable foreign regulatory authorities that palazestrant’s risk-benefit ratio for its proposed indication is acceptable;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approval policies or regulations of the FDA, EMA or other comparable foreign regulatory authorities may significantly change in a manner rendering our clinical data insufficient for approval.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This lengthy approval process, as well as the unpredictability of the results of clinical trials, may result in our failing to obtain regulatory approval to market palazestrant, which would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even if we obtain approval of palazestrant for a lead indication, regulatory authorities may not approve palazestrant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palazestrant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if regulatory approval is limited, our business, financial condition, results of operation and prospects will be significantly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experience delays in clinical trials of palazestrant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comparable foreign regulatory authorities disagreeing as to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regulatory authorizations to commence a trial or reaching a consensus with regulatory authorities on trial design;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failure or delay in reaching an agreement with CROs and clinical trial sites, the terms of which can be subject to extensive negotiation and may vary significantly among different CROs and trial sites;</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approval from one or more institutional review boards, or IRBs;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IRBs refusing to approve, suspending or terminating the trial at an investigational site, precluding enrollment of additional subjects, or withdrawing their approval of the trial;</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to clinical trial protocol;</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clinical sites deviating from trial protocol or dropping out of a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manufacturing sufficient quantities of product candidate or obtaining sufficient quantities of combination therapies for use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failing to enroll or remain in our trial at the rate we expect, or failing to return for post- treatment follow-up;</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choosing an alternative treatment for the indication for which we are developing palazestrant, or participating in competing clinical trials;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lack of adequate funding to continue the clinical trial;</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experiencing severe or unexpected drug-related adverse effects;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authorities imposing a clinical hold;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disruptions at the FDA and other agencies or regulatory authorities, including as a result of legislative actions or a U.S. government shutdown;</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occurrence of serious adverse events in trials of the same class of agents conducted by other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selection of clinical end points that require prolonged periods of clinical observation or analysis of the resulting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shutdowns, either temporarily or permanently, of any facility manufacturing palazestrant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palazestrant or any future product candidate we may develop in the manufacturing process;</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changes to our manufacturing process that may be necessary or desired;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contractors not performing data collection or analysis in a timely or accurate manner;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could also encounter delays if a clinical trial is suspended or terminated by us, by the IRBs of the institutions in which such trials are being conducted, by a Data Safety Monitoring Board for such trial or by the FDA, </w:t>
      </w:r>
      <w:r>
        <w:rPr>
          <w:rFonts w:ascii="Arial;Helvetica;sans-serif" w:hAnsi="Arial;Helvetica;sans-serif"/>
          <w:color w:val="231F20"/>
          <w:sz w:val="20"/>
        </w:rPr>
        <w:t>competent authorities of EU Member States</w:t>
      </w:r>
      <w:r>
        <w:rPr>
          <w:rFonts w:ascii="Arial;Helvetica;sans-serif" w:hAnsi="Arial;Helvetica;sans-serif"/>
          <w:sz w:val="20"/>
        </w:rPr>
        <w:t xml:space="preserve">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Helvetica;sans-serif" w:hAnsi="Arial;Helvetica;sans-serif"/>
          <w:color w:val="231F20"/>
          <w:sz w:val="20"/>
        </w:rPr>
        <w:t>competent authorities of EU Member States</w:t>
      </w:r>
      <w:r>
        <w:rPr>
          <w:rFonts w:ascii="Arial;Helvetica;sans-serif" w:hAnsi="Arial;Helvetica;sans-serif"/>
          <w:sz w:val="2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Further, conducting clinical trials in foreign countries, as we may do for palazestrant or product candidates we may develop in the future, presents additional risks that may delay completion of our clinical trials. These risks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experience delays in the completion of, or termination of, any clinical trial of palazestrant or any product candidates we may develop in the future, the commercial prospects of palazestrant or any product candidates we may develop in the future will be harmed, and our ability to generate product revenues from palazestrant or any product candidates we may develop in the future will be delayed. Moreover, any delays in completing our clinical trials will increase our costs, slow down palazestrant’s or any product candidates we may develop in the future’s development and approval process and jeopardize our ability to commence product sales and generate revenues.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many of the factors that cause, or lead to, termination or suspension of, or a delay in the commencement or completion of, clinical trials may also ultimately lead to the denial of regulatory approval of palazestrant or any product candidates we may develop in the future. Any delays in our clinical trials that occur as a result could shorten any period during which we may have the exclusive right to commercialize palazestrant or any product candidates we may develop in the future and our competitors may be able to bring products to market before we do, and the commercial viability of palazestrant or any product candidates we may develop in the future could be significantly reduced. Any of these occurrences may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currently focused on pursuing a variety of target indications for palazestrant, and we have expended, and plan to continue to expend, significant resources to pursue these and other indications for palazestrant. In addition, in March 2023, we underwent a corporate restructuring and portfolio prioritization to focus our resources on late-stage clinical development of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Even if approved, palazestrant may not achieve adequate market acceptance among physicians, patients, healthcare payors and others in the medical community necessary for commercial success.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palazestrant receives regulatory approval, it may not gain adequate market acceptance among physicians, patients, healthcare payors and others in the medical community. The degree of market acceptance would depend on a number of factors, including:</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efficacy and safety profile as demonstrated in clinical trials compared to alternative treatments;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of market introduction of the product candidate as well as competitive products;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clinical indications for which the product candidate is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the use of palazestrant, such as boxed warnings or contraindications in labeling, or a REMS, if any, which may not be required of alternative treatments and competitor products;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potential and perceived advantages of product candidates over alternative treatments;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 of treatment in relation to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pricing and the availability of coverage and adequate reimbursement by third-party payors, including government authorities;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availability of palazestrant for use as a combination therapy;</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relative convenience and ease of administration;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willingness of the target patient population to try new therapies and of physicians to prescribe these therapies;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effectiveness of sales and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unfavorable publicity relating to palazestrant or similar approved products or product candidates in development by third parties; and</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approval of other new therapies for the same indications.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palazestrant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or any future product candidate we may develop, if we are unable to locate and enroll a sufficient number of eligible patients to participate in these trials to such trial’s conclusion as required by the FDA, EMA or other comparable foreign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Patient enrollment may also be affected if our competitors have ongoing clinical trials for product candidates that are under development for the same indications as palazestrant,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size and nature of the patient population;</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severity of the disease under investigation;</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availability and efficacy of approved drugs for the disease under investigation;</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patient eligibility criteria for the trial in question as defined in the protocol;</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perceived risks and benefits of the product candidate under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efforts to facilitate timely enrollment in clinical trials;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patient referral practices of physicians;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ability to monitor patients adequately during and after treatment;</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proximity and availability of clinical trial sites for prospective patients;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continued enrollment of prospective patients by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risk that patients enrolled in clinical trials will drop out of the trials before completion or, because they may be late-stage cancer patients, will not survive the full terms of the clinical trials; and</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level of resources that clinical sites have to conduct a growing number of clinical studies.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or any future product candidate we may develop and jeopardize our ability to obtain marketing approval for the sale of palazestrant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intend to develop palazestrant, and may develop future product candidates, in combination with other therapies, which exposes us to additional risks.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intend to develop palazestrant, and may develop other future product candidates, in combination with one or more other approved or unapproved therapies to treat cancer or other diseases. For example, we have a Phase 1/2 clinical study of palazestrant in a combination trial with a cyclin-dependent kinase 4 and 6 inhibitor,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and additional Phase 1/2 clinical studies of palazestrant in combination with another CDK4/6 inhibitor and with a </w:t>
      </w:r>
      <w:r>
        <w:rPr>
          <w:rFonts w:ascii="Arial;Helvetica;sans-serif" w:hAnsi="Arial;Helvetica;sans-serif"/>
          <w:sz w:val="20"/>
          <w:shd w:fill="FFFFFF" w:val="clear"/>
        </w:rPr>
        <w:t>PI3K</w:t>
      </w:r>
      <w:r>
        <w:rPr>
          <w:rFonts w:ascii="Symbol" w:hAnsi="Symbol"/>
          <w:sz w:val="20"/>
        </w:rPr>
        <w:t>a</w:t>
      </w:r>
      <w:r>
        <w:rPr>
          <w:rFonts w:ascii="Arial;Helvetica;sans-serif" w:hAnsi="Arial;Helvetica;sans-serif"/>
          <w:sz w:val="20"/>
        </w:rPr>
        <w:t xml:space="preserve"> inhibitor.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palazestrant,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or any future product candidate we may develop, are replaced as the standard of care for the indications we choose for palazestrant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also may choose to evaluate palazestrant or future product candidates in combination with one or more cancer therapies that have not yet been approved for marketing by the FDA, EMA or comparable foreign regulatory authorities. We will not be able to market and sell palazestrant,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currently in development and clinical trials, including the potential for serious adverse effects, delay in their clinical trials and lack of FDA, EMA or comparable foreign regulatory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the FDA, EMA or comparable foreign regulatory authorities do not approve these other drugs or revoke their approval of, or if safety, efficacy, quality, manufacturing or supply issues arise with, the drugs we choose to evaluate in combination with palazestrant or future product candidates we may develop, we may be unable to obtain approval of or market such combination therapy.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Risks associated with the in-licensing or acquisition of drug candidates could cause substantial delays in the preclinical and clinical development of our drug candidates.</w:t>
      </w:r>
    </w:p>
    <w:p>
      <w:pPr>
        <w:pStyle w:val="TextBody"/>
        <w:bidi w:val="0"/>
        <w:spacing w:before="120" w:after="240"/>
        <w:ind w:left="0" w:right="0" w:hanging="0"/>
        <w:jc w:val="both"/>
        <w:rPr>
          <w:rFonts w:ascii="Arial;Helvetica;sans-serif" w:hAnsi="Arial;Helvetica;sans-serif"/>
          <w:sz w:val="20"/>
        </w:rPr>
      </w:pPr>
      <w:r>
        <w:rPr>
          <w:rFonts w:ascii="Arial;Helvetica;sans-serif" w:hAnsi="Arial;Helvetica;sans-serif"/>
          <w:sz w:val="20"/>
        </w:rPr>
        <w:t xml:space="preserve">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 Our rights to use any licensed intellectual property may be subject to the continuation of and our compliance with the terms of any such agreements.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incidence and prevalence for target patient populations of palazestrant are based on estimates and third-party sources. If the market opportunities for palazestrant,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Periodically, we make estimates regarding the incidence and prevalence of target patient populations for particular diseases based on various third-party sources and internally generated analysis and use such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incidence and prevalence for target patient populations of palazestrant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the interim, top-line, or preliminary data that we report differ from actual results, or if others, including regulatory authorities, disagree with the conclusions reached, our ability to obtain approval for, and commercialize, palazestrant or any future product candidates we may develop may be harmed, which could significantly harm our business, financial condition, results of operations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face significant competition, and if our competitors develop and market technologies or products more rapidly than we do or that are more effective, safer or less expensive than palazestrant, or product candidates we may develop in the future, our commercial opportunities will be negatively impacted.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Products we may develop in the future are also likely to face competition from other products and therapies, some of which we may not currently be aware. In addition, palazestrant and any product candidate that we may develop in the future may need to compete with off-label drugs used by physicians to treat the indications for which we seek approval. This may make it difficult for us to replace existing therapies with palazestrant and any product candidate that we may develop in the future.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40" w:before="0" w:after="240"/>
        <w:ind w:left="0" w:right="0" w:hanging="0"/>
        <w:jc w:val="both"/>
        <w:rPr>
          <w:rFonts w:ascii="Arial;Helvetica;sans-serif" w:hAnsi="Arial;Helvetica;sans-serif"/>
          <w:sz w:val="20"/>
        </w:rPr>
      </w:pPr>
      <w:r>
        <w:rPr>
          <w:rFonts w:ascii="Arial;Helvetica;sans-serif" w:hAnsi="Arial;Helvetica;sans-serif"/>
          <w:sz w:val="20"/>
        </w:rPr>
        <w:t>If we are successful in developing palazestrant, it may compete against existing products and product candidates in development, to the extent any such product candidates are approved, for the treatment of estrogen receptor- positive, or ER+, breast cancer, including fulvestrant, marketed as Faslodex® by AstraZeneca PLC and or any generic equivalents of Faslodex® that are marketed or in development; elacestrant, marketed as ORSERDU</w:t>
      </w:r>
      <w:r>
        <w:rPr>
          <w:rFonts w:ascii="Arial;Helvetica;sans-serif" w:hAnsi="Arial;Helvetica;sans-serif"/>
          <w:sz w:val="15"/>
        </w:rPr>
        <w:t>TM</w:t>
      </w:r>
      <w:r>
        <w:rPr>
          <w:rFonts w:ascii="Arial;Helvetica;sans-serif" w:hAnsi="Arial;Helvetica;sans-serif"/>
          <w:sz w:val="20"/>
        </w:rPr>
        <w:t xml:space="preserve"> by Stemline Therapeutics Inc.; giredestrant (GDC-9545), being developed by Roche Holding AG/Genentech, Inc.; camizestrant (AZD9833), being developed by AstraZeneca PLC; imlunestrant (LY3484356), being developed by Eli Lilly and Co.; </w:t>
      </w:r>
      <w:r>
        <w:rPr>
          <w:rFonts w:ascii="Arial;Helvetica;sans-serif" w:hAnsi="Arial;Helvetica;sans-serif"/>
          <w:sz w:val="20"/>
          <w:shd w:fill="FFFFFF" w:val="clear"/>
        </w:rPr>
        <w:t xml:space="preserve">vepdegestrant </w:t>
      </w:r>
      <w:r>
        <w:rPr>
          <w:rFonts w:ascii="Arial;Helvetica;sans-serif" w:hAnsi="Arial;Helvetica;sans-serif"/>
          <w:sz w:val="20"/>
        </w:rPr>
        <w:t xml:space="preserve">(ARV-471), being developed by Arvinas, Inc.; and lasofoxifene, being developed by Sermonix Pharmaceuticals.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palazestrant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methods of palazestrant manufacturing or formulation may result in additional costs or delay.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palazestrant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Any product candidate we develop may become subject to unfavorable third-party coverage and reimbursement practices, as well as pricing regulations.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palazestrant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Guidelines and recommendations published by various organizations can reduce the use of palazestrant or any future product candidates we may develop.</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Government agencies promulgate regulations and guidelines directly applicable to us and to palazestrant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palazestrant or any future product candidates we may develop or the use of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competitive or alternative products as the standard of care to be followed by patients and healthcare providers could result in decreased use of palazestrant or any future product candidates we may develop.</w:t>
      </w:r>
    </w:p>
    <w:p>
      <w:pPr>
        <w:pStyle w:val="TextBody"/>
        <w:pBdr/>
        <w:bidi w:val="0"/>
        <w:spacing w:before="0" w:after="240"/>
        <w:ind w:left="0" w:right="0" w:hanging="720"/>
        <w:jc w:val="left"/>
        <w:rPr>
          <w:rFonts w:ascii="Arial;Helvetica;sans-serif" w:hAnsi="Arial;Helvetica;sans-serif"/>
          <w:b/>
          <w:sz w:val="20"/>
        </w:rPr>
      </w:pPr>
      <w:r>
        <w:rPr>
          <w:rFonts w:ascii="Arial;Helvetica;sans-serif" w:hAnsi="Arial;Helvetica;sans-serif"/>
          <w:b/>
          <w:sz w:val="20"/>
        </w:rPr>
        <w:t>Risks related to regulatory approval and other legal compliance matters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unable to obtain U.S. or foreign regulatory approvals and, as a result, may be unable to commercialize palazestrant or any future product candidate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Palazestrant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or any product candidate we may develop will progress through required clinical testing and obtain the regulatory approvals necessary for us to begin selling them.</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also become subject to numerous foreign regulatory requirements governing, among other things, the conduct of clinical trials and manufacturing of palazestrant.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and facilities or our marketing programs. The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Palazestrant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is the case with pharmaceuticals generally, there have been side effects and adverse events associated with the use of palazestrant, and it is likely that there may be additional side effects and adverse events associated with the use of palazestrant or any future product candidates we may develop. Results of our clinical trials could reveal a high and unacceptable severity and prevalence of side effects or unexpected characteristics. Undesirable side effects caused by palazestrant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palazestrant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Patients in our ongoing and planned clinical trials may in the future suffer significant adverse events or other side effects not observed in our nonclinical studies or previous clinical trials. Palazestrant or any future product candidates we may develop, may be used as chronic therapies or be used in pediatric populations, for which safety concerns may be particularly scrutinized by regulatory agencies. In addition, if palazestrant or any future product candidates we may develop, are used in combination with other therapies, palazestrant or any future product candidates we may develop may exacerbate adverse events associated with the therapy and it may not be possible to determine whether it was caused by our product or the one with which it was combined. Patients treated with palazestrant or any future candidates we may develop, may also be undergoing surgical, radiation and chemotherapy treatments, which can cause side effects or adverse events that are unrelated to palazestrant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Helvetica;sans-serif" w:hAnsi="Arial;Helvetica;sans-serif"/>
          <w:color w:val="231F20"/>
          <w:sz w:val="20"/>
        </w:rPr>
        <w:t>competent authorities of EU Member States</w:t>
      </w:r>
      <w:r>
        <w:rPr>
          <w:rFonts w:ascii="Arial;Helvetica;sans-serif" w:hAnsi="Arial;Helvetica;sans-serif"/>
          <w:sz w:val="20"/>
        </w:rPr>
        <w:t>,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palazestrant obtains marketing approval, toxicities associated with palazestrant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will cause toxicities in humans that would preclude or lead to the revocation of regulatory approval based on nonclinical studies or early-stage clinical trials.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FDA, EMA and other comparable foreign regulatory authorities may not accept data from trials conducted in locations outside of their jurisdiction.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currently plan to conduct international clinical trials and may choose to conduct additional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palazestrant or any future product candidates we may develop not receiving approval for commercialization in the applicable jurisdiction.</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Obtaining and maintaining regulatory approval of palazestrant, or any product candidate we develop in the future, in one jurisdiction does not mean that we will be successful in obtaining regulatory approval of palazestrant, or any product candidate we develop in the future, in other jurisdictions.</w:t>
      </w:r>
    </w:p>
    <w:p>
      <w:pPr>
        <w:pStyle w:val="TextBody"/>
        <w:bidi w:val="0"/>
        <w:spacing w:before="0" w:after="24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regulatory approval of palazestrant,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or any product candidate we develop in the future, will be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Even if palazestrant, or any product candidate we develop in the future, receives regulatory approval, it will be subject to significant post-marketing regulatory requirements and oversight.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regulatory approvals that we may receive for palazestrant,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palazestrant or any product candidate we develop in the future, the manufacturing processes, labeling, packaging, distribution, adverse event reporting, storage, advertising, promotion, import, export and recordkeeping for palazestrant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delays in or the rejection of product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our ability to conduct clinical trials, including full or partial clinical holds on ongoing or planned trials;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the products, manufacturers or manufacturing process;</w:t>
            </w:r>
          </w:p>
        </w:tc>
      </w:tr>
    </w:tbl>
    <w:tbl>
      <w:tblPr>
        <w:tblW w:w="1851" w:type="dxa"/>
        <w:jc w:val="left"/>
        <w:tblInd w:w="0" w:type="dxa"/>
        <w:tblLayout w:type="fixed"/>
        <w:tblCellMar>
          <w:top w:w="28" w:type="dxa"/>
          <w:left w:w="28" w:type="dxa"/>
          <w:bottom w:w="28" w:type="dxa"/>
          <w:right w:w="28" w:type="dxa"/>
        </w:tblCellMar>
      </w:tblPr>
      <w:tblGrid>
        <w:gridCol w:w="124"/>
        <w:gridCol w:w="256"/>
        <w:gridCol w:w="1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warning letters;</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civil and criminal penalties;</w:t>
            </w:r>
          </w:p>
        </w:tc>
      </w:tr>
    </w:tbl>
    <w:tbl>
      <w:tblPr>
        <w:tblW w:w="1521" w:type="dxa"/>
        <w:jc w:val="left"/>
        <w:tblInd w:w="0" w:type="dxa"/>
        <w:tblLayout w:type="fixed"/>
        <w:tblCellMar>
          <w:top w:w="28" w:type="dxa"/>
          <w:left w:w="28" w:type="dxa"/>
          <w:bottom w:w="28" w:type="dxa"/>
          <w:right w:w="28" w:type="dxa"/>
        </w:tblCellMar>
      </w:tblPr>
      <w:tblGrid>
        <w:gridCol w:w="124"/>
        <w:gridCol w:w="256"/>
        <w:gridCol w:w="1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injunctions;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suspension or withdrawal of regulatory approvals;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product seizures, detentions or import bans;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voluntary or mandatory product recalls and publicity requirements;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total or partial suspension of production; and</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imposition of restrictions on operations, including costly new manufacturing requirements.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occurrence of any event or penalty described above may inhibit our ability to commercialize palazestrant, or any product candidate we may develop in the future, and generate revenue and could require us to expend significant time and resources in response and could generate negative publicity.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FDA’s and other regulatory authorities’ policies may change, and additional government regulations may be enacted that could prevent, limit or delay regulatory approval of palazestrant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FDA and other regulatory agencies actively enforce the laws and regulations prohibiting the promotion of off-label uses.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palazestrant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palazestrant or any future product candidates we may develop, if approved. In particular, a product may not be promoted for uses that are not approved by the FDA or such other regulatory agencies as reflected in the product’s approved labeling. If we receive marketing approval for palazestrant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or any future product candidates we may develop, if approved, we could become subject to significant liability, which would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Disruptions at the FDA, EMA, applicable foreign regulatory authorities,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delayed.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Disruptions at the FDA and other agencies may also slow the time necessary for new drugs to be reviewed and/or approved by necessary government agencies,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in the future seek an accelerated approval for palazestrant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Prior to seeking accelerated approval for palazestrant,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would result in a longer time period to commercialization of such product candidate, could increase the cost of development of palazestrant and could harm our competitive position in the marketplace.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face difficulties from changes to current regulations and future legislation.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Existing regulatory policies may change, and additional government regulations may be enacted that could prevent, limit or delay regulatory approval of palazestrant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It is currently unclear how the IRA will be implemented but is likely to have a significant impact on the pharmaceutical industry.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palazestrant or any future product candidates we may develop, if any, may be.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 xml:space="preserve">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Helvetica;sans-serif" w:hAnsi="Arial;Helvetica;sans-serif"/>
                <w:b w:val="false"/>
                <w:i w:val="false"/>
                <w:caps w:val="false"/>
                <w:smallCaps w:val="false"/>
                <w:sz w:val="20"/>
              </w:rPr>
              <w:t>doctors, dentists, optometrists, podiatrists and chiropractors), other healthcare professionals (such as physician assistants and nurse practitioners),</w:t>
            </w:r>
            <w:r>
              <w:rPr>
                <w:caps w:val="false"/>
                <w:smallCaps w:val="false"/>
                <w:color w:val="231F20"/>
              </w:rPr>
              <w:t xml:space="preserve"> </w:t>
            </w:r>
            <w:r>
              <w:rPr>
                <w:rFonts w:ascii="Arial;Helvetica;sans-serif" w:hAnsi="Arial;Helvetica;sans-serif"/>
                <w:b w:val="false"/>
                <w:i w:val="false"/>
                <w:caps w:val="false"/>
                <w:smallCaps w:val="false"/>
                <w:color w:val="231F20"/>
                <w:sz w:val="20"/>
              </w:rPr>
              <w:t>and teaching hospitals, as well as information regarding ownership and investment interests held by physicians and their immediate family members. The information reported is publicly available on a searchable website, with disclosure required annually;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are subject to stringent and evolving U.S. and foreign laws, regulations, rules, contractual obligations, policies and other obligations related to data privacy and security.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State, federal, and international laws, regulations, and rules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European Economic Area, or EEA, or the UK, security breach notifications and the security and confidentiality of personal data. Further, the UK has implemented legislation similar to the GDPR, including the UK Data Protection Act and the UK GDPR, which provides for fines of up to the greater of 17.5 million British Pounds or 4% of a company’s worldwide turnover, whichever is higher.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the UK. Guidance on implementation and compliance practices is often updated or otherwise revised. The GDPR will increase our responsibility and liability in relation to personal data that we process, and we have been and may continue to be required to put in place additional mechanisms ensuring compliance with the GDPR.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considered ‘inadequate’ for the purposes of either or both of those regulations.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Additionally, California voters approved a new privacy law, the California Privacy Rights Act, or CPRA, which went into effect on January 1, 2023. The CPRA significantly modifies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Virginia, Colorado, Utah and Connecticut all passed comprehensive privacy laws that have or will go into effect in 2023.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employees and personnel may use generative artificial intelligence, or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of our systems or our third-party service providers could harm our reputation and brand, expose us to potential liability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research and development activities could be affected or delayed as a result of possible restrictions on animal testing.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business activities may be subject to the U.S. Foreign Corrupt Practices Act, or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Risks related to employee matters, managing our growth and other risks related to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Unfavorable U.S. and global macroeconomic and geopolitical conditions could adversely affect our business, financial condition and results of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Our results of operations could be adversely affected by general conditions in the U.S. and global economies, the U.S. and global financial markets and adverse geopolitical and macroeconomic developments, including the ongoing conflict between Ukraine and Russia and related sanctions, armed conflict between Israel and groups based in surrounding regions, labor shortages, risk of a U.S. government shutdown, inflation rates and the responses by central banking authorities to control inflation, monetary supply shifts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success is highly dependent on our ability to attract and retain highly skilled executive officers and employees.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our company and may be required to expend significant financial resources in our employee recruitment and retention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or any other product candidate will be limited and the potential for successfully growing our business will be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establish sales or marketing capabilities or enter into agreements with third parties to sell or market palazestrant or any product candidate we may develop in the future, we may not be able to successfully sell or market palazestrant or any future product candidate we may develop that obtain regulatory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or any future product candidate we may develop. We may not be successful in accomplishing these required tasks.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Establishing an internal sales or marketing team with technical expertise and supporting distribution capabilities to commercialize palazestrant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Factors that may affect our ability to commercialize palazestrant, or any future product candidate we may develop, on our own include recruiting and retaining adequate numbers of effective sales and marketing personnel, obtaining access to or persuading adequate numbers of physicians to prescribe palazestrant or any future product candidates we may develop and other unforeseen costs associated with creating an independent sales and marketing organization. Developing a sales and marketing organization will be expensive and time-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consuming and could delay the launch of palazestrant or any future product candidate we may develop. We may not be able to build an effective sales and marketing organization. If we are unable to build our own distribution and marketing capabilities or to find suitable partners for the commercialization of palazestrant or any future product candidate we may develop, we may not generate revenues from such product candidate or be able to reach or sustain profitability.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 order to successfully implement our plans and strategies, we will need to grow the size of our organization, and we may experience difficulties in managing this growth.</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2023, we had 70 employees, 70 of whom were full-time, including 44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identifying, recruiting, integrating, maintaining and motivating additional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managing our internal development efforts effectively, including the clinical, FDA, EMA and other comparable foreign regulatory agencies’ review process for palazestrant and any other future product candidates we may develop, while complying with any contractual obligations to contractors and other third parties we may have; and</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improving our operational, financial and management controls, reporting systems and procedures.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expect to be conducting multiple clinical trials of palazestrant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are not able to effectively expand our organization by hiring new employees and/or engaging additional third-party service providers, we may not be able to successfully implement the tasks necessary to further develop and commercialize palazestrant and any other future product candidates we may develop and, accordingly, may not achieve our research, development and commercialization goals.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internal computer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We have in the past and may in the future be subject to security breaches. For instance, we have had company laptops containing corporate information stolen from company offices.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such an event were to occur or were alleged to have occurred and cause interruptions in our operations or result in the unauthorized acquisition of or access to personally identifiable information or individually identifiable health information,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study of palazestrant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could be delayed, and we could be subject to significant fines or penalties for any noncompliance with certain state, federal and/or international privacy and security laws.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could have high deductibles in any event, and defending a suit, regardless of its merit, could be costly and divert management attention.</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EU drug marketing and reimbursement regulations may materially affect our ability to market and receive coverage for our product in the European member states.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intend to seek approval to market palazestrant in both the United States and in selected foreign jurisdictions. If we obtain approval in one or more foreign jurisdictions for palazestrant,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In these countries, pricing negotiations with governmental authorities can take considerable time after obtaining marketing approval of a product candidate. In addition, market acceptance and sales of palazestrant will depend significantly on the availability of adequate coverage and reimbursement from third-party payors for palazestrant and may be affected by existing and future healthcare reform measures.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palazestrant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palazestrant in those countries would be negatively affected.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Business disruptions could seriously harm our future revenue and financial condition and increase our costs and expenses.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of these business disruptions could seriously harm our operations, increase our costs and expenses and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ability to develop palazestrant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ability to utilize our net operating loss carryforwards and certain other tax attributes may be limited.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 variety of risks associated with marketing palazestrant or any future product candidate we may develop internationally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plan to seek regulatory approval of palazestrant or any future product candidates we may develop outside of the United States and, accordingly, we expect that we will be subject to additional risks related to operating in foreign countries if we obtain the necessary approvals, including:</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differing regulatory requirements and reimbursement regimes in foreign countries;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unexpected changes in tariffs, trade barriers, price and exchange controls and other regulatory requirements;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economic weakness, including inflation, or political instability in particular foreign economies and markets;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compliance with tax, employment, immigration and labor laws for employees living or traveling abroad;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foreign taxes, including withholding of payroll taxes;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foreign currency fluctuations, which could result in increased operating expenses and reduced revenue, and other obligations incident to doing business in another country;</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difficulties staffing and managing foreign operations;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workforce uncertainty in countries where labor unrest is more common than in the United States;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potential liability under the FCPA or comparable foreign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challenges enforcing our contractual and intellectual property rights, especially in those foreign countries that do not respect and protect intellectual property rights to the same extent as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production shortages resulting from any events affecting raw material supply or manufacturing capabilities abroad;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business interruptions resulting from geo-political actions, including war and terrorism.</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These and other risks associated with our international operations may significantly harm our business, financial condition, results of operations and prospects.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intellectual property</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success depends on our ability to protect our intellectual property and our proprietary technologies.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commercial success depends in part on our ability to obtain and maintain proprietary or intellectual property protection in the United States and other countries for palazestrant and any future product candidates that we may develop and technologies related to their various uses. We generally seek to protect our proprietary position by, among other things, filing patent applications in the United States and abroad related to palazestrant,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proprietary technologies and their uses, our business, financial condition, results of operations and prospects could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or any future product candidates we may develop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patent application process is subject to numerous risks and uncertainties, and there can be no assurance that we or any of our potential future collaborators will be successful in protecting palazestrant or any future product candidates we may develop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patent applications must be filed in advance of certain events (</w:t>
            </w:r>
            <w:r>
              <w:rPr>
                <w:rFonts w:ascii="Arial;Helvetica;sans-serif" w:hAnsi="Arial;Helvetica;sans-serif"/>
                <w:b w:val="false"/>
                <w:i/>
                <w:color w:val="231F20"/>
                <w:sz w:val="20"/>
              </w:rPr>
              <w:t xml:space="preserve">e.g., </w:t>
            </w:r>
            <w:r>
              <w:rPr>
                <w:rFonts w:ascii="Arial;Helvetica;sans-serif" w:hAnsi="Arial;Helvetica;sans-serif"/>
                <w:b w:val="false"/>
                <w:i w:val="false"/>
                <w:caps w:val="false"/>
                <w:smallCaps w:val="false"/>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patents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there may be significant pressure on the U.S. government and international governmental bodies to limit the scope of patent protection both inside and outside the United States;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which effectively prevent others from commercializing competitive technologies and product candidates.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issues, it may be susceptible to challenge that it is not valid over art that was not considered during its examination.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rights do not necessarily address all potential threats to our competitive advantage.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not be able to detect infringement of our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others may be able to develop products that are similar to palazestrant, or any future product candidates we may develop, but that are not covered by the claims of the patents that we may in-license in the future or own;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competitors may seek or may have already obtained patents that will limit, interfere with or eliminate our ability to make, use and sell palazestrant or any future product candidates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or our current or future collaborators or license partners, might not have been the first to make the inventions covered by the issued patents or patent application that we may in-license in the future or own;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or our current or future collaborators or license partners, might be found not have been the first to file patent applications covering certain of our or their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others may independently develop similar or alternative technologies or duplicate any of our technologies without infringing our intellectual property rights;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it is possible that the pending patent applications we may in-license in the future or own will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it is possible that there are prior public disclosures that could invalidate our patents, or parts of our patents, for which we are not aware;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issued patents that we hold rights to may be held invalid or unenforceable, as a result of legal challenges by our competitors;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issued patents may not have sufficient term or geographic scope to provide meaningful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not develop additional proprietary technologies that are patentable;</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patents of others may have an adverse effect on our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choose not to file a patent in order to maintain certain trade secrets, and a third party may subsequently file a patent covering such intellectual property.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entities may have or obtain patents or proprietary rights that could limit our ability to make, use, sell, offer for sale or import palazestrant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or any future product candidates we may develop. There may be third-party patents or patent applications with claims to compositions, formulations, methods of manufacture or methods for treatment related to the use or manufacture of palazestrant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the biopharmaceutical industry expands and more patents are issued, the risk increases that palazestrant,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claims of patent infringement, misappropriation or other violations asserted by third parties would be time consuming and could:</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result in costly litigation that may cause negative publicity;</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cause development delays;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prevent us from commercializing palazestrant or any future product candidates we may develop;</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us to develop non-infringing technology, which may not be possible on a cost-effective basis;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 us to significant liability to third parties;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tc>
      </w:tr>
    </w:tbl>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or a future strategic partner were able to obtain a license, the rights may be nonexclusive, which could result in our competitors gaining access to the same intellectual property. In addition, we cannot be certain that we could redesign palazestrant or any future product candidates we may develop processes to avoid infringement, if necessary.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 adverse determination in a judicial or administrative proceeding, or the failure to obtain necessary licenses, could prevent us from developing and commercializing palazestrant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and future product candidates and technologies.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not be successful in obtaining or maintaining necessary rights from third parties for that we identify as necessary for palazestrant through acquisitions and in-licenses.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While we may have issued patents that cover palazestrant, it is possible that third parties may have blocking patents that prevent us from marketing, manufacturing or commercializing our own patented products and practicing our own patented technology.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palazestrant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Should any of these events occur, it could significantly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Intellectual property litigation may lead to unfavorable publicity that harms our reputation and causes the market price of our common shares to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or any future product candidates to market. 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or any future product candidate we may develop or (2) invent any of the inventions claimed in the patents or patent applications.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U.S. patent law, or laws in other countries, could diminish the value of patents in general, thereby impairing our ability to protect palazestrant or any future product candidates we may develop.</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claims challenging the inventorship or ownership of our patents and other intellectual property.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Patent terms may be inadequate to protect our competitive position on palazestrant or any future product candidates we may develop for an adequate amount of time.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protection for certain patents in all markets due to finite availability of resources. Any of the foregoing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do not obtain patent term extension for palazestrant or any future product candidates we may develop, our business, financial condition, results of operations and prospects may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Depending upon the timing, duration and specifics of FDA marketing approval of palazestrant or any future product candidates we may develop, one or more of our U.S. patents or those of our licensors may be eligible for limited patent term restoration under the Drug Price Competition and Patent Term Restoration Act of 1984, or the 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will not be able to protect our intellectual property rights throughout the world.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or any future product candidates we may develop, without any available recourse.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claims that we or our employees have wrongfully used or disclosed alleged confidential information or trade secrets.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litigation could have a material adverse effect on our ability to raise additional funds or otherwise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rights to develop and commercialize our technology and product candidate may be subject, in part, to the terms and conditions of licenses granted to us by others.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enter into license agreements in the future with others to advance our research or allow commercialization of palazestrant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Disputes may arise between us and our past, current or future licensors regarding intellectual property subject to a license agreement, including:</w:t>
      </w:r>
    </w:p>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whether and the extent to which our technology and processes infringe on intellectual property of the licensor that is not subject to the licensing agreement;</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right to sublicense patents and other rights to third parties;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diligence obligations under the license agreement and what activities satisfy those diligence obligations;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right to transfer or assign the license;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inventorship and ownership of inventions and know-how resulting from the joint creation or use of intellectual property by our licensors and us and our partners;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priority of invention of patented technology.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dependence on third parties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or future product candidates we may develop and our business, financial condition, results of operations and prospects could be significantly harmed.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As a result, our results of operations and the commercial prospects for palazestrant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expect to continue to rely on third-party manufacturers for the commercial supply of palazestrant, if we obtain marketing approval. We may be unable to maintain or establish required agreements with third-party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manufacturers or to do so on acceptable terms. Even if we are able to establish agreements with third-party manufacturers, reliance on third-party manufacturers entails additional risks,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disruptions resulting from the impact of public health pandemics or epidemics;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reduction or termination of production or deliveries by suppliers, or the raising of prices or renegotiation of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termination or nonrenewal of arrangements or agreements by our third-party contractors at a time that is costly or inconvenient for us;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breach by the third-party contractors of our agreements with them;</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third-party contractors to comply with applicable regulatory requirements;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the third party to manufacture palazestrant according to our specifications;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mislabeling of clinical supplies, potentially resulting in the wrong dose amounts being supplied or active drug or placebo not being properly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clinical supplies not being delivered to clinical sites on time, leading to clinical trial interruptions, or of drug supplies not being distributed to commercial vendors in a timely manner, resulting in lost sales; and</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misappropriation of our proprietary information, including our trade secrets and know-how.</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PIQRAY® (alpelisib), or the Novartis Study Drugs, in patients with metastatic ER+ breast cancer, we entered into an Amended and Restated Clinical Collaboration and Supply Agreement with Novartis Institutes for BioMedical Research, Inc., or Novartis, as amended by Amendment No. 1 to Amended and Restated Clinical Collaboration and Supply Agreement between us and Novartis, or,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 and our Current Report on Form 8-K filed with the Securities and Exchange Commission on October 10, 2023.</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increased operating expenses and cash requirements;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assumption of contingent liabilities;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issuance of our equity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assimilation of operations, intellectual property and products of an acquired company, including difficulties associated with integrating new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diversion of our management’s attention from our existing programs and initiatives in pursuing such a strategic merger or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retention of key employees, the loss of key personnel and uncertainties in our ability to maintain key business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of delay in receiving or the failure to receive anticipated benefits of any such transactions, or of facing unanticipated challenges;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risks and uncertainties associated with the other party to such a transaction, including the prospects of that party and their existing products or product candidates and marketing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have significant discretion in determining the efforts and resources that they will apply to these collaborations and may not perform their obligations as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 collaborator with marketing and distribution rights to multiple products may not commit sufficient resources to the marketing and distribution of our product relative to other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collaborations may be terminated and, if terminated, may result in a need for additional capital to pursue further development or commercialization of the applicable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collaboration agreements may not lead to development or commercialization of product candidates in the most efficient manner or at all;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if a collaborator of ours were to be involved in a business combination, the continued pursuit and emphasis on our drug development or commercialization program could be delayed, diminished or terminated.</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drug development programs and the potential commercialization of palazestrant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or any future product candidates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or any future product candidates we may develop or bring them to market and generate product revenue.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ownership of our common stock</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An active trading market for our common stock may not be sustained.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price of our stock has been and may continue to be volatile, and you could lose all or part of your investment.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trading price of our common stock has been and may continue to be highly volatile and subject to wide fluctuations in response to various factors, some of which we cannot control. For example, the closing price of our common stock from January 1, 2022 to November 3, 2023 has ranged from a low of $2.04 to a high of $16.59.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results of nonclinical studies and clinical trials of palazestrant or any future product candidates we may develop or those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 of competitive products or announcements by potential competitors of their product development efforts;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actions with respect to our product candidate or our competitors’ products;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actual or anticipated changes in our growth rate relative to our competitors;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or legal developments in the United States and other countries;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developments or disputes concerning patent applications, issued patents or other proprietary rights;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recruitment or departure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announcements by us or our competitors of significant acquisitions, strategic collaborations, joint ventures, collaborations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actual or anticipated changes in estimates as to financial results, development timelines or recommendations by securities analysts;</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fluctuations in the valuation of companies perceived by investors to be comparable to us;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market conditions in the pharmaceutical and biotechnology sector;</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in the structure of healthcare payment systems;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share price and volume fluctuations attributable to inconsistent trading volume levels of our shares;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announcement or expectation of additional financing efforts;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sales of our common stock by us, our insiders or our other stockholders;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20"/>
              </w:rPr>
              <w:t xml:space="preserve">general geopolitical, macroeconomic, industry and market conditions, including the ongoing conflict between Ukraine and Russia and related sanctions, armed conflict between Israel and groups based in surrounding regions, labor shortages, </w:t>
            </w:r>
            <w:r>
              <w:rPr>
                <w:rFonts w:ascii="Arial;Helvetica;sans-serif" w:hAnsi="Arial;Helvetica;sans-serif"/>
                <w:b w:val="false"/>
                <w:i w:val="false"/>
                <w:caps w:val="false"/>
                <w:smallCaps w:val="false"/>
                <w:sz w:val="20"/>
              </w:rPr>
              <w:t xml:space="preserve">risk of a U.S. government shutdown, </w:t>
            </w:r>
            <w:r>
              <w:rPr>
                <w:rFonts w:ascii="Arial;Helvetica;sans-serif" w:hAnsi="Arial;Helvetica;sans-serif"/>
                <w:b w:val="false"/>
                <w:i w:val="false"/>
                <w:caps w:val="false"/>
                <w:smallCaps w:val="false"/>
                <w:color w:val="231F20"/>
                <w:sz w:val="20"/>
              </w:rPr>
              <w:t>inflation rates and the responses by central banking authorities to control such inflation, monetary supply shifts and related financial instability.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the trading prices for common stock of other biopharmaceutical companies have been highly volatile as a result of factors unrelated to the specific company or its technology, as well as due to the COVID-19 pandemic.</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our operating results to be subject to quarterly fluctuations. Our net loss and other operating results will be affected by numerous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timing and variations in the level of expense related to the ongoing development of palazestrant or future development programs;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timing and status of enrollment for our clinical trials;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impacts from geopolitical and macroeconomic events on us or third parties with which we engage;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results of clinical trials, or the addition or termination of clinical trials or funding support by us or potential future partners;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execution of any collaboration, licensing or similar arrangements, and the timing of payments we may make or receive under potential future arrangements or the termination or modification of any such potential future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intellectual property infringement, misappropriation or violation lawsuit or opposition, interference or cancellation proceeding in which we may become involved;</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additions and departures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strategic decisions by us or our competitors, such as acquisitions, divestitures, spin-offs, joint ventures, strategic investments or changes in business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if palazestrant or any future product candidate we may develop receive regulatory approval, the timing and terms of such approval and market acceptance and demand for such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developments affecting palazestrant or any future product candidate we may develop or those of our competitors;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in general market and economic conditions.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principal stockholders and management own a significant percentage of our stock and will be able to exert significant control over matters subject to stockholder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Sales of a substantial number of shares of our common stock in the public market could cause our stock price to fall.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of September 30, 2023, we had 54,601,516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obligated to file a registration statement with the Securities and Exchange Commission to register all of the shares issued in the Private Placement for public resale. Moreover, certain holders of shares of our common stock outstanding at the time of our IPO have rights, subject to certain conditions, to require us to file registration statements for public resale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Raising additional capital may cause dilution to our existing stockholders, restrict our operations or require us to relinquish rights to palazestrant or future product candidates we may develop on unfavorable terms to us.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ending December 31, 2022,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New or future changes to tax laws could materially adversely affect our company.</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tbl>
      <w:tblPr>
        <w:tblW w:w="9531" w:type="dxa"/>
        <w:jc w:val="left"/>
        <w:tblInd w:w="0" w:type="dxa"/>
        <w:shd w:fill="FFFFFF" w:val="clear"/>
        <w:tblLayout w:type="fixed"/>
        <w:tblCellMar>
          <w:top w:w="28" w:type="dxa"/>
          <w:left w:w="28" w:type="dxa"/>
          <w:bottom w:w="28" w:type="dxa"/>
          <w:right w:w="28" w:type="dxa"/>
        </w:tblCellMar>
      </w:tblPr>
      <w:tblGrid>
        <w:gridCol w:w="124"/>
        <w:gridCol w:w="256"/>
        <w:gridCol w:w="915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 a classified Board of Directors such that not all members of the board are elected at one time;</w:t>
            </w:r>
          </w:p>
        </w:tc>
      </w:tr>
    </w:tbl>
    <w:tbl>
      <w:tblPr>
        <w:tblW w:w="9456" w:type="dxa"/>
        <w:jc w:val="left"/>
        <w:tblInd w:w="0" w:type="dxa"/>
        <w:shd w:fill="FFFFFF" w:val="clear"/>
        <w:tblLayout w:type="fixed"/>
        <w:tblCellMar>
          <w:top w:w="28" w:type="dxa"/>
          <w:left w:w="28" w:type="dxa"/>
          <w:bottom w:w="28" w:type="dxa"/>
          <w:right w:w="28" w:type="dxa"/>
        </w:tblCellMar>
      </w:tblPr>
      <w:tblGrid>
        <w:gridCol w:w="124"/>
        <w:gridCol w:w="256"/>
        <w:gridCol w:w="90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 the authorized number of our directors to be changed only by resolution of our Board of Directors;</w:t>
            </w:r>
          </w:p>
        </w:tc>
      </w:tr>
    </w:tbl>
    <w:tbl>
      <w:tblPr>
        <w:tblW w:w="7131" w:type="dxa"/>
        <w:jc w:val="left"/>
        <w:tblInd w:w="0" w:type="dxa"/>
        <w:shd w:fill="FFFFFF" w:val="clear"/>
        <w:tblLayout w:type="fixed"/>
        <w:tblCellMar>
          <w:top w:w="28" w:type="dxa"/>
          <w:left w:w="28" w:type="dxa"/>
          <w:bottom w:w="28" w:type="dxa"/>
          <w:right w:w="28" w:type="dxa"/>
        </w:tblCellMar>
      </w:tblPr>
      <w:tblGrid>
        <w:gridCol w:w="124"/>
        <w:gridCol w:w="256"/>
        <w:gridCol w:w="675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 the manner in which stockholders can remove directors from the board;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 advance notice requirements for stockholder proposals that can be acted on at stockholder meetings and nominations to our Board of Directors;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 that stockholder actions must be effected at a duly called stockholder meeting and prohibit actions by our stockholders by written consent;</w:t>
            </w:r>
          </w:p>
        </w:tc>
      </w:tr>
    </w:tbl>
    <w:tbl>
      <w:tblPr>
        <w:tblW w:w="7101" w:type="dxa"/>
        <w:jc w:val="left"/>
        <w:tblInd w:w="0" w:type="dxa"/>
        <w:shd w:fill="FFFFFF" w:val="clear"/>
        <w:tblLayout w:type="fixed"/>
        <w:tblCellMar>
          <w:top w:w="28" w:type="dxa"/>
          <w:left w:w="28" w:type="dxa"/>
          <w:bottom w:w="28" w:type="dxa"/>
          <w:right w:w="28" w:type="dxa"/>
        </w:tblCellMar>
      </w:tblPr>
      <w:tblGrid>
        <w:gridCol w:w="124"/>
        <w:gridCol w:w="256"/>
        <w:gridCol w:w="67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prohibit our stockholders from calling a special meeting of our stockholders;</w:t>
            </w:r>
          </w:p>
        </w:tc>
      </w:tr>
    </w:tbl>
    <w:tbl>
      <w:tblPr>
        <w:tblW w:w="2811" w:type="dxa"/>
        <w:jc w:val="left"/>
        <w:tblInd w:w="0" w:type="dxa"/>
        <w:shd w:fill="FFFFFF" w:val="clear"/>
        <w:tblLayout w:type="fixed"/>
        <w:tblCellMar>
          <w:top w:w="28" w:type="dxa"/>
          <w:left w:w="28" w:type="dxa"/>
          <w:bottom w:w="28" w:type="dxa"/>
          <w:right w:w="28" w:type="dxa"/>
        </w:tblCellMar>
      </w:tblPr>
      <w:tblGrid>
        <w:gridCol w:w="124"/>
        <w:gridCol w:w="256"/>
        <w:gridCol w:w="24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prohibit cumulative voting;</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 the approval of the holders of at least 662⁄3% of the votes that all our stockholders would be entitled to cast to amend or repeal certain provisions of our amended and restated certificate of incorporations or amended and restated bylaws.</w:t>
            </w:r>
          </w:p>
        </w:tc>
      </w:tr>
    </w:tbl>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Our amended and restated certificate of incorporation provides that the Court of Chancery of the State of Delaware is the exclusive forum for the following types of actions or proceedings under Delaware statutory or common law:</w:t>
      </w:r>
    </w:p>
    <w:tbl>
      <w:tblPr>
        <w:tblW w:w="5511" w:type="dxa"/>
        <w:jc w:val="left"/>
        <w:tblInd w:w="0" w:type="dxa"/>
        <w:shd w:fill="FFFFFF" w:val="clear"/>
        <w:tblLayout w:type="fixed"/>
        <w:tblCellMar>
          <w:top w:w="28" w:type="dxa"/>
          <w:left w:w="28" w:type="dxa"/>
          <w:bottom w:w="28" w:type="dxa"/>
          <w:right w:w="28" w:type="dxa"/>
        </w:tblCellMar>
      </w:tblPr>
      <w:tblGrid>
        <w:gridCol w:w="124"/>
        <w:gridCol w:w="256"/>
        <w:gridCol w:w="51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derivative action or proceeding brought on our behalf;</w:t>
            </w:r>
          </w:p>
        </w:tc>
      </w:tr>
    </w:tbl>
    <w:tbl>
      <w:tblPr>
        <w:tblW w:w="5361" w:type="dxa"/>
        <w:jc w:val="left"/>
        <w:tblInd w:w="0" w:type="dxa"/>
        <w:shd w:fill="FFFFFF" w:val="clear"/>
        <w:tblLayout w:type="fixed"/>
        <w:tblCellMar>
          <w:top w:w="28" w:type="dxa"/>
          <w:left w:w="28" w:type="dxa"/>
          <w:bottom w:w="28" w:type="dxa"/>
          <w:right w:w="28" w:type="dxa"/>
        </w:tblCellMar>
      </w:tblPr>
      <w:tblGrid>
        <w:gridCol w:w="124"/>
        <w:gridCol w:w="256"/>
        <w:gridCol w:w="49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action asserting a claim of breach of fiduciary duty;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action asserting a claim against us arising under the DGCL, our amended and restated certificate of incorporation or our amended and restated bylaws; and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action asserting a claim against us that is governed by the internal-affairs doctrine or otherwise related to our internal affairs.</w:t>
            </w:r>
          </w:p>
        </w:tc>
      </w:tr>
    </w:tbl>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hd w:fill="FFFFFF" w:val="clear"/>
        <w:bidi w:val="0"/>
        <w:spacing w:before="0" w:after="240"/>
        <w:ind w:left="0" w:right="0" w:hanging="0"/>
        <w:jc w:val="both"/>
        <w:rPr>
          <w:rFonts w:ascii="Arial;Helvetica;sans-serif" w:hAnsi="Arial;Helvetica;sans-serif"/>
          <w:sz w:val="20"/>
        </w:rPr>
      </w:pPr>
      <w:r>
        <w:rPr>
          <w:rFonts w:ascii="Arial;Helvetica;sans-serif" w:hAnsi="Arial;Helvetica;sans-serif"/>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We do not currently intend to pay dividends on our common stock and, consequently, your ability to achieve a return on your investment will depend on appreciation of the value of our common stock.</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restrict our ability to declare and pay dividends. Any return to stockholders will therefore be limited to any appreciation in the value of our common stock, which is not certain.</w:t>
      </w:r>
    </w:p>
    <w:p>
      <w:pPr>
        <w:pStyle w:val="TextBody"/>
        <w:shd w:fill="FFFFFF" w:val="clear"/>
        <w:bidi w:val="0"/>
        <w:spacing w:before="0" w:after="240"/>
        <w:ind w:left="0" w:right="0" w:hanging="0"/>
        <w:jc w:val="both"/>
        <w:rPr>
          <w:rFonts w:ascii="Arial;Helvetica;sans-serif" w:hAnsi="Arial;Helvetica;sans-serif"/>
          <w:b/>
          <w:sz w:val="20"/>
        </w:rPr>
      </w:pPr>
      <w:r>
        <w:rPr>
          <w:rFonts w:ascii="Arial;Helvetica;sans-serif" w:hAnsi="Arial;Helvetica;sans-serif"/>
          <w:b/>
          <w:sz w:val="20"/>
        </w:rPr>
        <w:t>General risk factors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The requirements of being a public company may strain our resources, result in more litigation and divert management’s attention.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securities litigation, which is expensive and could divert management attention.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Our disclosure controls and procedures may not prevent or detect all errors or acts of fraud.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47" w:name="Item2UnregisteredSalesofEquitySecurities"/>
      <w:bookmarkStart w:id="1248" w:name="_504809c7_e5d0_48e2_a2ea_eabe2e338dd3"/>
      <w:bookmarkEnd w:id="1247"/>
      <w:bookmarkEnd w:id="1248"/>
      <w:r>
        <w:rPr>
          <w:rFonts w:ascii="Arial;Helvetica;sans-serif" w:hAnsi="Arial;Helvetica;sans-serif"/>
          <w:b/>
          <w:sz w:val="20"/>
        </w:rPr>
        <w:t>Item 2. Unregistered Sales of Equity Securities and Use of Proceeds and Issuer Purchases of Equity Securities.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Sales of Unregistered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Proceeds from our Initial Public Offering of Common Stock</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sale and issuance of 12,650,000 shares in the IPO closed on November 23, 2020, J.P. Morgan Securities LLC, Jefferies LLC and Cowen and Company, LLC acted as joint book-running managers for the offering.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There has been no material change in the planned use of proceeds from the IPO from that described in the prospectus filed with the SEC pursuant to Rule 424(b)(4) under the Securities Act on November 19, 2020.</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Repurchase of Shares of Company Equity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1249" w:name="Item3DefaultsUponSeniorSecurities_285444"/>
      <w:bookmarkStart w:id="1250" w:name="_6656a47a_6094_4dd0_afe5_a0b41fba0d3d"/>
      <w:bookmarkEnd w:id="1249"/>
      <w:bookmarkEnd w:id="1250"/>
      <w:r>
        <w:rPr>
          <w:rFonts w:ascii="Arial;Helvetica;sans-serif" w:hAnsi="Arial;Helvetica;sans-serif"/>
          <w:b/>
          <w:sz w:val="20"/>
        </w:rPr>
        <w:t>Item 3. Defaults Upon Senior Securities.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1251" w:name="Item4MineSafetyDisclosures_363877"/>
      <w:bookmarkStart w:id="1252" w:name="_307368c8_5f1c_43f7_ad0a_a2748f06150f"/>
      <w:bookmarkEnd w:id="1251"/>
      <w:bookmarkEnd w:id="1252"/>
      <w:r>
        <w:rPr>
          <w:rFonts w:ascii="Arial;Helvetica;sans-serif" w:hAnsi="Arial;Helvetica;sans-serif"/>
          <w:b/>
          <w:sz w:val="20"/>
        </w:rPr>
        <w:t>Item 4. Mine Safety Disclosures.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rFonts w:ascii="Arial;Helvetica;sans-serif" w:hAnsi="Arial;Helvetica;sans-serif"/>
          <w:b/>
          <w:sz w:val="20"/>
        </w:rPr>
      </w:pPr>
      <w:bookmarkStart w:id="1253" w:name="Item5OtherInformation_250924"/>
      <w:bookmarkStart w:id="1254" w:name="_98949e7a_aff2_46fc_954e_c235ffd0230c"/>
      <w:bookmarkEnd w:id="1253"/>
      <w:bookmarkEnd w:id="1254"/>
      <w:r>
        <w:rPr>
          <w:rFonts w:ascii="Arial;Helvetica;sans-serif" w:hAnsi="Arial;Helvetica;sans-serif"/>
          <w:b/>
          <w:sz w:val="20"/>
        </w:rPr>
        <w:t>Item 5. Other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55" w:name="Item6Exhibits_686387"/>
      <w:bookmarkStart w:id="1256" w:name="_d54c43a4_ba55_48a8_97d5_89cf07dd0cf9"/>
      <w:bookmarkEnd w:id="1255"/>
      <w:bookmarkEnd w:id="1256"/>
      <w:r>
        <w:rPr>
          <w:rFonts w:ascii="Arial;Helvetica;sans-serif" w:hAnsi="Arial;Helvetica;sans-serif"/>
          <w:b/>
          <w:sz w:val="20"/>
        </w:rPr>
        <w:t>Item 6. Exhibits.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88"/>
        <w:gridCol w:w="5818"/>
        <w:gridCol w:w="976"/>
        <w:gridCol w:w="950"/>
        <w:gridCol w:w="766"/>
        <w:gridCol w:w="807"/>
      </w:tblGrid>
      <w:tr>
        <w:trPr/>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63880" cy="175260"/>
                      <wp:effectExtent l="0" t="0" r="0" b="0"/>
                      <wp:wrapNone/>
                      <wp:docPr id="229" name="Frame22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94430" cy="175260"/>
                      <wp:effectExtent l="0" t="0" r="0" b="0"/>
                      <wp:wrapNone/>
                      <wp:docPr id="230" name="Frame230"/>
                      <a:graphic xmlns:a="http://schemas.openxmlformats.org/drawingml/2006/main">
                        <a:graphicData uri="http://schemas.microsoft.com/office/word/2010/wordprocessingShape">
                          <wps:wsp>
                            <wps:cNvSpPr txBox="1"/>
                            <wps:spPr>
                              <a:xfrm>
                                <a:off x="0" y="0"/>
                                <a:ext cx="3694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9760" cy="175260"/>
                      <wp:effectExtent l="0" t="0" r="0" b="0"/>
                      <wp:wrapNone/>
                      <wp:docPr id="231" name="Frame23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03250" cy="175260"/>
                      <wp:effectExtent l="0" t="0" r="0" b="0"/>
                      <wp:wrapNone/>
                      <wp:docPr id="232" name="Frame232"/>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86410" cy="175260"/>
                      <wp:effectExtent l="0" t="0" r="0" b="0"/>
                      <wp:wrapNone/>
                      <wp:docPr id="233" name="Frame2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12445" cy="175260"/>
                      <wp:effectExtent l="0" t="0" r="0" b="0"/>
                      <wp:wrapNone/>
                      <wp:docPr id="234" name="Frame234"/>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8" w:type="dxa"/>
            <w:tcBorders/>
            <w:vAlign w:val="center"/>
          </w:tcPr>
          <w:p>
            <w:pPr>
              <w:pStyle w:val="TableContents"/>
              <w:bidi w:val="0"/>
              <w:spacing w:before="0" w:after="0"/>
              <w:ind w:left="0" w:right="0" w:hanging="0"/>
              <w:jc w:val="left"/>
              <w:rPr/>
            </w:pPr>
            <w:r>
              <w:rPr/>
              <w:t>​</w:t>
            </w:r>
          </w:p>
        </w:tc>
        <w:tc>
          <w:tcPr>
            <w:tcW w:w="5818" w:type="dxa"/>
            <w:tcBorders/>
            <w:vAlign w:val="center"/>
          </w:tcPr>
          <w:p>
            <w:pPr>
              <w:pStyle w:val="TableContents"/>
              <w:bidi w:val="0"/>
              <w:spacing w:before="0" w:after="0"/>
              <w:ind w:left="0" w:right="0" w:hanging="0"/>
              <w:jc w:val="left"/>
              <w:rPr/>
            </w:pPr>
            <w:r>
              <w:rPr/>
              <w:t>​</w:t>
            </w:r>
          </w:p>
        </w:tc>
        <w:tc>
          <w:tcPr>
            <w:tcW w:w="3499" w:type="dxa"/>
            <w:gridSpan w:val="4"/>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Incorporated by Reference</w:t>
            </w:r>
          </w:p>
        </w:tc>
      </w:tr>
      <w:tr>
        <w:trPr/>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Number</w:t>
            </w:r>
          </w:p>
        </w:tc>
        <w:tc>
          <w:tcPr>
            <w:tcW w:w="581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97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Schedule</w:t>
              <w:br/>
              <w:t>Form</w:t>
            </w:r>
          </w:p>
        </w:tc>
        <w:tc>
          <w:tcPr>
            <w:tcW w:w="95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File Number</w:t>
            </w:r>
          </w:p>
        </w:tc>
        <w:tc>
          <w:tcPr>
            <w:tcW w:w="76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Exhibit</w:t>
            </w:r>
          </w:p>
        </w:tc>
        <w:tc>
          <w:tcPr>
            <w:tcW w:w="807"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Filing</w:t>
              <w:br/>
              <w:t>Date</w:t>
            </w:r>
          </w:p>
        </w:tc>
      </w:tr>
      <w:tr>
        <w:trPr/>
        <w:tc>
          <w:tcPr>
            <w:tcW w:w="888"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5818"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w:t>
              </w:r>
            </w:hyperlink>
            <w:r>
              <w:rPr>
                <w:rFonts w:ascii="Arial;Helvetica;sans-serif" w:hAnsi="Arial;Helvetica;sans-serif"/>
                <w:sz w:val="20"/>
              </w:rPr>
              <w:t>.</w:t>
            </w:r>
          </w:p>
        </w:tc>
        <w:tc>
          <w:tcPr>
            <w:tcW w:w="97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0"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807"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11/23/2020</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5818"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w:t>
              </w:r>
            </w:hyperlink>
            <w:r>
              <w:rPr>
                <w:rFonts w:ascii="Arial;Helvetica;sans-serif" w:hAnsi="Arial;Helvetica;sans-serif"/>
                <w:sz w:val="20"/>
              </w:rPr>
              <w:t>.</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12/16/2022</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5818"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20"/>
                </w:rPr>
                <w:t>Stock Purchase Agreement, by and among the Company and the Purchasers named therein, dated September 5, 2023.</w:t>
              </w:r>
            </w:hyperlink>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9/5/2023</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10.2</w:t>
            </w:r>
          </w:p>
        </w:tc>
        <w:tc>
          <w:tcPr>
            <w:tcW w:w="5818" w:type="dxa"/>
            <w:tcBorders/>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sz w:val="20"/>
                </w:rPr>
                <w:t>Loan and Security Agreement, by and between the Company and Silicon Valley Bank, a division of First-Citizens Bank &amp; Trust Company, dated September 5, 2023.</w:t>
              </w:r>
            </w:hyperlink>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10.2</w:t>
            </w:r>
          </w:p>
        </w:tc>
        <w:tc>
          <w:tcPr>
            <w:tcW w:w="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9/5/2023</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10.3</w:t>
            </w:r>
          </w:p>
        </w:tc>
        <w:tc>
          <w:tcPr>
            <w:tcW w:w="5818" w:type="dxa"/>
            <w:tcBorders/>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sz w:val="20"/>
                </w:rPr>
                <w:t>Amendment No. 1 to Amended and Restated Clinical Collaboration and Supply Agreement, by and between the Company and Novartis Institutes for BioMedical Research, Inc., dated October 9, 2023.</w:t>
              </w:r>
            </w:hyperlink>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95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7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80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10/10/2023</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5818" w:type="dxa"/>
            <w:tcBorders/>
            <w:vAlign w:val="center"/>
          </w:tcPr>
          <w:p>
            <w:pPr>
              <w:pStyle w:val="TableContents"/>
              <w:bidi w:val="0"/>
              <w:spacing w:before="0" w:after="0"/>
              <w:ind w:left="0" w:right="0" w:hanging="0"/>
              <w:jc w:val="left"/>
              <w:rPr/>
            </w:pPr>
            <w:hyperlink w:anchor="olma-20230930xex31d1.htm">
              <w:r>
                <w:rPr>
                  <w:rStyle w:val="InternetLink"/>
                  <w:rFonts w:ascii="Arial;Helvetica;sans-serif" w:hAnsi="Arial;Helvetica;sans-serif"/>
                  <w:b w:val="false"/>
                  <w:i w:val="false"/>
                  <w:caps w:val="false"/>
                  <w:smallCaps w:val="false"/>
                  <w:sz w:val="20"/>
                </w:rPr>
                <w:t>Certification of Chief Executive Officer Pursuant to Rules 13a-14(a) and 15d-14(a) under the Securities Exchange Act of 1934, as Adopted Pursuant to Section 302 of the Sarbanes-Oxley Act of 2002.</w:t>
              </w:r>
            </w:hyperlink>
          </w:p>
        </w:tc>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807" w:type="dxa"/>
            <w:tcBorders/>
            <w:vAlign w:val="center"/>
          </w:tcPr>
          <w:p>
            <w:pPr>
              <w:pStyle w:val="TableContents"/>
              <w:bidi w:val="0"/>
              <w:spacing w:before="0" w:after="283"/>
              <w:ind w:left="0" w:right="0" w:hanging="0"/>
              <w:jc w:val="left"/>
              <w:rPr>
                <w:sz w:val="4"/>
                <w:szCs w:val="4"/>
              </w:rPr>
            </w:pPr>
            <w:r>
              <w:rPr>
                <w:sz w:val="4"/>
                <w:szCs w:val="4"/>
              </w:rPr>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5818" w:type="dxa"/>
            <w:tcBorders/>
            <w:vAlign w:val="center"/>
          </w:tcPr>
          <w:p>
            <w:pPr>
              <w:pStyle w:val="TableContents"/>
              <w:bidi w:val="0"/>
              <w:spacing w:before="0" w:after="0"/>
              <w:ind w:left="0" w:right="0" w:hanging="0"/>
              <w:jc w:val="left"/>
              <w:rPr/>
            </w:pPr>
            <w:hyperlink w:anchor="olma-20230930xex31d2.htm">
              <w:r>
                <w:rPr>
                  <w:rStyle w:val="InternetLink"/>
                  <w:rFonts w:ascii="Arial;Helvetica;sans-serif" w:hAnsi="Arial;Helvetica;sans-serif"/>
                  <w:b w:val="false"/>
                  <w:i w:val="false"/>
                  <w:caps w:val="false"/>
                  <w:smallCaps w:val="false"/>
                  <w:sz w:val="20"/>
                </w:rPr>
                <w:t>Certification of Chief Financial Officer Pursuant to Rules 13a-14(a) and 15d-14(a) under the Securities Exchange Act of 1934, as Adopted Pursuant to Section 302 of the Sarbanes-Oxley Act of 2002.</w:t>
              </w:r>
            </w:hyperlink>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5818" w:type="dxa"/>
            <w:tcBorders/>
            <w:vAlign w:val="center"/>
          </w:tcPr>
          <w:p>
            <w:pPr>
              <w:pStyle w:val="TableContents"/>
              <w:bidi w:val="0"/>
              <w:spacing w:before="0" w:after="0"/>
              <w:ind w:left="0" w:right="0" w:hanging="0"/>
              <w:jc w:val="left"/>
              <w:rPr/>
            </w:pPr>
            <w:hyperlink w:anchor="olma-20230930xex32d1.htm">
              <w:r>
                <w:rPr>
                  <w:rStyle w:val="InternetLink"/>
                  <w:rFonts w:ascii="Arial;Helvetica;sans-serif" w:hAnsi="Arial;Helvetica;san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807" w:type="dxa"/>
            <w:tcBorders/>
            <w:vAlign w:val="center"/>
          </w:tcPr>
          <w:p>
            <w:pPr>
              <w:pStyle w:val="TableContents"/>
              <w:bidi w:val="0"/>
              <w:spacing w:before="0" w:after="283"/>
              <w:ind w:left="0" w:right="0" w:hanging="0"/>
              <w:jc w:val="left"/>
              <w:rPr>
                <w:sz w:val="4"/>
                <w:szCs w:val="4"/>
              </w:rPr>
            </w:pPr>
            <w:r>
              <w:rPr>
                <w:sz w:val="4"/>
                <w:szCs w:val="4"/>
              </w:rPr>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Instance Document – the instance document does not appear in the Interactive Data File because its XBRL tags are embedded within the Inline XBRL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Schema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Calculation Linkbase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Definition Linkbase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Label Linkbase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XBRL Taxonomy Extension Presentation Linkbase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r>
        <w:trPr/>
        <w:tc>
          <w:tcPr>
            <w:tcW w:w="8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581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 The cover page interactive data file does not appear in the Interactive Data File because its XBRL tags are embedded within the Inline XBRL document</w:t>
            </w:r>
          </w:p>
        </w:tc>
        <w:tc>
          <w:tcPr>
            <w:tcW w:w="97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607" w:type="dxa"/>
        <w:jc w:val="left"/>
        <w:tblInd w:w="0" w:type="dxa"/>
        <w:tblLayout w:type="fixed"/>
        <w:tblCellMar>
          <w:top w:w="0" w:type="dxa"/>
          <w:left w:w="0" w:type="dxa"/>
          <w:bottom w:w="0" w:type="dxa"/>
          <w:right w:w="0" w:type="dxa"/>
        </w:tblCellMar>
      </w:tblPr>
      <w:tblGrid>
        <w:gridCol w:w="196"/>
        <w:gridCol w:w="1411"/>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141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9979"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tc>
      </w:tr>
    </w:tbl>
    <w:p>
      <w:pPr>
        <w:pStyle w:val="TextBody"/>
        <w:pBdr/>
        <w:bidi w:val="0"/>
        <w:spacing w:before="0" w:after="0"/>
        <w:ind w:left="0" w:right="0" w:hanging="45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257" w:name="_da188ecc_d735_43c7_88ed_efdd56cf59b0"/>
      <w:bookmarkEnd w:id="1257"/>
      <w:r>
        <w:rPr>
          <w:rFonts w:ascii="Arial;Helvetica;sans-serif" w:hAnsi="Arial;Helvetica;sans-serif"/>
          <w:b/>
          <w:sz w:val="20"/>
        </w:rPr>
        <w:t>SIGNATURES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as amended, the registrant has duly caused this report to be signed on its behalf by the undersigned thereunto duly authorized.</w:t>
      </w:r>
    </w:p>
    <w:tbl>
      <w:tblPr>
        <w:tblW w:w="8013" w:type="dxa"/>
        <w:jc w:val="left"/>
        <w:tblInd w:w="0" w:type="dxa"/>
        <w:tblLayout w:type="fixed"/>
        <w:tblCellMar>
          <w:top w:w="0" w:type="dxa"/>
          <w:left w:w="0" w:type="dxa"/>
          <w:bottom w:w="0" w:type="dxa"/>
          <w:right w:w="0" w:type="dxa"/>
        </w:tblCellMar>
      </w:tblPr>
      <w:tblGrid>
        <w:gridCol w:w="2236"/>
        <w:gridCol w:w="406"/>
        <w:gridCol w:w="537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19860" cy="29210"/>
                      <wp:effectExtent l="0" t="0" r="0" b="0"/>
                      <wp:wrapNone/>
                      <wp:docPr id="235" name="Frame235"/>
                      <a:graphic xmlns:a="http://schemas.openxmlformats.org/drawingml/2006/main">
                        <a:graphicData uri="http://schemas.microsoft.com/office/word/2010/wordprocessingShape">
                          <wps:wsp>
                            <wps:cNvSpPr txBox="1"/>
                            <wps:spPr>
                              <a:xfrm>
                                <a:off x="0" y="0"/>
                                <a:ext cx="1419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57810" cy="29210"/>
                      <wp:effectExtent l="0" t="0" r="0" b="0"/>
                      <wp:wrapNone/>
                      <wp:docPr id="236" name="Frame236"/>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410585" cy="29210"/>
                      <wp:effectExtent l="0" t="0" r="0" b="0"/>
                      <wp:wrapNone/>
                      <wp:docPr id="237" name="Frame237"/>
                      <a:graphic xmlns:a="http://schemas.openxmlformats.org/drawingml/2006/main">
                        <a:graphicData uri="http://schemas.microsoft.com/office/word/2010/wordprocessingShape">
                          <wps:wsp>
                            <wps:cNvSpPr txBox="1"/>
                            <wps:spPr>
                              <a:xfrm>
                                <a:off x="0" y="0"/>
                                <a:ext cx="3410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577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Olema Pharmaceuticals, Inc.</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November 7, 2023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Sean Bohen, M.D., Ph.D.</w:t>
            </w:r>
          </w:p>
        </w:tc>
      </w:tr>
      <w:tr>
        <w:trPr/>
        <w:tc>
          <w:tcPr>
            <w:tcW w:w="22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Sean Bohen, M.D., Ph.D.</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President and Chief Executive Officer</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r>
              <w:rPr>
                <w:rFonts w:ascii="Arial;Helvetica;sans-serif" w:hAnsi="Arial;Helvetica;sans-serif"/>
                <w:i/>
                <w:sz w:val="20"/>
              </w:rPr>
              <w:t>Principal Executive Officer</w:t>
            </w:r>
            <w:r>
              <w:rPr>
                <w:rFonts w:ascii="Arial;Helvetica;sans-serif" w:hAnsi="Arial;Helvetica;sans-serif"/>
                <w:sz w:val="20"/>
              </w:rPr>
              <w:t>)</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577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Olema Pharmaceuticals, Inc.</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November 7, 2023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Shane Kovacs</w:t>
            </w:r>
          </w:p>
        </w:tc>
      </w:tr>
      <w:tr>
        <w:trPr/>
        <w:tc>
          <w:tcPr>
            <w:tcW w:w="22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Shane Kovacs</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3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Chief Operating and Financial Officer</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r>
              <w:rPr>
                <w:rFonts w:ascii="Arial;Helvetica;sans-serif" w:hAnsi="Arial;Helvetica;sans-serif"/>
                <w:i/>
                <w:sz w:val="20"/>
              </w:rPr>
              <w:t>Principal Financial Officer and Principal Accounting Officer</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105</w:t>
      </w:r>
    </w:p>
    <w:p>
      <w:pPr>
        <w:pStyle w:val="TextBody"/>
        <w:bidi w:val="0"/>
        <w:spacing w:before="0" w:after="240"/>
        <w:ind w:left="0" w:right="0" w:hanging="0"/>
        <w:jc w:val="right"/>
        <w:rPr>
          <w:rFonts w:ascii="Times New Roman;Times;serif" w:hAnsi="Times New Roman;Times;serif"/>
          <w:b/>
          <w:sz w:val="20"/>
        </w:rPr>
      </w:pPr>
      <w:bookmarkStart w:id="1258" w:name="olma-20230930xex31d1.htm"/>
      <w:bookmarkStart w:id="1259" w:name="ksolma20230930xex31d1"/>
      <w:bookmarkEnd w:id="1258"/>
      <w:bookmarkEnd w:id="1259"/>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Sean Bohen, certify that:</w:t>
      </w:r>
    </w:p>
    <w:tbl>
      <w:tblPr>
        <w:tblW w:w="6985" w:type="dxa"/>
        <w:jc w:val="left"/>
        <w:tblInd w:w="0" w:type="dxa"/>
        <w:tblLayout w:type="fixed"/>
        <w:tblCellMar>
          <w:top w:w="0" w:type="dxa"/>
          <w:left w:w="0" w:type="dxa"/>
          <w:bottom w:w="0" w:type="dxa"/>
          <w:right w:w="0" w:type="dxa"/>
        </w:tblCellMar>
      </w:tblPr>
      <w:tblGrid>
        <w:gridCol w:w="170"/>
        <w:gridCol w:w="681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Olema Pharmaceuticals,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718" w:type="dxa"/>
        <w:jc w:val="center"/>
        <w:tblInd w:w="0" w:type="dxa"/>
        <w:tblLayout w:type="fixed"/>
        <w:tblCellMar>
          <w:top w:w="0" w:type="dxa"/>
          <w:left w:w="0" w:type="dxa"/>
          <w:bottom w:w="0" w:type="dxa"/>
          <w:right w:w="0" w:type="dxa"/>
        </w:tblCellMar>
      </w:tblPr>
      <w:tblGrid>
        <w:gridCol w:w="2101"/>
        <w:gridCol w:w="406"/>
        <w:gridCol w:w="321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Sean Bohen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Bohen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60" w:name="olma-20230930xex31d2.htm"/>
      <w:bookmarkStart w:id="1261" w:name="ksolma20230930xex31d2"/>
      <w:bookmarkEnd w:id="1260"/>
      <w:bookmarkEnd w:id="1261"/>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Shane Kovacs, certify that:</w:t>
      </w:r>
    </w:p>
    <w:tbl>
      <w:tblPr>
        <w:tblW w:w="6985" w:type="dxa"/>
        <w:jc w:val="left"/>
        <w:tblInd w:w="0" w:type="dxa"/>
        <w:tblLayout w:type="fixed"/>
        <w:tblCellMar>
          <w:top w:w="0" w:type="dxa"/>
          <w:left w:w="0" w:type="dxa"/>
          <w:bottom w:w="0" w:type="dxa"/>
          <w:right w:w="0" w:type="dxa"/>
        </w:tblCellMar>
      </w:tblPr>
      <w:tblGrid>
        <w:gridCol w:w="170"/>
        <w:gridCol w:w="681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Olema Pharmaceuticals,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0" w:right="0" w:hanging="0"/>
        <w:jc w:val="left"/>
        <w:rPr/>
      </w:pPr>
      <w:r>
        <w:rPr/>
        <w:t>​</w:t>
      </w:r>
    </w:p>
    <w:tbl>
      <w:tblPr>
        <w:tblW w:w="6378" w:type="dxa"/>
        <w:jc w:val="center"/>
        <w:tblInd w:w="0" w:type="dxa"/>
        <w:tblLayout w:type="fixed"/>
        <w:tblCellMar>
          <w:top w:w="0" w:type="dxa"/>
          <w:left w:w="0" w:type="dxa"/>
          <w:bottom w:w="0" w:type="dxa"/>
          <w:right w:w="0" w:type="dxa"/>
        </w:tblCellMar>
      </w:tblPr>
      <w:tblGrid>
        <w:gridCol w:w="2101"/>
        <w:gridCol w:w="406"/>
        <w:gridCol w:w="387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Shane Kovacs</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Shane Kovacs</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and Financial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62" w:name="olma-20230930xex32d1.htm"/>
      <w:bookmarkStart w:id="1263" w:name="ksolma20230930xex32d1"/>
      <w:bookmarkEnd w:id="1262"/>
      <w:bookmarkEnd w:id="1263"/>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Quarterly Report on Form 10-Q for the period ended September 30, 2023, to which this Certification is attached as Exhibit 32.1 (the “Periodic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718" w:type="dxa"/>
        <w:jc w:val="center"/>
        <w:tblInd w:w="0" w:type="dxa"/>
        <w:tblLayout w:type="fixed"/>
        <w:tblCellMar>
          <w:top w:w="0" w:type="dxa"/>
          <w:left w:w="0" w:type="dxa"/>
          <w:bottom w:w="0" w:type="dxa"/>
          <w:right w:w="0" w:type="dxa"/>
        </w:tblCellMar>
      </w:tblPr>
      <w:tblGrid>
        <w:gridCol w:w="2101"/>
        <w:gridCol w:w="406"/>
        <w:gridCol w:w="321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Sean Bohen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Bohen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Shane Kovacs</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Shane Kovacs</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and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0465920128482/tm2027048d18_ex3-1.htm" TargetMode="External"/><Relationship Id="rId3" Type="http://schemas.openxmlformats.org/officeDocument/2006/relationships/hyperlink" Target="https://www.sec.gov/Archives/edgar/data/1750284/000155837022018762/olma-20221215xex3d1.htm" TargetMode="External"/><Relationship Id="rId4" Type="http://schemas.openxmlformats.org/officeDocument/2006/relationships/hyperlink" Target="https://www.sec.gov/Archives/edgar/data/1750284/000155837023015422/olma-20230905xex10d1.htm" TargetMode="External"/><Relationship Id="rId5" Type="http://schemas.openxmlformats.org/officeDocument/2006/relationships/hyperlink" Target="https://www.sec.gov/Archives/edgar/data/1750284/000155837023015422/olma-20230905xex10d2.htm" TargetMode="External"/><Relationship Id="rId6" Type="http://schemas.openxmlformats.org/officeDocument/2006/relationships/hyperlink" Target="https://www.sec.gov/Archives/edgar/data/1750284/000155837023016301/olma-20231009xex10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63699</Words>
  <Characters>360213</Characters>
  <CharactersWithSpaces>423707</CharactersWithSpaces>
  <Paragraphs>4927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