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w:t>
      </w:r>
    </w:p>
    <w:p>
      <w:pPr>
        <w:jc w:val="center"/>
        <w:spacing w:after="0" w:line="234" w:lineRule="auto"/>
        <w:rPr>
          <w:sz w:val="20"/>
          <w:szCs w:val="20"/>
          <w:color w:val="auto"/>
        </w:rPr>
      </w:pPr>
      <w:r>
        <w:rPr>
          <w:rFonts w:ascii="Arial" w:cs="Arial" w:eastAsia="Arial" w:hAnsi="Arial"/>
          <w:sz w:val="18"/>
          <w:szCs w:val="18"/>
          <w:b w:val="1"/>
          <w:bCs w:val="1"/>
          <w:color w:val="auto"/>
        </w:rPr>
        <w:t>UNITED STATES</w:t>
      </w:r>
    </w:p>
    <w:p>
      <w:pPr>
        <w:jc w:val="center"/>
        <w:spacing w:after="0" w:line="235"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57785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69215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5" w:lineRule="exact"/>
        <w:rPr>
          <w:sz w:val="24"/>
          <w:szCs w:val="24"/>
          <w:color w:val="auto"/>
        </w:rPr>
      </w:pPr>
    </w:p>
    <w:p>
      <w:pPr>
        <w:ind w:left="3720" w:right="2020" w:hanging="3699"/>
        <w:spacing w:after="0" w:line="406" w:lineRule="auto"/>
        <w:tabs>
          <w:tab w:leader="none" w:pos="33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3580" w:right="1680" w:hanging="3559"/>
        <w:spacing w:after="0" w:line="352" w:lineRule="auto"/>
        <w:tabs>
          <w:tab w:leader="none" w:pos="35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w:t>
      </w:r>
    </w:p>
    <w:p>
      <w:pPr>
        <w:ind w:left="40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001-39712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69215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57785</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560" w:type="dxa"/>
            <w:vAlign w:val="bottom"/>
          </w:tcPr>
          <w:p>
            <w:pPr>
              <w:jc w:val="center"/>
              <w:ind w:left="1108"/>
              <w:spacing w:after="0"/>
              <w:rPr>
                <w:sz w:val="20"/>
                <w:szCs w:val="20"/>
                <w:color w:val="auto"/>
              </w:rPr>
            </w:pPr>
            <w:r>
              <w:rPr>
                <w:rFonts w:ascii="Arial" w:cs="Arial" w:eastAsia="Arial" w:hAnsi="Arial"/>
                <w:sz w:val="14"/>
                <w:szCs w:val="14"/>
                <w:b w:val="1"/>
                <w:bCs w:val="1"/>
                <w:color w:val="auto"/>
              </w:rPr>
              <w:t>Delaware</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0" w:type="dxa"/>
            <w:vAlign w:val="bottom"/>
          </w:tcPr>
          <w:p>
            <w:pPr>
              <w:jc w:val="right"/>
              <w:ind w:right="1908"/>
              <w:spacing w:after="0"/>
              <w:rPr>
                <w:sz w:val="20"/>
                <w:szCs w:val="20"/>
                <w:color w:val="auto"/>
              </w:rPr>
            </w:pPr>
            <w:r>
              <w:rPr>
                <w:rFonts w:ascii="Arial" w:cs="Arial" w:eastAsia="Arial" w:hAnsi="Arial"/>
                <w:sz w:val="14"/>
                <w:szCs w:val="14"/>
                <w:b w:val="1"/>
                <w:bCs w:val="1"/>
                <w:color w:val="auto"/>
              </w:rPr>
              <w:t>30-0409740</w:t>
            </w:r>
          </w:p>
        </w:tc>
      </w:tr>
      <w:tr>
        <w:trPr>
          <w:trHeight w:val="196"/>
        </w:trPr>
        <w:tc>
          <w:tcPr>
            <w:tcW w:w="7640" w:type="dxa"/>
            <w:vAlign w:val="bottom"/>
            <w:gridSpan w:val="6"/>
          </w:tcPr>
          <w:p>
            <w:pPr>
              <w:jc w:val="center"/>
              <w:ind w:right="290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600" w:type="dxa"/>
            <w:vAlign w:val="bottom"/>
          </w:tcPr>
          <w:p>
            <w:pPr>
              <w:jc w:val="center"/>
              <w:ind w:right="1048"/>
              <w:spacing w:after="0"/>
              <w:rPr>
                <w:sz w:val="20"/>
                <w:szCs w:val="20"/>
                <w:color w:val="auto"/>
              </w:rPr>
            </w:pPr>
            <w:r>
              <w:rPr>
                <w:rFonts w:ascii="Arial" w:cs="Arial" w:eastAsia="Arial" w:hAnsi="Arial"/>
                <w:sz w:val="14"/>
                <w:szCs w:val="14"/>
                <w:b w:val="1"/>
                <w:bCs w:val="1"/>
                <w:color w:val="auto"/>
              </w:rPr>
              <w:t>(I.R.S. Employer Identification No.)</w:t>
            </w:r>
          </w:p>
        </w:tc>
      </w:tr>
      <w:tr>
        <w:trPr>
          <w:trHeight w:val="236"/>
        </w:trPr>
        <w:tc>
          <w:tcPr>
            <w:tcW w:w="3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780 Brannan Street</w:t>
            </w:r>
          </w:p>
        </w:tc>
        <w:tc>
          <w:tcPr>
            <w:tcW w:w="3600" w:type="dxa"/>
            <w:vAlign w:val="bottom"/>
          </w:tcPr>
          <w:p>
            <w:pPr>
              <w:spacing w:after="0"/>
              <w:rPr>
                <w:sz w:val="20"/>
                <w:szCs w:val="20"/>
                <w:color w:val="auto"/>
              </w:rPr>
            </w:pPr>
          </w:p>
        </w:tc>
      </w:tr>
      <w:tr>
        <w:trPr>
          <w:trHeight w:val="153"/>
        </w:trPr>
        <w:tc>
          <w:tcPr>
            <w:tcW w:w="3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60" w:type="dxa"/>
            <w:vAlign w:val="bottom"/>
            <w:gridSpan w:val="3"/>
          </w:tcPr>
          <w:p>
            <w:pPr>
              <w:jc w:val="center"/>
              <w:ind w:right="680"/>
              <w:spacing w:after="0" w:line="153" w:lineRule="exact"/>
              <w:rPr>
                <w:sz w:val="20"/>
                <w:szCs w:val="20"/>
                <w:color w:val="auto"/>
              </w:rPr>
            </w:pPr>
            <w:r>
              <w:rPr>
                <w:rFonts w:ascii="Arial" w:cs="Arial" w:eastAsia="Arial" w:hAnsi="Arial"/>
                <w:sz w:val="14"/>
                <w:szCs w:val="14"/>
                <w:b w:val="1"/>
                <w:bCs w:val="1"/>
                <w:color w:val="auto"/>
              </w:rPr>
              <w:t>San Francisco, California 94103</w:t>
            </w:r>
          </w:p>
        </w:tc>
        <w:tc>
          <w:tcPr>
            <w:tcW w:w="3600" w:type="dxa"/>
            <w:vAlign w:val="bottom"/>
          </w:tcPr>
          <w:p>
            <w:pPr>
              <w:spacing w:after="0"/>
              <w:rPr>
                <w:sz w:val="13"/>
                <w:szCs w:val="13"/>
                <w:color w:val="auto"/>
              </w:rPr>
            </w:pPr>
          </w:p>
        </w:tc>
      </w:tr>
      <w:tr>
        <w:trPr>
          <w:trHeight w:val="135"/>
        </w:trPr>
        <w:tc>
          <w:tcPr>
            <w:tcW w:w="3560" w:type="dxa"/>
            <w:vAlign w:val="bottom"/>
          </w:tcPr>
          <w:p>
            <w:pPr>
              <w:spacing w:after="0"/>
              <w:rPr>
                <w:sz w:val="11"/>
                <w:szCs w:val="11"/>
                <w:color w:val="auto"/>
              </w:rPr>
            </w:pPr>
          </w:p>
        </w:tc>
        <w:tc>
          <w:tcPr>
            <w:tcW w:w="408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97"/>
              </w:rPr>
              <w:t>(Address of principal executive offices and zip code)</w:t>
            </w:r>
          </w:p>
        </w:tc>
        <w:tc>
          <w:tcPr>
            <w:tcW w:w="3600" w:type="dxa"/>
            <w:vAlign w:val="bottom"/>
          </w:tcPr>
          <w:p>
            <w:pPr>
              <w:spacing w:after="0"/>
              <w:rPr>
                <w:sz w:val="11"/>
                <w:szCs w:val="11"/>
                <w:color w:val="auto"/>
              </w:rPr>
            </w:pPr>
          </w:p>
        </w:tc>
      </w:tr>
      <w:tr>
        <w:trPr>
          <w:trHeight w:val="172"/>
        </w:trPr>
        <w:tc>
          <w:tcPr>
            <w:tcW w:w="3560" w:type="dxa"/>
            <w:vAlign w:val="bottom"/>
          </w:tcPr>
          <w:p>
            <w:pPr>
              <w:spacing w:after="0"/>
              <w:rPr>
                <w:sz w:val="14"/>
                <w:szCs w:val="14"/>
                <w:color w:val="auto"/>
              </w:rPr>
            </w:pPr>
          </w:p>
        </w:tc>
        <w:tc>
          <w:tcPr>
            <w:tcW w:w="40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Registrant’s telephone number, including area code: (415) 651-3316</w:t>
            </w:r>
          </w:p>
        </w:tc>
        <w:tc>
          <w:tcPr>
            <w:tcW w:w="3600" w:type="dxa"/>
            <w:vAlign w:val="bottom"/>
          </w:tcPr>
          <w:p>
            <w:pPr>
              <w:spacing w:after="0"/>
              <w:rPr>
                <w:sz w:val="14"/>
                <w:szCs w:val="14"/>
                <w:color w:val="auto"/>
              </w:rPr>
            </w:pPr>
          </w:p>
        </w:tc>
      </w:tr>
      <w:tr>
        <w:trPr>
          <w:trHeight w:val="230"/>
        </w:trPr>
        <w:tc>
          <w:tcPr>
            <w:tcW w:w="3560" w:type="dxa"/>
            <w:vAlign w:val="bottom"/>
          </w:tcPr>
          <w:p>
            <w:pPr>
              <w:spacing w:after="0"/>
              <w:rPr>
                <w:sz w:val="19"/>
                <w:szCs w:val="19"/>
                <w:color w:val="auto"/>
              </w:rPr>
            </w:pPr>
          </w:p>
        </w:tc>
        <w:tc>
          <w:tcPr>
            <w:tcW w:w="40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Securities registered pursuant to Section 12(b) of the Act:</w:t>
            </w:r>
          </w:p>
        </w:tc>
        <w:tc>
          <w:tcPr>
            <w:tcW w:w="3600" w:type="dxa"/>
            <w:vAlign w:val="bottom"/>
          </w:tcPr>
          <w:p>
            <w:pPr>
              <w:spacing w:after="0"/>
              <w:rPr>
                <w:sz w:val="19"/>
                <w:szCs w:val="19"/>
                <w:color w:val="auto"/>
              </w:rPr>
            </w:pPr>
          </w:p>
        </w:tc>
      </w:tr>
      <w:tr>
        <w:trPr>
          <w:trHeight w:val="265"/>
        </w:trPr>
        <w:tc>
          <w:tcPr>
            <w:tcW w:w="35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rPr>
              <w:t>Title of Each Class of Securities Registered</w:t>
            </w:r>
          </w:p>
        </w:tc>
        <w:tc>
          <w:tcPr>
            <w:tcW w:w="5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2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8"/>
        </w:trPr>
        <w:tc>
          <w:tcPr>
            <w:tcW w:w="3560" w:type="dxa"/>
            <w:vAlign w:val="bottom"/>
          </w:tcPr>
          <w:p>
            <w:pPr>
              <w:jc w:val="center"/>
              <w:ind w:left="428"/>
              <w:spacing w:after="0"/>
              <w:rPr>
                <w:sz w:val="20"/>
                <w:szCs w:val="20"/>
                <w:color w:val="auto"/>
              </w:rPr>
            </w:pPr>
            <w:r>
              <w:rPr>
                <w:rFonts w:ascii="Arial" w:cs="Arial" w:eastAsia="Arial" w:hAnsi="Arial"/>
                <w:sz w:val="14"/>
                <w:szCs w:val="14"/>
                <w:color w:val="auto"/>
              </w:rPr>
              <w:t>Common Stock, par value $0.0001 per share</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60" w:type="dxa"/>
            <w:vAlign w:val="bottom"/>
            <w:gridSpan w:val="3"/>
          </w:tcPr>
          <w:p>
            <w:pPr>
              <w:jc w:val="center"/>
              <w:ind w:right="640"/>
              <w:spacing w:after="0"/>
              <w:rPr>
                <w:sz w:val="20"/>
                <w:szCs w:val="20"/>
                <w:color w:val="auto"/>
              </w:rPr>
            </w:pPr>
            <w:r>
              <w:rPr>
                <w:rFonts w:ascii="Arial" w:cs="Arial" w:eastAsia="Arial" w:hAnsi="Arial"/>
                <w:sz w:val="14"/>
                <w:szCs w:val="14"/>
                <w:color w:val="auto"/>
              </w:rPr>
              <w:t>OLMA</w:t>
            </w:r>
          </w:p>
        </w:tc>
        <w:tc>
          <w:tcPr>
            <w:tcW w:w="3600" w:type="dxa"/>
            <w:vAlign w:val="bottom"/>
          </w:tcPr>
          <w:p>
            <w:pPr>
              <w:jc w:val="center"/>
              <w:ind w:right="368"/>
              <w:spacing w:after="0"/>
              <w:rPr>
                <w:sz w:val="20"/>
                <w:szCs w:val="20"/>
                <w:color w:val="auto"/>
              </w:rPr>
            </w:pPr>
            <w:r>
              <w:rPr>
                <w:rFonts w:ascii="Arial" w:cs="Arial" w:eastAsia="Arial" w:hAnsi="Arial"/>
                <w:sz w:val="14"/>
                <w:szCs w:val="14"/>
                <w:color w:val="auto"/>
              </w:rPr>
              <w:t>The Nasdaq Global Select Market</w:t>
            </w:r>
          </w:p>
        </w:tc>
      </w:tr>
    </w:tbl>
    <w:p>
      <w:pPr>
        <w:spacing w:after="0" w:line="71"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65"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9"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4" w:lineRule="exact"/>
        <w:rPr>
          <w:sz w:val="24"/>
          <w:szCs w:val="24"/>
          <w:color w:val="auto"/>
        </w:rPr>
      </w:pPr>
    </w:p>
    <w:p>
      <w:pPr>
        <w:jc w:val="both"/>
        <w:ind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Arial Unicode MS" w:cs="Arial Unicode MS" w:eastAsia="Arial Unicode MS" w:hAnsi="Arial Unicode MS"/>
          <w:sz w:val="13"/>
          <w:szCs w:val="13"/>
          <w:color w:val="auto"/>
        </w:rPr>
        <w:t>‑</w:t>
      </w:r>
      <w:r>
        <w:rPr>
          <w:rFonts w:ascii="Arial" w:cs="Arial" w:eastAsia="Arial" w:hAnsi="Arial"/>
          <w:sz w:val="13"/>
          <w:szCs w:val="13"/>
          <w:color w:val="auto"/>
        </w:rPr>
        <w:t>2 of the Exchange Act.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5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00" w:type="dxa"/>
            <w:vAlign w:val="bottom"/>
          </w:tcPr>
          <w:p>
            <w:pPr>
              <w:ind w:left="3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60" w:type="dxa"/>
            <w:vAlign w:val="bottom"/>
          </w:tcPr>
          <w:p>
            <w:pPr>
              <w:ind w:left="2740"/>
              <w:spacing w:after="0"/>
              <w:rPr>
                <w:sz w:val="20"/>
                <w:szCs w:val="20"/>
                <w:color w:val="auto"/>
              </w:rPr>
            </w:pPr>
            <w:r>
              <w:rPr>
                <w:rFonts w:ascii="Arial" w:cs="Arial" w:eastAsia="Arial" w:hAnsi="Arial"/>
                <w:sz w:val="13"/>
                <w:szCs w:val="13"/>
                <w:color w:val="auto"/>
              </w:rPr>
              <w:t>Accelerated filer</w:t>
            </w:r>
          </w:p>
        </w:tc>
        <w:tc>
          <w:tcPr>
            <w:tcW w:w="1120" w:type="dxa"/>
            <w:vAlign w:val="bottom"/>
          </w:tcPr>
          <w:p>
            <w:pPr>
              <w:ind w:left="100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03"/>
        </w:trPr>
        <w:tc>
          <w:tcPr>
            <w:tcW w:w="1580" w:type="dxa"/>
            <w:vAlign w:val="bottom"/>
          </w:tcPr>
          <w:p>
            <w:pPr>
              <w:spacing w:after="0"/>
              <w:rPr>
                <w:sz w:val="20"/>
                <w:szCs w:val="20"/>
                <w:color w:val="auto"/>
              </w:rPr>
            </w:pPr>
            <w:r>
              <w:rPr>
                <w:rFonts w:ascii="Arial" w:cs="Arial" w:eastAsia="Arial" w:hAnsi="Arial"/>
                <w:sz w:val="13"/>
                <w:szCs w:val="13"/>
                <w:color w:val="auto"/>
              </w:rPr>
              <w:t>Non-accelerated filer</w:t>
            </w:r>
          </w:p>
        </w:tc>
        <w:tc>
          <w:tcPr>
            <w:tcW w:w="3200" w:type="dxa"/>
            <w:vAlign w:val="bottom"/>
          </w:tcPr>
          <w:p>
            <w:pPr>
              <w:ind w:left="3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60" w:type="dxa"/>
            <w:vAlign w:val="bottom"/>
          </w:tcPr>
          <w:p>
            <w:pPr>
              <w:ind w:left="2740"/>
              <w:spacing w:after="0"/>
              <w:rPr>
                <w:sz w:val="20"/>
                <w:szCs w:val="20"/>
                <w:color w:val="auto"/>
              </w:rPr>
            </w:pPr>
            <w:r>
              <w:rPr>
                <w:rFonts w:ascii="Arial" w:cs="Arial" w:eastAsia="Arial" w:hAnsi="Arial"/>
                <w:sz w:val="13"/>
                <w:szCs w:val="13"/>
                <w:color w:val="auto"/>
              </w:rPr>
              <w:t>Smaller reporting company</w:t>
            </w:r>
          </w:p>
        </w:tc>
        <w:tc>
          <w:tcPr>
            <w:tcW w:w="1120" w:type="dxa"/>
            <w:vAlign w:val="bottom"/>
          </w:tcPr>
          <w:p>
            <w:pPr>
              <w:ind w:left="100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13"/>
        </w:trPr>
        <w:tc>
          <w:tcPr>
            <w:tcW w:w="1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260" w:type="dxa"/>
            <w:vAlign w:val="bottom"/>
          </w:tcPr>
          <w:p>
            <w:pPr>
              <w:ind w:left="2740"/>
              <w:spacing w:after="0"/>
              <w:rPr>
                <w:sz w:val="20"/>
                <w:szCs w:val="20"/>
                <w:color w:val="auto"/>
              </w:rPr>
            </w:pPr>
            <w:r>
              <w:rPr>
                <w:rFonts w:ascii="Arial" w:cs="Arial" w:eastAsia="Arial" w:hAnsi="Arial"/>
                <w:sz w:val="13"/>
                <w:szCs w:val="13"/>
                <w:color w:val="auto"/>
              </w:rPr>
              <w:t>Emerging growth company</w:t>
            </w:r>
          </w:p>
        </w:tc>
        <w:tc>
          <w:tcPr>
            <w:tcW w:w="1120" w:type="dxa"/>
            <w:vAlign w:val="bottom"/>
          </w:tcPr>
          <w:p>
            <w:pPr>
              <w:ind w:left="100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59"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ind w:right="2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31"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8"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Indicate by check mark whether the registrant is a shell company (as defined in Rule 12b</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2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4" w:lineRule="exact"/>
        <w:rPr>
          <w:sz w:val="24"/>
          <w:szCs w:val="24"/>
          <w:color w:val="auto"/>
        </w:rPr>
      </w:pPr>
    </w:p>
    <w:p>
      <w:pPr>
        <w:spacing w:after="0" w:line="243" w:lineRule="auto"/>
        <w:rPr>
          <w:sz w:val="20"/>
          <w:szCs w:val="20"/>
          <w:color w:val="auto"/>
        </w:rPr>
      </w:pPr>
      <w:r>
        <w:rPr>
          <w:rFonts w:ascii="Arial" w:cs="Arial" w:eastAsia="Arial" w:hAnsi="Arial"/>
          <w:sz w:val="13"/>
          <w:szCs w:val="13"/>
          <w:color w:val="auto"/>
        </w:rPr>
        <w:t>The aggregate market value of common stock held by non-affiliates of the Registrant, based on the closing sales price for such stock on June 30, 2023 as reported by The Nasdaq Global Select Market, was approximately $245.2 million.</w:t>
      </w:r>
    </w:p>
    <w:p>
      <w:pPr>
        <w:spacing w:after="0" w:line="62" w:lineRule="exact"/>
        <w:rPr>
          <w:sz w:val="24"/>
          <w:szCs w:val="24"/>
          <w:color w:val="auto"/>
        </w:rPr>
      </w:pPr>
    </w:p>
    <w:p>
      <w:pPr>
        <w:spacing w:after="0"/>
        <w:rPr>
          <w:sz w:val="20"/>
          <w:szCs w:val="20"/>
          <w:color w:val="auto"/>
        </w:rPr>
      </w:pPr>
      <w:r>
        <w:rPr>
          <w:rFonts w:ascii="Arial" w:cs="Arial" w:eastAsia="Arial" w:hAnsi="Arial"/>
          <w:sz w:val="13"/>
          <w:szCs w:val="13"/>
          <w:color w:val="auto"/>
        </w:rPr>
        <w:t>As of March 7, 2024, the number of outstanding shares of the Registrant’s common stock was 55,914,741.</w:t>
      </w:r>
    </w:p>
    <w:p>
      <w:pPr>
        <w:spacing w:after="0" w:line="67"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80"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Portions of the registrant’s definitive Proxy Statement for the 2024 Annual Meeting of Stockholders to be filed with the U.S. Securities and Exchange Commission pursuant to Regulation 14A not later than 120 days after the end of the fiscal year covered by this Annual Report on Form 10</w:t>
      </w:r>
      <w:r>
        <w:rPr>
          <w:rFonts w:ascii="Arial Unicode MS" w:cs="Arial Unicode MS" w:eastAsia="Arial Unicode MS" w:hAnsi="Arial Unicode MS"/>
          <w:sz w:val="13"/>
          <w:szCs w:val="13"/>
          <w:color w:val="auto"/>
        </w:rPr>
        <w:t>‑</w:t>
      </w:r>
      <w:r>
        <w:rPr>
          <w:rFonts w:ascii="Arial" w:cs="Arial" w:eastAsia="Arial" w:hAnsi="Arial"/>
          <w:sz w:val="13"/>
          <w:szCs w:val="13"/>
          <w:color w:val="auto"/>
        </w:rPr>
        <w:t>K are incorporated by reference in Part III, Items 10</w:t>
      </w:r>
      <w:r>
        <w:rPr>
          <w:rFonts w:ascii="Arial Unicode MS" w:cs="Arial Unicode MS" w:eastAsia="Arial Unicode MS" w:hAnsi="Arial Unicode MS"/>
          <w:sz w:val="13"/>
          <w:szCs w:val="13"/>
          <w:color w:val="auto"/>
        </w:rPr>
        <w:t>‑</w:t>
      </w:r>
      <w:r>
        <w:rPr>
          <w:rFonts w:ascii="Arial" w:cs="Arial" w:eastAsia="Arial" w:hAnsi="Arial"/>
          <w:sz w:val="13"/>
          <w:szCs w:val="13"/>
          <w:color w:val="auto"/>
        </w:rPr>
        <w:t>14 of this Annual Report on Form 10</w:t>
      </w:r>
      <w:r>
        <w:rPr>
          <w:rFonts w:ascii="Arial Unicode MS" w:cs="Arial Unicode MS" w:eastAsia="Arial Unicode MS" w:hAnsi="Arial Unicode MS"/>
          <w:sz w:val="13"/>
          <w:szCs w:val="13"/>
          <w:color w:val="auto"/>
        </w:rPr>
        <w:t>‑</w:t>
      </w:r>
      <w:r>
        <w:rPr>
          <w:rFonts w:ascii="Arial" w:cs="Arial" w:eastAsia="Arial" w:hAnsi="Arial"/>
          <w:sz w:val="13"/>
          <w:szCs w:val="13"/>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97"/>
        </w:trPr>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60" w:type="dxa"/>
            <w:vAlign w:val="bottom"/>
            <w:gridSpan w:val="13"/>
          </w:tcPr>
          <w:p>
            <w:pPr>
              <w:jc w:val="center"/>
              <w:ind w:right="2660"/>
              <w:spacing w:after="0"/>
              <w:rPr>
                <w:sz w:val="20"/>
                <w:szCs w:val="20"/>
                <w:color w:val="auto"/>
              </w:rPr>
            </w:pPr>
            <w:r>
              <w:rPr>
                <w:rFonts w:ascii="Arial" w:cs="Arial" w:eastAsia="Arial" w:hAnsi="Arial"/>
                <w:sz w:val="22"/>
                <w:szCs w:val="22"/>
                <w:b w:val="1"/>
                <w:bCs w:val="1"/>
                <w:color w:val="auto"/>
                <w:w w:val="98"/>
              </w:rPr>
              <w:t>OLEMA PHARMACEUTICALS,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60" w:type="dxa"/>
            <w:vAlign w:val="bottom"/>
            <w:gridSpan w:val="13"/>
          </w:tcPr>
          <w:p>
            <w:pPr>
              <w:jc w:val="center"/>
              <w:ind w:right="2680"/>
              <w:spacing w:after="0" w:line="253" w:lineRule="exact"/>
              <w:rPr>
                <w:sz w:val="20"/>
                <w:szCs w:val="20"/>
                <w:color w:val="auto"/>
              </w:rPr>
            </w:pPr>
            <w:r>
              <w:rPr>
                <w:rFonts w:ascii="Arial" w:cs="Arial" w:eastAsia="Arial" w:hAnsi="Arial"/>
                <w:sz w:val="22"/>
                <w:szCs w:val="22"/>
                <w:b w:val="1"/>
                <w:bCs w:val="1"/>
                <w:color w:val="auto"/>
                <w:w w:val="98"/>
              </w:rPr>
              <w:t>2023 ANNUAL REPORT ON FORM 10</w:t>
            </w:r>
            <w:r>
              <w:rPr>
                <w:rFonts w:ascii="MS PGothic" w:cs="MS PGothic" w:eastAsia="MS PGothic" w:hAnsi="MS PGothic"/>
                <w:sz w:val="22"/>
                <w:szCs w:val="22"/>
                <w:color w:val="auto"/>
                <w:strike w:val="1"/>
                <w:w w:val="98"/>
              </w:rPr>
              <w:t>‑</w:t>
            </w:r>
            <w:r>
              <w:rPr>
                <w:rFonts w:ascii="Arial" w:cs="Arial" w:eastAsia="Arial" w:hAnsi="Arial"/>
                <w:sz w:val="22"/>
                <w:szCs w:val="22"/>
                <w:b w:val="1"/>
                <w:bCs w:val="1"/>
                <w:color w:val="auto"/>
                <w:w w:val="98"/>
              </w:rPr>
              <w:t>K</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60" w:type="dxa"/>
            <w:vAlign w:val="bottom"/>
            <w:gridSpan w:val="13"/>
          </w:tcPr>
          <w:p>
            <w:pPr>
              <w:jc w:val="center"/>
              <w:ind w:right="2680"/>
              <w:spacing w:after="0"/>
              <w:rPr>
                <w:sz w:val="20"/>
                <w:szCs w:val="20"/>
                <w:color w:val="auto"/>
              </w:rPr>
            </w:pPr>
            <w:r>
              <w:rPr>
                <w:rFonts w:ascii="Arial" w:cs="Arial" w:eastAsia="Arial" w:hAnsi="Arial"/>
                <w:sz w:val="22"/>
                <w:szCs w:val="22"/>
                <w:b w:val="1"/>
                <w:bCs w:val="1"/>
                <w:color w:val="auto"/>
                <w:w w:val="97"/>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260" w:type="dxa"/>
            <w:vAlign w:val="bottom"/>
            <w:gridSpan w:val="9"/>
            <w:vMerge w:val="restart"/>
          </w:tcPr>
          <w:p>
            <w:pPr>
              <w:spacing w:after="0"/>
              <w:rPr>
                <w:sz w:val="20"/>
                <w:szCs w:val="20"/>
                <w:color w:val="auto"/>
              </w:rPr>
            </w:pPr>
            <w:r>
              <w:rPr>
                <w:rFonts w:ascii="Arial" w:cs="Arial" w:eastAsia="Arial" w:hAnsi="Arial"/>
                <w:sz w:val="18"/>
                <w:szCs w:val="18"/>
                <w:color w:val="0000FF"/>
              </w:rPr>
              <w:t>PART I</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260" w:type="dxa"/>
            <w:vAlign w:val="bottom"/>
            <w:gridSpan w:val="9"/>
            <w:vMerge w:val="continue"/>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1.</w:t>
            </w:r>
          </w:p>
        </w:tc>
        <w:tc>
          <w:tcPr>
            <w:tcW w:w="9060" w:type="dxa"/>
            <w:vAlign w:val="bottom"/>
            <w:gridSpan w:val="23"/>
          </w:tcPr>
          <w:p>
            <w:pPr>
              <w:spacing w:after="0"/>
              <w:rPr>
                <w:sz w:val="20"/>
                <w:szCs w:val="20"/>
                <w:color w:val="auto"/>
              </w:rPr>
            </w:pPr>
            <w:r>
              <w:rPr>
                <w:rFonts w:ascii="Arial" w:cs="Arial" w:eastAsia="Arial" w:hAnsi="Arial"/>
                <w:sz w:val="18"/>
                <w:szCs w:val="18"/>
                <w:color w:val="0000FF"/>
              </w:rPr>
              <w:t>Business.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1A.</w:t>
            </w:r>
          </w:p>
        </w:tc>
        <w:tc>
          <w:tcPr>
            <w:tcW w:w="906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1B.</w:t>
            </w:r>
          </w:p>
        </w:tc>
        <w:tc>
          <w:tcPr>
            <w:tcW w:w="9060" w:type="dxa"/>
            <w:vAlign w:val="bottom"/>
            <w:gridSpan w:val="23"/>
          </w:tcPr>
          <w:p>
            <w:pPr>
              <w:spacing w:after="0"/>
              <w:rPr>
                <w:sz w:val="20"/>
                <w:szCs w:val="20"/>
                <w:color w:val="auto"/>
              </w:rPr>
            </w:pPr>
            <w:r>
              <w:rPr>
                <w:rFonts w:ascii="Arial" w:cs="Arial" w:eastAsia="Arial" w:hAnsi="Arial"/>
                <w:sz w:val="18"/>
                <w:szCs w:val="18"/>
                <w:color w:val="0000FF"/>
              </w:rPr>
              <w:t>Unresolved Staff Comments.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1C.</w:t>
            </w:r>
          </w:p>
        </w:tc>
        <w:tc>
          <w:tcPr>
            <w:tcW w:w="9060" w:type="dxa"/>
            <w:vAlign w:val="bottom"/>
            <w:gridSpan w:val="23"/>
          </w:tcPr>
          <w:p>
            <w:pPr>
              <w:spacing w:after="0"/>
              <w:rPr>
                <w:sz w:val="20"/>
                <w:szCs w:val="20"/>
                <w:color w:val="auto"/>
              </w:rPr>
            </w:pPr>
            <w:r>
              <w:rPr>
                <w:rFonts w:ascii="Arial" w:cs="Arial" w:eastAsia="Arial" w:hAnsi="Arial"/>
                <w:sz w:val="18"/>
                <w:szCs w:val="18"/>
                <w:color w:val="0000FF"/>
              </w:rPr>
              <w:t>Cybersecurity</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2.</w:t>
            </w:r>
          </w:p>
        </w:tc>
        <w:tc>
          <w:tcPr>
            <w:tcW w:w="9060" w:type="dxa"/>
            <w:vAlign w:val="bottom"/>
            <w:gridSpan w:val="23"/>
          </w:tcPr>
          <w:p>
            <w:pPr>
              <w:spacing w:after="0"/>
              <w:rPr>
                <w:sz w:val="20"/>
                <w:szCs w:val="20"/>
                <w:color w:val="auto"/>
              </w:rPr>
            </w:pPr>
            <w:r>
              <w:rPr>
                <w:rFonts w:ascii="Arial" w:cs="Arial" w:eastAsia="Arial" w:hAnsi="Arial"/>
                <w:sz w:val="18"/>
                <w:szCs w:val="18"/>
                <w:color w:val="0000FF"/>
              </w:rPr>
              <w:t>Properties.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3.</w:t>
            </w:r>
          </w:p>
        </w:tc>
        <w:tc>
          <w:tcPr>
            <w:tcW w:w="906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4.</w:t>
            </w:r>
          </w:p>
        </w:tc>
        <w:tc>
          <w:tcPr>
            <w:tcW w:w="906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PART II</w:t>
            </w:r>
          </w:p>
        </w:tc>
        <w:tc>
          <w:tcPr>
            <w:tcW w:w="60" w:type="dxa"/>
            <w:vAlign w:val="bottom"/>
            <w:tcBorders>
              <w:bottom w:val="single" w:sz="8" w:color="0000EE"/>
            </w:tcBorders>
          </w:tcPr>
          <w:p>
            <w:pPr>
              <w:spacing w:after="0"/>
              <w:rPr>
                <w:sz w:val="18"/>
                <w:szCs w:val="18"/>
                <w:color w:val="auto"/>
              </w:rPr>
            </w:pPr>
          </w:p>
        </w:tc>
        <w:tc>
          <w:tcPr>
            <w:tcW w:w="58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5.</w:t>
            </w:r>
          </w:p>
        </w:tc>
        <w:tc>
          <w:tcPr>
            <w:tcW w:w="9060" w:type="dxa"/>
            <w:vAlign w:val="bottom"/>
            <w:gridSpan w:val="23"/>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6.</w:t>
            </w:r>
          </w:p>
        </w:tc>
        <w:tc>
          <w:tcPr>
            <w:tcW w:w="9060" w:type="dxa"/>
            <w:vAlign w:val="bottom"/>
            <w:gridSpan w:val="23"/>
          </w:tcPr>
          <w:p>
            <w:pPr>
              <w:spacing w:after="0"/>
              <w:rPr>
                <w:sz w:val="20"/>
                <w:szCs w:val="20"/>
                <w:color w:val="auto"/>
              </w:rPr>
            </w:pPr>
            <w:r>
              <w:rPr>
                <w:rFonts w:ascii="Arial" w:cs="Arial" w:eastAsia="Arial" w:hAnsi="Arial"/>
                <w:sz w:val="18"/>
                <w:szCs w:val="18"/>
                <w:color w:val="0000FF"/>
              </w:rPr>
              <w:t>Reserved.</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110</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7.</w:t>
            </w:r>
          </w:p>
        </w:tc>
        <w:tc>
          <w:tcPr>
            <w:tcW w:w="906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111</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7A.</w:t>
            </w:r>
          </w:p>
        </w:tc>
        <w:tc>
          <w:tcPr>
            <w:tcW w:w="906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8.</w:t>
            </w:r>
          </w:p>
        </w:tc>
        <w:tc>
          <w:tcPr>
            <w:tcW w:w="9060" w:type="dxa"/>
            <w:vAlign w:val="bottom"/>
            <w:gridSpan w:val="23"/>
          </w:tcPr>
          <w:p>
            <w:pPr>
              <w:spacing w:after="0"/>
              <w:rPr>
                <w:sz w:val="20"/>
                <w:szCs w:val="20"/>
                <w:color w:val="auto"/>
              </w:rPr>
            </w:pPr>
            <w:r>
              <w:rPr>
                <w:rFonts w:ascii="Arial" w:cs="Arial" w:eastAsia="Arial" w:hAnsi="Arial"/>
                <w:sz w:val="18"/>
                <w:szCs w:val="18"/>
                <w:color w:val="0000FF"/>
              </w:rPr>
              <w:t>Consolidated Financial Statements and Supplementary Data.</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9.</w:t>
            </w:r>
          </w:p>
        </w:tc>
        <w:tc>
          <w:tcPr>
            <w:tcW w:w="906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9A.</w:t>
            </w:r>
          </w:p>
        </w:tc>
        <w:tc>
          <w:tcPr>
            <w:tcW w:w="906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9B.</w:t>
            </w:r>
          </w:p>
        </w:tc>
        <w:tc>
          <w:tcPr>
            <w:tcW w:w="906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9C</w:t>
            </w:r>
          </w:p>
        </w:tc>
        <w:tc>
          <w:tcPr>
            <w:tcW w:w="906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9"/>
          </w:tcPr>
          <w:p>
            <w:pPr>
              <w:spacing w:after="0"/>
              <w:rPr>
                <w:sz w:val="20"/>
                <w:szCs w:val="20"/>
                <w:color w:val="auto"/>
              </w:rPr>
            </w:pPr>
            <w:r>
              <w:rPr>
                <w:rFonts w:ascii="Arial" w:cs="Arial" w:eastAsia="Arial" w:hAnsi="Arial"/>
                <w:sz w:val="18"/>
                <w:szCs w:val="18"/>
                <w:color w:val="0000FF"/>
              </w:rPr>
              <w:t>PART III</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10.</w:t>
            </w:r>
          </w:p>
        </w:tc>
        <w:tc>
          <w:tcPr>
            <w:tcW w:w="9060" w:type="dxa"/>
            <w:vAlign w:val="bottom"/>
            <w:gridSpan w:val="2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11.</w:t>
            </w:r>
          </w:p>
        </w:tc>
        <w:tc>
          <w:tcPr>
            <w:tcW w:w="9060" w:type="dxa"/>
            <w:vAlign w:val="bottom"/>
            <w:gridSpan w:val="23"/>
          </w:tcPr>
          <w:p>
            <w:pPr>
              <w:spacing w:after="0"/>
              <w:rPr>
                <w:sz w:val="20"/>
                <w:szCs w:val="20"/>
                <w:color w:val="auto"/>
              </w:rPr>
            </w:pPr>
            <w:r>
              <w:rPr>
                <w:rFonts w:ascii="Arial" w:cs="Arial" w:eastAsia="Arial" w:hAnsi="Arial"/>
                <w:sz w:val="18"/>
                <w:szCs w:val="18"/>
                <w:color w:val="0000FF"/>
              </w:rPr>
              <w:t>Executive Compensation.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12.</w:t>
            </w:r>
          </w:p>
        </w:tc>
        <w:tc>
          <w:tcPr>
            <w:tcW w:w="906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13.</w:t>
            </w:r>
          </w:p>
        </w:tc>
        <w:tc>
          <w:tcPr>
            <w:tcW w:w="9060" w:type="dxa"/>
            <w:vAlign w:val="bottom"/>
            <w:gridSpan w:val="23"/>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14.</w:t>
            </w:r>
          </w:p>
        </w:tc>
        <w:tc>
          <w:tcPr>
            <w:tcW w:w="906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9"/>
          </w:tcPr>
          <w:p>
            <w:pPr>
              <w:spacing w:after="0"/>
              <w:rPr>
                <w:sz w:val="20"/>
                <w:szCs w:val="20"/>
                <w:color w:val="auto"/>
              </w:rPr>
            </w:pPr>
            <w:r>
              <w:rPr>
                <w:rFonts w:ascii="Arial" w:cs="Arial" w:eastAsia="Arial" w:hAnsi="Arial"/>
                <w:sz w:val="18"/>
                <w:szCs w:val="18"/>
                <w:color w:val="0000FF"/>
              </w:rPr>
              <w:t>PART IV</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15.</w:t>
            </w:r>
          </w:p>
        </w:tc>
        <w:tc>
          <w:tcPr>
            <w:tcW w:w="9060" w:type="dxa"/>
            <w:vAlign w:val="bottom"/>
            <w:gridSpan w:val="23"/>
          </w:tcPr>
          <w:p>
            <w:pPr>
              <w:spacing w:after="0"/>
              <w:rPr>
                <w:sz w:val="20"/>
                <w:szCs w:val="20"/>
                <w:color w:val="auto"/>
              </w:rPr>
            </w:pPr>
            <w:r>
              <w:rPr>
                <w:rFonts w:ascii="Arial" w:cs="Arial" w:eastAsia="Arial" w:hAnsi="Arial"/>
                <w:sz w:val="18"/>
                <w:szCs w:val="18"/>
                <w:color w:val="0000FF"/>
              </w:rPr>
              <w:t>Exhibit and Consolidated Financial Statement Schedules.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2840" w:type="dxa"/>
            <w:vAlign w:val="bottom"/>
            <w:gridSpan w:val="6"/>
            <w:shd w:val="clear" w:color="auto" w:fill="0000FF"/>
          </w:tcPr>
          <w:p>
            <w:pPr>
              <w:spacing w:after="0" w:line="20" w:lineRule="exact"/>
              <w:rPr>
                <w:sz w:val="1"/>
                <w:szCs w:val="1"/>
                <w:color w:val="auto"/>
              </w:rPr>
            </w:pPr>
          </w:p>
        </w:tc>
        <w:tc>
          <w:tcPr>
            <w:tcW w:w="4500" w:type="dxa"/>
            <w:vAlign w:val="bottom"/>
            <w:gridSpan w:val="10"/>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8"/>
                <w:szCs w:val="18"/>
                <w:color w:val="0000FF"/>
              </w:rPr>
              <w:t>Item 16.</w:t>
            </w:r>
          </w:p>
        </w:tc>
        <w:tc>
          <w:tcPr>
            <w:tcW w:w="4560" w:type="dxa"/>
            <w:vAlign w:val="bottom"/>
            <w:gridSpan w:val="13"/>
          </w:tcPr>
          <w:p>
            <w:pPr>
              <w:spacing w:after="0" w:line="207" w:lineRule="exact"/>
              <w:rPr>
                <w:sz w:val="20"/>
                <w:szCs w:val="20"/>
                <w:color w:val="auto"/>
              </w:rPr>
            </w:pPr>
            <w:r>
              <w:rPr>
                <w:rFonts w:ascii="Arial" w:cs="Arial" w:eastAsia="Arial" w:hAnsi="Arial"/>
                <w:sz w:val="18"/>
                <w:szCs w:val="18"/>
                <w:color w:val="0000FF"/>
              </w:rPr>
              <w:t>Form 10</w:t>
            </w:r>
            <w:r>
              <w:rPr>
                <w:rFonts w:ascii="MS PGothic" w:cs="MS PGothic" w:eastAsia="MS PGothic" w:hAnsi="MS PGothic"/>
                <w:sz w:val="18"/>
                <w:szCs w:val="18"/>
                <w:color w:val="0000FF"/>
              </w:rPr>
              <w:t>‑</w:t>
            </w:r>
            <w:r>
              <w:rPr>
                <w:rFonts w:ascii="Arial" w:cs="Arial" w:eastAsia="Arial" w:hAnsi="Arial"/>
                <w:sz w:val="18"/>
                <w:szCs w:val="18"/>
                <w:color w:val="0000FF"/>
              </w:rPr>
              <w:t>K Summary.</w:t>
            </w:r>
          </w:p>
        </w:tc>
        <w:tc>
          <w:tcPr>
            <w:tcW w:w="4500" w:type="dxa"/>
            <w:vAlign w:val="bottom"/>
            <w:gridSpan w:val="10"/>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159</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9"/>
          </w:tcPr>
          <w:p>
            <w:pPr>
              <w:spacing w:after="0"/>
              <w:rPr>
                <w:sz w:val="20"/>
                <w:szCs w:val="20"/>
                <w:color w:val="auto"/>
              </w:rPr>
            </w:pPr>
            <w:r>
              <w:rPr>
                <w:rFonts w:ascii="Arial" w:cs="Arial" w:eastAsia="Arial" w:hAnsi="Arial"/>
                <w:sz w:val="18"/>
                <w:szCs w:val="18"/>
                <w:color w:val="0000FF"/>
              </w:rPr>
              <w:t>SIGNATURES</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0"/>
        </w:trPr>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41" w:lineRule="exact"/>
        <w:rPr>
          <w:sz w:val="20"/>
          <w:szCs w:val="20"/>
          <w:color w:val="auto"/>
        </w:rPr>
      </w:pPr>
      <w:r>
        <w:rPr>
          <w:rFonts w:ascii="Arial" w:cs="Arial" w:eastAsia="Arial" w:hAnsi="Arial"/>
          <w:sz w:val="18"/>
          <w:szCs w:val="18"/>
          <w:color w:val="auto"/>
        </w:rPr>
        <w:t>Unless the context suggests otherwise, references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or the Annual Report, to “us,” “our,” “Olema,” “Olema Pharmaceuticals,” “we,” the “Company” and similar designations refer to Olema Pharmaceuticals, Inc. and, where appropriate, its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Annual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Annual Report include, but are not limited to, statements about:</w:t>
      </w:r>
    </w:p>
    <w:p>
      <w:pPr>
        <w:spacing w:after="0" w:line="183"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financial performance;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sufficiency of our existing cash to fund our future operating expenses and capital expenditure requirements;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accuracy of our estimates regarding expenses, future revenue, capital requirements, and needs for additional financing;</w:t>
      </w:r>
    </w:p>
    <w:p>
      <w:pPr>
        <w:spacing w:after="0" w:line="184" w:lineRule="exact"/>
        <w:rPr>
          <w:rFonts w:ascii="Times New Roman" w:cs="Times New Roman" w:eastAsia="Times New Roman" w:hAnsi="Times New Roman"/>
          <w:sz w:val="18"/>
          <w:szCs w:val="18"/>
          <w:color w:val="231F20"/>
        </w:rPr>
      </w:pPr>
    </w:p>
    <w:p>
      <w:pPr>
        <w:jc w:val="both"/>
        <w:ind w:left="760" w:right="20" w:hanging="378"/>
        <w:spacing w:after="0" w:line="228" w:lineRule="exact"/>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progress, results and costs of developing palazestrant (OP</w:t>
      </w:r>
      <w:r>
        <w:rPr>
          <w:rFonts w:ascii="MS PGothic" w:cs="MS PGothic" w:eastAsia="MS PGothic" w:hAnsi="MS PGothic"/>
          <w:sz w:val="18"/>
          <w:szCs w:val="18"/>
          <w:color w:val="231F20"/>
        </w:rPr>
        <w:t>‑</w:t>
      </w:r>
      <w:r>
        <w:rPr>
          <w:rFonts w:ascii="Arial" w:cs="Arial" w:eastAsia="Arial" w:hAnsi="Arial"/>
          <w:sz w:val="18"/>
          <w:szCs w:val="18"/>
          <w:color w:val="231F20"/>
        </w:rPr>
        <w:t>1250), OP-3136 or any other product candidates we may develop, and conducting nonclinical studies and clinical trials, including for OP-3136 and our palazestrant Phase 1/2 clinical studies and Phase 3 clinical trials;</w:t>
      </w:r>
    </w:p>
    <w:p>
      <w:pPr>
        <w:spacing w:after="0" w:line="179"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costs involved in obtaining and maintaining regulatory approval of palazestrant, OP-3136 or any other product candidates we may develop, and the timing or likelihood of regulatory filings and approvals, including our expectation to seek special designations for our product candidates for various diseases;</w:t>
      </w:r>
    </w:p>
    <w:p>
      <w:pPr>
        <w:spacing w:after="0" w:line="170"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plans relating to commercializing palazestrant, OP-3136 and any other product candidates we may develop, if approved, including the geographic areas of focus and our ability to grow a sales team;</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implementation of our strategic plans for our business, palazestrant, OP-3136 or any other product candidates we may develop;</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size of the market opportunity for palazestrant, OP-3136 or any other product candidates we may develop in each of the diseases we target;</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reliance on third parties to conduct nonclinical research activities, and for the manufacture of palazestrant, OP-3136 and any other product candidates we may develop;</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beneficial characteristics, safety, efficacy and therapeutic effects of palazestrant, OP-3136 and any other product candidates we may develop;</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estimates of the number of patients in the United States who suffer from the diseases we target and the number of subjects that will enroll in our clinical trials;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progress and focus of our current and future clinical trials, and the reporting of data from those trials;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advance product candidates into and successfully complete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the ability of our clinical trials to demonstrate the safety and efficacy of palazestrant, OP-3136 and any other product candidates we may develop, and other positive results;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success of competing therapies that are or may become available;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developments relating to our competitors and our industry, including competing product candidates and therapies;</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plans relating to the further development and manufacturing of palazestrant, OP-3136 and any other product candidates we may develop, including additional indications that we may pursue;</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existing regulations and regulatory developments in the United States and other jurisdictions;</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potential and ability to successfully manufacture and supply palazestrant, OP-3136 and any other product candidates we may develop for clinical trials and for commercial use, if approved;</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the rate and degree of market acceptance of palazestrant, OP-3136 and any other product candidates we may develop, as well as the pricing and reimbursement of palazestrant, OP-3136 and any other product candidates we may develop, if approved;</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continued reliance on third parties to conduct additional clinical trials of palazestrant, OP-3136 and any other product candidates we may develop, and for the manufacture of our product candidates;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plans and ability to obtain and protect intellectual property rights;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of protection we are able to establish and maintain for intellectual property rights, including palazestrant, OP-3136 and any other product candidates we may develop;</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access capital resources on favorable terms, or at all;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retain the continued service of our key personnel and to identify, hire, and then retain additional qualified personnel.</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entitled “Risk Factors” included under Part I, Item 1A below. Furthermore, such forward-looking statements speak only as of the date of this Annual Report. Except as required by law, we undertake no obligation to update any forward-looking statements to reflect events or circumstances after the date of such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 SUMMARY</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Investing in our common stock involves numerous risks, including the risks described in “Part I, Item 1A. Risk Factors” of this Annual Report. Below are some of these risks, any one of which could materially adversely affect our business, financial condition, results of operations, and prospects.</w:t>
      </w:r>
    </w:p>
    <w:p>
      <w:pPr>
        <w:spacing w:after="0" w:line="169" w:lineRule="exact"/>
        <w:rPr>
          <w:sz w:val="20"/>
          <w:szCs w:val="20"/>
          <w:color w:val="auto"/>
        </w:rPr>
      </w:pPr>
    </w:p>
    <w:p>
      <w:pPr>
        <w:ind w:left="760" w:right="2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have no products approved for commercial sale, which may make it difficult for you to evaluate our current business and predict our future success and viability.</w:t>
      </w:r>
    </w:p>
    <w:p>
      <w:pPr>
        <w:spacing w:after="0" w:line="15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spacing w:after="0" w:line="170"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net losses since inception, and we expect to continue to incur net losses for the foreseeable future. In addition, we may be unable to continue as a going concern over the long term.</w:t>
      </w:r>
    </w:p>
    <w:p>
      <w:pPr>
        <w:spacing w:after="0" w:line="154"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176"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palazestrant or OP-3136, we will be unable to generate product revenue and our business, financial condition, results of operations and prospects will be significantly harmed.</w:t>
      </w:r>
    </w:p>
    <w:p>
      <w:pPr>
        <w:spacing w:after="0" w:line="179"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Even if approved, palazestrant or OP-3136 may not achieve adequate market acceptance among physicians, patients, healthcare payors and others in the medical community necessary for commercial success.</w:t>
      </w:r>
    </w:p>
    <w:p>
      <w:pPr>
        <w:spacing w:after="0" w:line="15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w:t>
      </w:r>
    </w:p>
    <w:p>
      <w:pPr>
        <w:spacing w:after="0" w:line="170"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obtain U.S. or foreign regulatory approvals and, as a result, may be unable to commercialize palazestrant, OP-3136 or any future product candidate we may develop.</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U.S. and global macroeconomic and geopolitical conditions could adversely affect our business, financial condition and results of operations.</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 order to successfully implement our plans and strategies, we will need to grow the size of our organization, and we may experience difficulties in managing this growth.</w:t>
      </w:r>
    </w:p>
    <w:p>
      <w:pPr>
        <w:spacing w:after="0" w:line="154"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internal information technology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adverse consequences resulting from such compromise, including but not limited to regulatory investigations or actions; litigation; fines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penalties; disruptions of our business operations; reputational harm; loss of revenue or profits; or other adverse consequences.</w:t>
      </w:r>
    </w:p>
    <w:p>
      <w:pPr>
        <w:spacing w:after="0" w:line="212"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a clinical-stage biopharmaceutical company focused on the discovery, development and commercialization of next generation targeted therapies for women’s cancers. We are advancing our pipeline of novel therapies by leveraging our deep understanding of endocrine-driven cancers, nuclear receptors, and mechanisms of acquired resistance. Our lead product candidate, palazestrant (OP-1250), is a novel, orally-available small molecule with dual activity as both a complete estrogen receptor, or ER, antagonist, or CERAN, and selective ER degrader, or SERD, currently being investigated in patients with recurrent, locally advanced or metastatic ER-positive, or ER+, human epidermal growth factor receptor 2-negative, or HER2-, breast cancer. In preclinical models, palazestrant binds and completely blocks ER-driven transcriptional activity in both wild-type and mutant forms of metastatic ER+ breast cancer including activity in central nervous system, or CNS, metastases models. In clinical studies across more than 250 patients, palazestrant has demonstrated strong anti-tumor activity, attractive pharmacokinetics and prolonged drug exposure, favorable tolerability, and combinability with CDK4/6 inhibitors with no significant drug-drug interaction. Palazestrant is currently being evaluated both as a single agent in an ongoing Phase 3 clinical trial, OPERA-01, and in Phase 2 combination studies with a CDK4/6 inhibitor (palbociclib or ribociclib) and a phosphatidylinositol 3 kinase alpha, or PI3K</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inhibitor (alpelisib).</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reported positive Phase 2 clinical results for palazestrant as a monotherapy in October 2023 at the European Society for Medical Oncology, or ESMO, Congress 2023, which demonstrated compelling progression-free survival, or PFS, a favorable tolerability profile and attractive pharmacokinetics in a heavily pretreated patient population. These results validated the potential opportunity for palazestrant as a monotherapy agent in later lines of treatment for metastatic breast cancer, and in November 2023 we initiated OPERA-01, our pivotal Phase 3 second-, third-line monotherapy clinical trial. We anticipate the top-line results from the OPERA-01 trial in 2026.</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investigating palazestrant in combination with CDK4/6 inhibitors, palbociclib and ribociclib, and a PI3K</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inhibitor, alpelisib. We reported interim results of our ongoing Phase 2 dose expansion clinical studies of palazestrant in combination with each of palbociclib and ribociclib at the 2023 San Antonio Breast Cancer Symposium in December 2023. Across both studies, the interim results demonstrated no significant drug-drug interaction, no dose-limiting toxicities and a tolerability profile consistent with the FDA-approved labels of ribociclib or palbociclib plus an endocrine therapy. Both studies are being conducted at palazestrant recommended Phase 2 dose, or RP2D, of 120 mg combined with the full FDA-approved label doses of palbociclib 125 mg, or ribociclib 600 mg. In October 2023, we announced the expansion of our clinical collaboration with Novartis Institutes for BioMedical Research, Inc., or Novartis, increasing the size of the ongoing Phase 1/2 clinical study testing palazestrant in combination with ribociclib to approximately 60 patients. We will be presenting results from the Phase 2 portion of the palazestrant-ribociclib combination clinical study at the ESMO Breast Cancer Annual Congress 2024 in May 2024 in Berlin. Furthermore, we expect the data from the Phase 2 palazestrant-ribociclib combination clinical study will enable us to prepare to initiate a pivotal Phase 3 first-line clinical trial of palazestrant in combination with ribociclib. We also plan to initiate evaluation of palazestrant in combination with an mTOR inhibitor, everolimus, in a Phase 1b/2 clinical study, anticipated in the third quarter of 2024.</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2022, we were granted Fast Track designation from the U.S. Food and Drug Administration, or the FDA, for palazestrant for patients with ER+/HER2- metastatic breast cancer that has progressed following one or more lines of endocrine therapy with at least one line given in combination with a CDK4/6 inhibitor.</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in October 2023 we presented new preclinical data regarding the discovery of novel compounds targeting KAT6, an epigenetic target that is dysregulated in breast and other cancers. In January 2024, we nominated a development candidate for this program, OP-3136, and we expect to file an Investigational New Drug, or IND, application with the FDA in late 2024 and advance into clinical development. In a non-clinical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xenograft model, OP-3136 caused dose-dependent tumor growth inhibition and tumor regression comparable to or better than a positive-control patented KAT6 inhibitor and demonstrated synergy in combination with CDK4/6 inhibitors or palazestrant. We are advancing the development of this program in collaboration with Aurigene Oncology, or Aurigene.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 clinical-stage biopharmaceutical company committed to transforming the standard of care and improving outcomes for women living with cancer. Breast cancer represents approximately 30% of all new diagnoses of cancer in women. The American Cancer Society, or ACS, estimated that in 2024 there will be approximately 310,720 new cases of female breast cancer and about 42,250 deaths from metastatic breast cancer in the United States. Treatment decisions are based on a combination of individual patient characteristics and tumor biology, most importantly the expression of three proteins: ER, progesterone receptor, or PR, and human epidermal growth factor receptor 2, or HER2. Approximately 75% of all breast cancers are ER+, and approximately 68% are hormone receptor positive, or HR+, and HER2-, highlighting the central role of the ER in driving a large majority of breast cancer. Approximately 6-10% of breast cancer patients present with metastatic disease at diagnosis and a further 20-30% of patients initially diagnosed with early-stage disease ultimately develop metastatic disease. The current five-year survival rate for patients with ER+ metastatic breast cancer is approximately 30%. In 2020, the breast cancer therapy market totaled $22.3 billion, and it is set to grow at a CAGR of 8.7%, reaching $51.3 billion in 2030. All key breast cancer populations will experience strong sales growth. We expect sales in the HR+/HER2- population to rise from $11.3 billion in 2020 to more than $30 billion by 2030.</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ER is a nuclear receptor that functions as a ligand regulated transcription factor. When bound to estrogen, the ER directs the expression of genes that are essential for breast cancer cells’ survival and proliferation. For more than four decades, researchers have been developing new approaches and therapies to prevent activation of the ER pathway, thereby inhibiting the ability of the ER to drive tumor cell growth. In 1977, the first endocrine therapeutic, the anti-estrogen tamoxifen, was approved by the FDA for the treatment of breast cancer. Tamoxifen is still commonly used today but is challenged by the development of acquired drug resistance, which in some cases may be due to its partial agonist activity. In search for a different mechanism to target the estrogen pathway, aromatase inhibitors, or AIs, were developed in the 1990s to block the synthesis of estrogen and deprive the ER+ cells of its activating ligand. However, up to 50% of patients taking AIs develop arthralgia, leading to suspension of treatment in up to 15% of patients. Additionally, most patients with metastatic breast cancer have been shown to ultimately develop resistance to AIs, the most common of which is the development of a ligand-independent activating mutation in the estrogen receptor gene, ESR1. In pre-menopausal women, treatment with AIs must also be accompanied by ovarian suppression.</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2002, fulvestrant was approved as a treatment for HR+ metastatic breast cancer patients and is typically used as a second- or third-line endocrine agent. Fulvestrant was designed to be a CERAN, and later discovered to also be a SERD, and represented a breakthrough for the field with improved outcomes for patients whose disease had progressed on prior endocrine therapy. However, fulvestrant has several limitations including its suboptimal drug exposure and route of administration as two monthly intramuscular injections. Despite these drawbacks, fulvestrant achieved worldwide sales of over $1.1 billion in 2019.</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More recently, the field has focused on the discovery and development of oral agents that have fulvestrant’s dual mechanism of action to completely inactivate and degrade the ER. Some of these oral SERD agents are CERANs, such as palazestrant, but others have partial agonist activity despite being SERDs and thus are not CERANs. These agents can be considered selective ER modulators, or SERM/SERDs. SERM/SERDs reduce the levels of the ER but they do not entirely eliminate it. Notably, naturally-occurring estrogen itself leads to ER degradation when binding the ER.</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Olema team has spent a significant amount of time designing and optimizing our lead product candidate, palazestrant, and we believe that the ability to act as a CERAN and completely block estrogen receptor signaling, combined with attractive pharmacokinetics and drug exposure, favorable tolerability, combinability with CDK4/6 inhibitors, and CNS penetration are important characteristics to enable the success of a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generation endocrine therapy. We believe that results from our preclinical and clinical studies demonstrate that palazestrant has shown properties supporting its potential to achieve these objectives, address an unmet need in the treatment of breast cancer, and improve upon standard of care.</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Based on the clinical results we have achieved to date, we are advancing palazestrant through late-stage clinical development both as a monotherapy and in combination with other targeted agents. We own worldwide development and commercialization rights to palazestrant. We believe palazestrant’s oral formulation and dual mechanism of action directly address the limitations of current endocrine therapies, such as fulvestrant, aromatase inhibitors and tamoxifen, and position palazestrant as a potential endocrine therapy of choice for the treatment of ER+ breast cancers.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goal is to discover, develop and commercialize next generation targeted therapies for women’s cancers. The key elements of our business strategy to achieve this goal include:</w:t>
      </w:r>
    </w:p>
    <w:p>
      <w:pPr>
        <w:spacing w:after="0" w:line="154" w:lineRule="exact"/>
        <w:rPr>
          <w:sz w:val="20"/>
          <w:szCs w:val="20"/>
          <w:color w:val="auto"/>
        </w:rPr>
      </w:pPr>
    </w:p>
    <w:p>
      <w:pPr>
        <w:jc w:val="both"/>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Applying our deep understanding of nuclear receptors — particularly the ER — and mechanisms of resistance to develop novel therapeutic approaches for endocrine-driven cancers. </w:t>
      </w:r>
      <w:r>
        <w:rPr>
          <w:rFonts w:ascii="Arial" w:cs="Arial" w:eastAsia="Arial" w:hAnsi="Arial"/>
          <w:sz w:val="18"/>
          <w:szCs w:val="18"/>
          <w:color w:val="auto"/>
        </w:rPr>
        <w:t>Our team has spent over a decade characterizing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and function of the ER and its role in driving tumor cell proliferation in HR+ breast cancer. Our knowledge of the ER’s functional domains combined with our medicinal chemistry expertise has allowed us to develop a potent and oral compound that both completely inactivates and strongly promotes degradation of the ER in nonclinical studies. We believe palazestrant’s oral formulation and dual mechanism of action as a CERAN/SERD directly address the limitations of current endocrine therapies, such as fulvestrant, AIs and tamoxifen, and has the potential to drive deeper, more durable responses.</w:t>
      </w:r>
    </w:p>
    <w:p>
      <w:pPr>
        <w:spacing w:after="0" w:line="183"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Rapidly advancing our lead product candidate, palazestrant, through clinical development as a monotherapy for ER+/HER2 breast cancer. </w:t>
      </w:r>
      <w:r>
        <w:rPr>
          <w:rFonts w:ascii="Arial" w:cs="Arial" w:eastAsia="Arial" w:hAnsi="Arial"/>
          <w:sz w:val="18"/>
          <w:szCs w:val="18"/>
          <w:color w:val="auto"/>
        </w:rPr>
        <w:t>We are currently evaluating palazestrant in a pivotal Phase 3 trial as a monotherapy agent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and third-line setting of ER+/HER2- advanced or metastatic breast cancer.</w:t>
      </w:r>
    </w:p>
    <w:p>
      <w:pPr>
        <w:spacing w:after="0" w:line="170" w:lineRule="exact"/>
        <w:rPr>
          <w:rFonts w:ascii="Times New Roman" w:cs="Times New Roman" w:eastAsia="Times New Roman" w:hAnsi="Times New Roman"/>
          <w:sz w:val="18"/>
          <w:szCs w:val="18"/>
          <w:color w:val="auto"/>
        </w:rPr>
      </w:pPr>
    </w:p>
    <w:p>
      <w:pPr>
        <w:jc w:val="both"/>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Establishing palazestrant as the endocrine therapy of choice with targeted therapy combinations for the treatment of metastatic ER+ breast cancers. </w:t>
      </w:r>
      <w:r>
        <w:rPr>
          <w:rFonts w:ascii="Arial" w:cs="Arial" w:eastAsia="Arial" w:hAnsi="Arial"/>
          <w:sz w:val="18"/>
          <w:szCs w:val="18"/>
          <w:color w:val="auto"/>
        </w:rPr>
        <w:t>We believe palazestrant’s differentiated product profile has the potential to overcome many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limitations of current endocrine therapy options. While targeted chemotherapy and other targeted anti-body drug conjugates continue to show promising data and will likely gain further favorability as a treatment option, we believe these new treatment options will replace traditional chemotherapy, not endocrine therapies. Our goal is to successfully demonstrate improved efficacy and a favorable tolerability profile in combination with other targeted therapies to position palazestrant as the endocrine therapy of choice in the first-line setting for advanced or metastatic ER+/HER2- breast cancer.</w:t>
      </w:r>
    </w:p>
    <w:p>
      <w:pPr>
        <w:spacing w:after="0" w:line="183" w:lineRule="exact"/>
        <w:rPr>
          <w:rFonts w:ascii="Times New Roman" w:cs="Times New Roman" w:eastAsia="Times New Roman" w:hAnsi="Times New Roman"/>
          <w:sz w:val="18"/>
          <w:szCs w:val="18"/>
          <w:color w:val="auto"/>
        </w:rPr>
      </w:pPr>
    </w:p>
    <w:p>
      <w:pPr>
        <w:jc w:val="both"/>
        <w:ind w:left="1020" w:hanging="503"/>
        <w:spacing w:after="0" w:line="238"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Exploring additional clinical opportunities for palazestrant, including metastatic breast cancer with brain metastases and other hormone sensitive tumors. </w:t>
      </w:r>
      <w:r>
        <w:rPr>
          <w:rFonts w:ascii="Arial" w:cs="Arial" w:eastAsia="Arial" w:hAnsi="Arial"/>
          <w:sz w:val="18"/>
          <w:szCs w:val="18"/>
          <w:color w:val="auto"/>
        </w:rPr>
        <w:t>Metastatic breast cancer is the second most common cancer associated with brain</w:t>
      </w:r>
      <w:r>
        <w:rPr>
          <w:rFonts w:ascii="Arial" w:cs="Arial" w:eastAsia="Arial" w:hAnsi="Arial"/>
          <w:sz w:val="18"/>
          <w:szCs w:val="18"/>
          <w:b w:val="1"/>
          <w:bCs w:val="1"/>
          <w:color w:val="auto"/>
        </w:rPr>
        <w:t xml:space="preserve"> </w:t>
      </w:r>
      <w:r>
        <w:rPr>
          <w:rFonts w:ascii="Arial" w:cs="Arial" w:eastAsia="Arial" w:hAnsi="Arial"/>
          <w:sz w:val="18"/>
          <w:szCs w:val="18"/>
          <w:color w:val="auto"/>
        </w:rPr>
        <w:t>metastases in the United States. Of women with ER+/HER2- metastatic breast cancer, 10% to 15% will develop brain metastases, which present a significant challenge to systemic therapy. The primary treatment for CNS metastases is typically surgery, radiation, or a combination of both and these patients tend to have a poor prognosis. In nonclinical studies, palazestrant demonstrated robust CNS penetration, and in an intracranial breast cancer brain metastases xenograft study, palazestrant demonstrated the ability to shrink tumors and improve survival in mice. In addition, we believe that combining palazestrant with HER2-targeted agents may represent an opportunity to improve upon recent advancements in the treatment of CNS disease in patients that express both ER and HER2, as up to 50% of patients with metastatic HER2+ breast cancer develop CNS disease, and the majority of patients with HER2+ breast cancer also express ER. In nonclinical studies, the addition of palazestrant to HER2 inhibitors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improved tumor growth inhibition in both ER+/HER2+ cell line-derived xenograft and patient-derived xenograft models.</w:t>
      </w:r>
    </w:p>
    <w:p>
      <w:pPr>
        <w:spacing w:after="0" w:line="212" w:lineRule="exact"/>
        <w:rPr>
          <w:sz w:val="20"/>
          <w:szCs w:val="20"/>
          <w:color w:val="auto"/>
        </w:rPr>
      </w:pPr>
    </w:p>
    <w:p>
      <w:pPr>
        <w:jc w:val="both"/>
        <w:ind w:left="1020" w:hanging="503"/>
        <w:spacing w:after="0" w:line="24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Continuing to evaluate opportunities to accelerate development timelines and enhance the commercial potential of our programs in collaboration with third parties. </w:t>
      </w:r>
      <w:r>
        <w:rPr>
          <w:rFonts w:ascii="Arial" w:cs="Arial" w:eastAsia="Arial" w:hAnsi="Arial"/>
          <w:sz w:val="18"/>
          <w:szCs w:val="18"/>
          <w:color w:val="auto"/>
        </w:rPr>
        <w:t>We own full worldwide development and commercialization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palazestrant. We have established clinical collaborations with both Novartis and Pfizer and we intend to continue evaluating opportunities to work with partners that meaningfully enhance our capabilities with respect to the development and commercialization of palazestrant. In addition, we intend to commercialize our product candidates in key markets either alone or with partners to maximize the worldwide commercial potential of our programs.</w:t>
      </w:r>
    </w:p>
    <w:p>
      <w:pPr>
        <w:spacing w:after="0" w:line="177"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Expanding our portfolio of therapies focused on women’s oncology through both internal research activities and business development efforts. </w:t>
      </w:r>
      <w:r>
        <w:rPr>
          <w:rFonts w:ascii="Arial" w:cs="Arial" w:eastAsia="Arial" w:hAnsi="Arial"/>
          <w:sz w:val="18"/>
          <w:szCs w:val="18"/>
          <w:color w:val="auto"/>
        </w:rPr>
        <w:t>We are applying our internal drug discovery capabilities to identify and evaluate novel targeted</w:t>
      </w:r>
      <w:r>
        <w:rPr>
          <w:rFonts w:ascii="Arial" w:cs="Arial" w:eastAsia="Arial" w:hAnsi="Arial"/>
          <w:sz w:val="18"/>
          <w:szCs w:val="18"/>
          <w:b w:val="1"/>
          <w:bCs w:val="1"/>
          <w:color w:val="auto"/>
        </w:rPr>
        <w:t xml:space="preserve"> </w:t>
      </w:r>
      <w:r>
        <w:rPr>
          <w:rFonts w:ascii="Arial" w:cs="Arial" w:eastAsia="Arial" w:hAnsi="Arial"/>
          <w:sz w:val="18"/>
          <w:szCs w:val="18"/>
          <w:color w:val="auto"/>
        </w:rPr>
        <w:t>therapies that can improve the lives of women with cancer, such as with our KAT6 inhibitor program, OP-3136. We have an active discovery research team exploring additional opportunities for targeted therapies for breast cancer. We will also continue to explore opportunities to acquire products and technologies that align with our core areas of expertise and complement our existing portfolio.</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summarized in our pipeline figure below, our plan is to develop our wholly-owned lead product candidate, palazestrant, in a number of ER+ breast cancer indications, both as a monotherapy and in combination with approved targeted therapies that have shown improved outcomes with other endocrine therapies. In addition, in January 2024 we nominated a development candidate in our KAT6 program, OP-3136.</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 Olema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137795</wp:posOffset>
            </wp:positionV>
            <wp:extent cx="5546090" cy="2168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4609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Epidemiology and classification of breast cancer</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Breast cancer is the second-most common cancer worldwide, with nearly two million new diagnoses per year. The ACS estimates in 2024 there will be approximately 310,720 new cases of female breast cancer and approximately 42,250 deaths in the United States, making it the second-leading cause of cancer death in women. Approximately 2,700 men are also diagnosed with breast cancer each year in the United States. Breast cancer is a heterogeneous disease which is grouped into several clinical subtypes based on the expression of three proteins: ER, PR and HER2. Both ER and PR are hormone receptors, and tumors that express either of</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receptors are referred to as HR+. It is unusual for a tumor to express PR in the absence of the ER, therefore most tumors are referred to as either ER+ or ER-. Tumors that express HER2 are denoted HER2+, and tumors that do not express ER, PR or HER2 are classified as triple negative breast cancer. Approximately 78% of all breast cancers are HR+, and approximately 68% are HR+/HER2-, highlighting the central role of ER signaling in driving a large majority of breast cancer.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Treating breast cancer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Early-stage breast cancer</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Breast cancer stage is determined by the size of the tumor and whether or not the cancer has spread to lymph nodes. A tumor that is confined to the breast with or without the involvement of local, ipsilateral lymph nodes is considered early-stage breast cancer. Treatment for patients with early-stage breast cancer involves two components. First, there is local treatment of the breast, chest wall and local lymph nodes, if any, with surgery, either a lumpectomy or mastectomy, and potentially radiation. Second, based on the biology and characteristics of the tumor, patients may also be offered systemic therapy, referred to as adjuvant therapy, in order to decrease the risk of recurrence of breast cancer anywhere in the body. Systemic therapy can be given either after surgery (adjuvant) or prior to surgery (neoadjuvant) or a combination of both.</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initial standard of care for patients with early-stage ER+ breast cancer is at least five years of adjuvant endocrine therapy. The endocrine treatment options for early-stage disease are AIs, such as anastrozole, exemestane or letrozole, or an ER antagonist such as a tamoxifen. For patients diagnosed with early-stage ER+ breast cancer who undergo surgical and adjuvant/neoadjuvant treatment, the five-year survival rate is over 90%.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Metastatic breast cancer</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When cancer has spread beyond local lymph nodes, either to distant lymph nodes, bones or visceral organs, the cancer is now considered metastatic. Approximately 6-10% of breast cancer patients present with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metastatic disease, also referred to as stage IV disease, at initial diagnosis. In addition, approximately 20-30% of patients diagnosed with early-stage breast cancer will develop metastatic disease. In contrast to the goals of adjuvant therapy, treatments for metastatic disease are palliative with the desired outcome of controlling symptoms and extending survival as long as possible. The current five-year survival rate for patients with ER+ metastatic breast cancer is approximately 30%.</w:t>
      </w:r>
    </w:p>
    <w:p>
      <w:pPr>
        <w:spacing w:after="0" w:line="179" w:lineRule="exact"/>
        <w:rPr>
          <w:sz w:val="20"/>
          <w:szCs w:val="20"/>
          <w:color w:val="auto"/>
        </w:rPr>
      </w:pPr>
    </w:p>
    <w:p>
      <w:pPr>
        <w:jc w:val="both"/>
        <w:spacing w:after="0" w:line="208" w:lineRule="exact"/>
        <w:rPr>
          <w:sz w:val="20"/>
          <w:szCs w:val="20"/>
          <w:color w:val="auto"/>
        </w:rPr>
      </w:pPr>
      <w:r>
        <w:rPr>
          <w:rFonts w:ascii="Arial" w:cs="Arial" w:eastAsia="Arial" w:hAnsi="Arial"/>
          <w:sz w:val="18"/>
          <w:szCs w:val="18"/>
          <w:color w:val="auto"/>
        </w:rPr>
        <w:t>While there are national guidelines and recommendations for the treatment of metastatic breast cancer, the actual treatment decision is based on a combination of individual patient characteristics and tumor biology, including whether they received adjuvant therapy and if so, how quickly the cancer recurred. There is significant overlap in the agents that are recommended, but guidelines vary in the sequence in which these agents are used. In the past five years, several new classes of targeted therapies have been approved to be used in combination with endocrine agents for the treatment of HR+/HER2</w:t>
      </w:r>
      <w:r>
        <w:rPr>
          <w:rFonts w:ascii="MS PGothic" w:cs="MS PGothic" w:eastAsia="MS PGothic" w:hAnsi="MS PGothic"/>
          <w:sz w:val="18"/>
          <w:szCs w:val="18"/>
          <w:color w:val="auto"/>
        </w:rPr>
        <w:t>‑</w:t>
      </w:r>
      <w:r>
        <w:rPr>
          <w:rFonts w:ascii="Arial" w:cs="Arial" w:eastAsia="Arial" w:hAnsi="Arial"/>
          <w:sz w:val="18"/>
          <w:szCs w:val="18"/>
          <w:color w:val="auto"/>
        </w:rPr>
        <w:t xml:space="preserve"> breast cancer. Inhibitors of CDK4/6, such as palbociclib, ribociclib and abemaciclib, used in combination with an AI or fulvestrant, led to significant increases in progression-free survival and overall survival. Alpelisib, a PI3K</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inhibitor, was approved in 2019 in combination with fulvestrant for the treatment of HR+/HER2</w:t>
      </w:r>
      <w:r>
        <w:rPr>
          <w:rFonts w:ascii="MS PGothic" w:cs="MS PGothic" w:eastAsia="MS PGothic" w:hAnsi="MS PGothic"/>
          <w:sz w:val="18"/>
          <w:szCs w:val="18"/>
          <w:color w:val="auto"/>
        </w:rPr>
        <w:t>‑</w:t>
      </w:r>
      <w:r>
        <w:rPr>
          <w:rFonts w:ascii="Arial" w:cs="Arial" w:eastAsia="Arial" w:hAnsi="Arial"/>
          <w:sz w:val="18"/>
          <w:szCs w:val="18"/>
          <w:color w:val="auto"/>
        </w:rPr>
        <w:t xml:space="preserve"> breast cancers that have mutations in PIK3CA. Figure 2 shows the endocrine treatment options available for ER+ metastatic breast cancer, and an example of the sequence of treatments, by agent and line of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Figure 2. Available endocrine options and example of sequential alternating of endocrine based therapy in ER+ metastatic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115570</wp:posOffset>
            </wp:positionV>
            <wp:extent cx="5546725" cy="2434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672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When moving a patient from one line of therapy to the next, the standard of care is to switch to an endocrine agent with a different mechanism of action depending upon last therapy, co-morbidities, and individual patient characteristics.</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Metastatic breast cancer is the second most common cancer associated with brain metastases in the United States. About 10% to 15% of women with metastatic breast cancer develop brain metastases. Brain metastases present a significant challenge to systemic therapy, and the primary treatment for CNS metastases is typically surgical resection, radiation, or a combination of both. Given the limited treatment options available for these patients, the prognosis remains poor, making it an area of continued, high unmet medical need. In addition, brain metastases in breast cancer patients are a major cause of morbidity, associated with progressive neurologic deficits that result in a reduced quality of life.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 signaling in cancer</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ER is a nuclear receptor that functions as a ligand regulated transcription factor. When bound to estrogen, the ER directs the expression of genes that are essential for breast cancer cells’ survival and proliferation. The ER has three modular functional domains:</w:t>
      </w:r>
    </w:p>
    <w:p>
      <w:pPr>
        <w:spacing w:after="0" w:line="154" w:lineRule="exact"/>
        <w:rPr>
          <w:sz w:val="20"/>
          <w:szCs w:val="20"/>
          <w:color w:val="auto"/>
        </w:rPr>
      </w:pPr>
    </w:p>
    <w:p>
      <w:pPr>
        <w:ind w:left="10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amino terminal domain, which contains the activation function 1, or AF1, the activity of which can be increased by multiple cell proliferative signaling pathways;</w:t>
      </w:r>
    </w:p>
    <w:p>
      <w:pPr>
        <w:spacing w:after="0" w:line="1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DNA binding domain, which directs the ER to bind to a specific set of ER-responsive genes; and</w:t>
      </w:r>
    </w:p>
    <w:p>
      <w:pPr>
        <w:spacing w:after="0" w:line="224" w:lineRule="exact"/>
        <w:rPr>
          <w:rFonts w:ascii="Times New Roman" w:cs="Times New Roman" w:eastAsia="Times New Roman" w:hAnsi="Times New Roman"/>
          <w:sz w:val="18"/>
          <w:szCs w:val="18"/>
          <w:color w:val="auto"/>
        </w:rPr>
      </w:pPr>
    </w:p>
    <w:p>
      <w:pPr>
        <w:ind w:right="660" w:firstLine="517"/>
        <w:spacing w:after="0" w:line="536" w:lineRule="auto"/>
        <w:tabs>
          <w:tab w:leader="none" w:pos="1018"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ligand binding domain, which contains the activation function 2, or AF2, which is turned on when bound to estrogen. Activation of either AF1 or AF2 can drive transcription and cancer cell proliferation.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Classes of endocrine therapies and their limitations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more than four decades, researchers have been developing new approaches and therapies to prevent activation of the ER pathway, thereby inhibiting the ability of the ER to drive tumor cell growth. The two major classes of endocrine therapies are AIs and ER antagonists. In 2020, worldwide sales for endocrine and targeted therapies treating ER+ breast cancer patients totaled $20.5 billion.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Antagonists with partial agonist activity</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Although tamoxifen, the first endocrine therapy for the treatment of breast cancer, directly competes with estrogen and prevents activation of the AF2 transcription factor activation domain, it does not block AF1 activity and therefore does not completely inhibit ER function (Figure 3). As a consequence of this partial agonist activity, tamoxifen mimics estrogen in some circumstances and promotes proliferation. In addition, some breast cancers can develop resistance to these partial agonists by activation of upstream AF1 signaling pathways, such as mTOR, PI3K, MAPK, c-SRC, EGFR, FGFR and IGFR. Therefore, while tamoxifen is commonly used today, it is challenged by acquired drug resistance and a relatively short duration of response.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3. Partial agonists, such as tamoxifen, are unable to completely block ER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146050</wp:posOffset>
            </wp:positionV>
            <wp:extent cx="5546725" cy="213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4672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search of a different mechanism to target the estrogen pathway, AIs were developed in the 1990s to block the synthesis of estrogen and deprive the ER+ tumor of its activating ligand. However, most patients with metastatic breast cancer have been shown to ultimately develop resistance to these therapies. Similar to tamoxifen, resistance to AIs, such as anastrozole, exemestane or letrozole, can develop by multiple mechanisms, including activation of the AF1 pathway and development of mutations. Mutations in ESR1 that confer estrogen-independent ER activity arise in up to 50% of patients receiving treatment with an AI in combination with a CDK4/6 inhibitor in the first-line metastatic setting.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SERDs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search for more potent ER antagonists, researchers focused on another class of ER drugs that were described as SERDs. This classification arose from the observation that certain ligands bind tightly to ER leading to ER degradation. The field shifted drug discovery efforts to SERDs based on the hypothesis that degrading ER would be more efficacious than inhibiting it. However, similar to tamoxifen, many compounds with SERD activity are not complete ER antagonists nor do they achieve complete degradation of the ER. Recent experiments conducted by us and third parties in nonclinical models of breast cancer suggest that ER degradation, as achieved by many SERDs, on its own is not sufficient to effectively treat tumors and that the ability to completely inhibit ER function is best achieved through complete antagonism.</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CERANs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CERAN is a molecule that completely blocks the ability of both AF1 and AF2 to stimulate gene transcription (Figure 4). CERANs inhibit activation of the AF2 transcription factor activation domain and inactivate AF1 activity by recruiting nuclear receptor corepressors of the N-CoR/SMRT family. Previous work by one of our co-founders identified specific interactions between fulvestrant-bound ER and N-CoR and that the strength of these interactions correlated with the ability of fulvestrant-bound ER to inactivate gene transcription through the transcription factor activating domain, AF1.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4. Complete antagonists turn off AF2 and recruit N-CoR to inactivate AF1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137795</wp:posOffset>
            </wp:positionV>
            <wp:extent cx="5546090" cy="2768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4609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2002, fulvestrant was approved as a treatment for HR+ metastatic breast cancer and is typically used as a second- or third-line endocrine agent. Fulvestrant represented a breakthrough for the field based on its dual- mechanism of action as a CERAN and SERD which led to improved efficacy outcomes for patients. However, fulvestrant, the only FDA-approved anti-estrogen lacking agonist-type effects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uterotropic assays in immature or ovariectomized mice and rats, has several limitations including:</w:t>
      </w:r>
    </w:p>
    <w:p>
      <w:pPr>
        <w:spacing w:after="0" w:line="174" w:lineRule="exact"/>
        <w:rPr>
          <w:sz w:val="20"/>
          <w:szCs w:val="20"/>
          <w:color w:val="auto"/>
        </w:rPr>
      </w:pPr>
    </w:p>
    <w:p>
      <w:pPr>
        <w:jc w:val="both"/>
        <w:ind w:left="760" w:hanging="378"/>
        <w:spacing w:after="0" w:line="246"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Painful and inconvenient route of administration. Fulvestrant is a highly insoluble compound with poor oral bioavailability and therefore must be given intramuscularly. Fulvestrant is administered every 28 days in two 5 ml intramuscular injections into the buttocks. Injection site reactions occur in approximately 10% of patients and include sciatica, neuralgia, neuropathic pain, and peripheral neuropathy.</w:t>
      </w:r>
    </w:p>
    <w:p>
      <w:pPr>
        <w:spacing w:after="0" w:line="176" w:lineRule="exact"/>
        <w:rPr>
          <w:rFonts w:ascii="Times New Roman" w:cs="Times New Roman" w:eastAsia="Times New Roman" w:hAnsi="Times New Roman"/>
          <w:sz w:val="18"/>
          <w:szCs w:val="18"/>
          <w:color w:val="auto"/>
        </w:rPr>
      </w:pPr>
    </w:p>
    <w:p>
      <w:pPr>
        <w:jc w:val="both"/>
        <w:ind w:left="760" w:hanging="378"/>
        <w:spacing w:after="0" w:line="242"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Suboptimal drug exposure limits efficacy. In a nonclinical mouse model, an increase in antitumor activity and ER degradation was observed as the dose of fulvestrant was increased from 25 mg/kg to 200 mg/kg. However, researchers estimated that achieving an equivalent level of fulvestrant in humans to a 200 mg/kg dose in mice would require a dose that is eight times higher than is currently clinically achievable. Furthermore, xenograft models created using patient-derived tumors containing ESR1 mutations show that even plasma levels substantially higher than those achievable in humans at the approved dose fail to demonstrate optimal antitumor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 - Palazestrant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own worldwide development and commercialization rights to palazestrant. Our plan is to develop palazestrant for the treatment of a number of ER+ breast cancer indications, both as monotherapy and in combination with approved targeted therapies that have shown improved outcomes with other endocrine therapies.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Palazestrant is an oral small molecule clinical-stage product candidate for the treatment of endocrine-driven cancers. Palazestrant was designed by our scientific team based both on a detailed structural understanding of the ER and on known alterations to this structure induced by fulvestrant and other ER ligands. We have demonstrated in nonclinical studies that palazestrant functions both as a CERAN, inactivating both AF1 and AF2 transcriptional activation functions, and a SERD, promoting degradation of the ER. We believe palazestrant’s oral formulation and dual mechanism of action directly address the limitations of current endocrine therapies, such as fulvestrant and tamoxifen, and position palazestrant as a potential endocrine therapy of choice for the treatment of ER+ breast cancers.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OPERA-01, pivotal Phase 3 monotherapy trial</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October 2023 we initiated our first pivotal Phase 3 trial of palazestrant, OPERA-01: a randomized Phase 3 trial evaluating palazestrant vs standard-of-care treatment for ER+/HER2- advanced or metastatic breast cancer (see Figure 5). The trial is expected to enroll approximately 510 second/third-line metastatic breast cancer patients randomized one-to-one with either palazestrant or standard-of-care endocrine therapy. Key inclusion criteria for the trial include evaluable disease and prior exposure to endocrine therapy in combination with a CDK4/6 inhibitor in the advanced setting. One additional line of endocrine therapy in the advanced or metastatic setting is permitted. The trial consists of two parts: a three-arm dose selection part followed by assessment of the selected dose of palazestrant versus standard of care. Top-line results from the trial are expected in 2026.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5. Design of palazestrant Phase 3 pivotal monotherapy trial, OPERA-01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146050</wp:posOffset>
            </wp:positionV>
            <wp:extent cx="5546090" cy="2503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4609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monotherapy clinical study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presented positive Phase 2 monotherapy clinical results in an oral presentation at ESMO in October 2023. As of the data cut-off of July 7, 2023, 86 patients with recurrent, locally advanced or metastatic ER+/HER2- breast cancer were treated at the RP2D of 120 mg. The group was heavily pretreated with 42% of patients</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being fourth-line or later at study entry, 65% of patients having received two or more prior lines of endocrine therapy for metastatic disease, and 31% having received prior chemotherapy. Almost all patients (97%) received prior treatment with a CDK4/6 inhibitor, and 66% received prior treatment with fulvestrant. Of 75 patients whose circulating tumor DNA, or ctDNA, was assessed, 48% had activating mutations in ESR1 at baseline.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Pharmacokinetics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2416"/>
        </w:rPr>
        <w:t>Palazestrant demonstrated favorable pharmacokinetics characterized by high oral bioavailability, dose proportional exposure and a long half-life of eight days, with steady-state plasma levels showing minimal peak-to-trough variability, enabling consistent inhibition of the ER for the full dosing interval.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and Tolerability</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2416"/>
        </w:rPr>
        <w:t>Treatment with palazestrant at the RP2D of 120 mg was well tolerated with no dose-limiting toxicities, and the maximum tolerated dose, or MTD, was not reached. The majority of treatment-emergent adverse events, or TEAEs, were Grade 1 or 2. Of the 86 patients treated, events of Grade 4 neutropenia were observed in six patients, occurring approximately 4–6 weeks into therapy. Of these patients, three had a dose interruption with recovery and subsequent dose reduction (two continued at 90 mg and one continued at 60 mg) without any recurrence, and three had dose discontinuation followed by recovery. All six patients had prior exposure to CDK4/6 inhibitors.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Across all 86 patients, the median PFS was 4.6 months and the clinical benefit rate, or CBR, was 40% with a 6-month PFS rate of 38%. In patients with an ESR1 mutation, the median PFS was 5.6 months and the CBR was 52% with a 6-month PFS rate of 46%. In ESR1 wild-type patients, the median PFS was 3.5 months and the CBR was 32% with a 6-month PFS rate of 35%.</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 subset analysis of 49 patients that received palazestrant as a second- or third-line therapy with or without prior chemotherapy, the median PFS was 7.2 months and the CBR was 48% across all patients with a 6-month PFS rate of 54%. In patients with an ESR1 mutation, the median PFS was 7.3 months and CBR was 59% with a 6-month PFS rate of 62%. In ESR1 wild-type patients the median PFS was 5.5 months and the CBR was 38% with a 6-month PFS rate of 44%.</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Anti-tumor activity was observed in this heavily pretreated population, with 40% of patients demonstrating reduction in target lesions and evidence of activity in both ESR1 wild-type and ESR1-mutant patients. Given the advanced and heavily pretreated nature of the patients, many of these patients are expected to be resistant to monotherapy endocrine treatment.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Palazestrant Phase 1b/2 study in combination with ribociclib</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presented Phase 1b/2 data from our clinical study of palazastrant in combination with ribociclib at the 2023 San Antonio Breast Cancer Symposium, or SABCS, on December 7, 2023. With a data cutoff of November 1, 2023, across 19 patients who had completed at least one cycle of treatment as of the data cutoff date, the combination of up to 120 mg of palazestrant with 600 mg of ribociclib daily was well tolerated, with no safety signals or enhancement of toxicity and an overall safety profile consistent with the expected safety profile of ribociclib plus an endocrine therapy.</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Palazestrant did not affect ribociclib drug exposure in patients, and ribociclib had no clinically meaningful effect on palazestrant drug exposure. There were no dose-limiting toxicities, the maximum tolerated dose was not reached, and the majority of treatment-emergent adverse events were grade 1 or 2, with no grade 4 events observed. Neutropenia was reversible in all patients, and the timing was generally consistent with ribociclib-related neutropenia. Findings from this study support the continued use of palazestrant at the RP2D of 120 mg in combination with 600mg of ribociclib, and enrollment of sixty patients in the dose-expansion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study has been completed. We will be presenting results from the Phase 2 portion of the palazestrant-ribociclib combination clinical study at the ESMO Breast Cancer Annual Congress 2024 in May 2024 in Berlin.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Palazestrant Phase 1b/2 study in combination with palbociclib</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presented Phase 1b/2 data from our clinical study of palazastrant in combination with palbociclib at SABCS on December 7, 2023. With a data cutoff of September 15, 2023, across 46 patients as of the cutoff date of September 15, 2023, the combination of palazestrant (120 mg) with palbociclib (125 mg) daily was well tolerated, with an overall safety profile consistent with the expected safety profile of palbociclib plus an endocrine therapy.</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There was no observed drug-drug interaction between palazestrant and palbociclib, and there was no induced metabolism or increase in exposure of either palbociclib or palazestrant when administered in combination. Most treatment-emergent adverse events were grade 1 or</w:t>
      </w:r>
    </w:p>
    <w:p>
      <w:pPr>
        <w:ind w:right="20" w:firstLine="8"/>
        <w:spacing w:after="0" w:line="250" w:lineRule="auto"/>
        <w:tabs>
          <w:tab w:leader="none" w:pos="2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Neutropenia incidence was similar to the PALOMA-3 study; it was reversible in all patients and the timing was generally consistent with the palbociclib-related neutropenia.</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Tumor responses and prolonged disease stabilization were observed in this patient group, including in those previously exposed to CDK4/6 inhibitors, in both ESR1 mutant and ESR1 wild-type tumors. Partial responses were observed in seven patients, with two confirmed partial responses and five unconfirmed partial responses. The clinical benefit rate was 46% in all patients and 60% in patients with an ESR1 mutation at baseline. In patients naïve to prior CDK4/6 inhibitor treatment, the CBR was 71%. 53% of patients had any reduction in target lesion size.</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Twenty-two (48%) patients remained on treatment, and efficacy data were still maturing. Findings from this study were consistent with previously reported data and support the ongoing clinical development of palazestrant in combination with CDK4/6 inhibitors for the treatment of ER+/HER2− metastatic breast cancer. Enrollment of sixty patients in the Phase 2 portion of the palazestrant-palbociclib combination clinical study is complete.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 for palazestrant and additional clinical opportunities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Everolimus, an mTOR inhibitor, is a targeted therapy that is often used by oncologists in the treatment of advanced breast or other cancers. Clinical studies evaluating everolimus in combination with endocrine therapies has demonstrated clinical results that indicate a potential benefit for patients in later-line settings. In the third quarter of 2024, we plan to initiate evaluation of palazestrant in combination with everolimus in a Phase 1b/2 clinical study. Our primary objectives will be to determine the safety, tolerability, and PK profile of the combination with palazestrant, and secondarily to determine efficacy and duration of response in patients with ER+/HER2- metastatic breast cancer.</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Furthermore, though we are currently evaluating palazestrant in patients with ER+/HER2- breast cancer, we believe that there is an opportunity for us to study palazestrant in patients with ER+/HER2+ breast cancer, which represents approximately 11% of breast cancer patients and more than 50% of the patients with HER2+ breast cancer. In particular, up to 50% of patients with metastatic HER2+ breast cancer develop CNS disease. We believe that combining palazestrant with HER2 targeted agents may represent an opportunity to improve upon recent advancements in the treatment of CNS disease in patients that express both ER and HER2.</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While our initial studies are focused on treating breast cancer patients with metastatic disease, we believe that if palazestrant is determined to be safe and effective in this population, there is potential for it to be used in earlier stage disease. Based on our extensive nonclinical studies, including certain head-to-head studies, we believe that palazestrant could have superior PK properties and improved clinical outcomes than fulvestrant. If proven in the clinic, we believe that palazestrant has the potential to not only replace fulvestrant but to become the endocrine treatment of choice for the treatment of both advanced/metastatic ER+ breast cancer as well as ultimately in early-stage ER+ breast cancer in the adjuvant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OP-3136 Development</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October 2023, we presented new preclinical data regarding the discovery of novel compounds targeting KAT6, an epigenetic target that is dysregulated in breast and other cancers at the 2023 AACR-NCI-EORTC International Conference on Molecular Targets and Cancer Therapeutics. In January 2024, we nominated a development candidate for this program, OP-3136, and we expect to file an IND application with the FDA in late 2024. In a non-clinical xenograft model, OP-3136 caused dose-dependent tumor growth inhibition and tumor regression comparable to or better than a positive-control patented KAT6 inhibitor and demonstrated synergy in combination with CDK4/6 inhibitors or palazestrant. We are advancing the development of this program in collaboration with Aurigene.</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KAT6 is a clinically validated target and its overexpression has been shown to be correlated with worse clinical outcomes in ER+ breast cancer. KAT6 inhibition downregulates genes involved in estrogen receptor signaling and other signaling pathways.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6. Schematic of KAT6 biology and impact of OP-3136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146050</wp:posOffset>
            </wp:positionV>
            <wp:extent cx="5546090" cy="29832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4609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KAT6-amplified and overexpressing ER+ breast cancer cell lines, OP-3136 strongly inhibited cell proliferation whereas KAT6-low cell lines were insensitive to the compounds. In a nonclinical xenograft model, OP-3136 caused dose-dependent tumor growth inhibition and tumor regression comparable to or better than a positive-control patented KAT6 inhibitor and demonstrated synergy in combination with CDK4/6 inhibitors or an endocrine therapy, palazestrant. In addition, OP-3136 demonstrated activity in both ESR1 wild-type and mutant breast cancer cell lines.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7. Impact of OP-3136 and positive control on tumor volume in a 25-day mouse xenograft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954405</wp:posOffset>
            </wp:positionV>
            <wp:extent cx="5546090" cy="2631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4609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Collaboration and Supply Agreement with Novartis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July 2020, we entered into a non-exclusive Clinical Collaboration and Supply Agreement, or the Novartis Agreement, with Novartis. On January 13, 2022, we entered into an Amended and Restated Clinical Collaboration and Supply Agreement with Novartis, and on October 9, 2023, we entered into Amendment No. 1 (the “Novartis Amendment”) to Amended and Restated Clinical Collaboration and Supply Agreement with Novartis (as amended, the “Novartis Agreement”). The collaboration is focused on the evaluation of the safety, tolerability and efficacy of palazestrant in combination with Novartis’ proprietary CDK4/6 inhibitor KISQALI® (ribociclib) and/or Novartis’ proprietary phosphatidylinositol 3-kinase inhibitor PIQRAY® (alpelisib), or collectively the Novartis Study Drugs, as part of our planned Phase 1b clinical study of palazestrant in patients with metastatic ER+ breast cancer. The Novartis Amendment expanded the size of the ongoing ribociclib and palazestrant study cohort to a total of approximately 60 patients. We are responsible for the conduct of the clinical studies for the combined therapies in accordance with a mutually agreed development plan. As part of the collaboration, the parties granted to each other a non-exclusive, royalty- 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studies for the combined therapies (other than those specific to each component study drug), are jointly owned by the parties.</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responsible for manufacturing, packaging and labeling palazestrant, and for packaging and labeling all drugs used in the clinical studies for the combined therapies (other than the Novartis Study Drugs). Novartis is responsible for manufacturing and delivering to us the Novartis Study Drugs in such quantities as reasonably needed for the clinical studies for the combined therapies. In accordance with an agreed budget, Novartis is reimbursing us for a portion of the direct outside costs, but no more than an amount in the low single digit millions of U.S. dollars, that we incur related to conducting the activities under the agreed development plan in conducting the clinical trials for the combined therapies.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studies for the combined therapies due to the existence of a material safety issue, or in certain circumstances for an unresolved clinical hold with respect to either the Novartis Study Drugs or palazestrant. In addition, Novartis may terminate the Novartis Agreement if certain disputes between the parties are not resolved after following the applicable dispute resolution procedures, and we may terminate the</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Novartis Agreement in the event we terminate all clinical studies of the combined therapies other than due to a material safety issue or upon a clinical hold.</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Novartis Agreement does not grant any right of first negotiation to participate in future clinical trials, and each of the parties retains all rights and ability to evaluate their respective compounds in any studies or clinical trials, either as a monotherapy or in combination with any other product or compound, in any therapeutic area. The parties retain their independent rights to commercialize their respective therapies both alone or with other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Agreement with Pfizer</w:t>
      </w:r>
    </w:p>
    <w:p>
      <w:pPr>
        <w:spacing w:after="0" w:line="212"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In November 2020, we entered into a non-exclusive clinical trial agreement with Pfizer, or the Pfizer Agreement, to evaluate the safety and tolerability of palazestrant in combination with Pfizer’s proprietary CDK4/6 inhibitor IBRANCE® (palbociclib) in patients with recurrent, locally advanced or metastatic ER+/HER2</w:t>
      </w:r>
      <w:r>
        <w:rPr>
          <w:rFonts w:ascii="MS PGothic" w:cs="MS PGothic" w:eastAsia="MS PGothic" w:hAnsi="MS PGothic"/>
          <w:sz w:val="18"/>
          <w:szCs w:val="18"/>
          <w:color w:val="auto"/>
        </w:rPr>
        <w:t>‑</w:t>
      </w:r>
      <w:r>
        <w:rPr>
          <w:rFonts w:ascii="Arial" w:cs="Arial" w:eastAsia="Arial" w:hAnsi="Arial"/>
          <w:sz w:val="18"/>
          <w:szCs w:val="18"/>
          <w:color w:val="auto"/>
        </w:rPr>
        <w:t xml:space="preserve"> breast cancer in a clinical trial. Under the terms of the non-exclusive agreement, we are responsible for conducting the clinical study for the combined therapies and Pfizer is responsible for supplying IBRANCE® to us at no cost to us. As part of the collaboration, the parties granted to each other a non-exclusive, royalty- 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are jointly owned by the parties.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responsible for manufacturing, packaging and labeling palazestrant, and for packaging and labeling all drugs used in the clinical trials for the combined therapies (other than IBRANCE® (palbociclib)). Pfizer is responsible for manufacturing and delivering to us IBRANCE® (palbociclib) in such quantities as reasonably needed for the clinical studies for the combined therapies.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studies for the combined therapies due to the existence of a material safety issue, or in certain circumstances for an unresolved clinical hold with respect to either the IBRANCE® (palbociclib)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studies, and each of the parties retains all rights and ability to evaluate their respective compounds.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Aurigene</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June 2022, we entered into an exclusive global license agreement with Aurigene, to research, develop and commercialize novel small molecule inhibitors of an undisclosed oncology target, or the Aurigene Agreement.</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terms of the Aurigene Agreement, Aurigene will provide to us an exclusive license to its portfolio of novel small molecule inhibitors of the target. Financial terms of the Aurigene Agreement include a $8.0 million upfront payment from us for rights to a pre-existing Aurigene program and potential future milestone payments of up to $60.0 million in clinical development and regulatory milestones, and up to $370.0 million in commercial milestones. Aurigene is also eligible to receive mid-single-digit to low double-digit royalties as percentages of product sales, if any. During the research term, we will contribute funding to Aurigene to facilitate Aurigene’s ongoing discovery efforts. We and Aurigene will jointly direct further preclinical work and, if successful, we will lead clinical development as well as regulatory and commercial activities. We and Aurigene jointly own collaboration compounds and rights to any inventions made during the research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us for convenience, in our sole discretion, upon prior written notice to Aurigene, (b) by either us or Aurigene in connection with the other party’s uncured material breach or (c) by either us or Aurigene in connection with the insolvency of the other party.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success depends, in part, on our ability to obtain, maintain and protect our intellectual property and other proprietary rights for palazestrant, OP-3136 and any future product candidates and other discoveries, inventions, trade secrets and know-how that are critical to our business operations. Our success also depends in part on our ability to operate without infringing, misappropriating or otherwise violating the intellectual property and proprietary rights of others, and in part, on our ability to prevent others from infringing, misappropriating or otherwise violating our intellectual property and proprietary rights. A comprehensive discussion on risks relating to intellectual property is provided under the section titled “Risk Factors—Risks Related to Our Intellectual Property.”</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Intellectual property rights relevant to pharmaceutical companies typically include a combination of patent rights, regulatory exclusivities, trademark rights, and trade secret protection. Our success depends, in part, on our ability to secure and enforce each of these types of intellectual property rights.</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 field of biotechnology has emerged in the United States and in Europe, among other countries. Changes in the patent laws and rules, either by legislation, judicial decisions, or regulatory interpretation in other countries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Regardless of the coverage we seek under our existing patent applications, there is always a risk that an alteration to the product or process may provide sufficient basis for a competitor to avoid infringement claims. In addition, the coverage claimed in a patent application can be significantly reduced before a patent is issued and courts can reinterpret patent scope after issuance. Moreover, many jurisdictions, including the United States, permit third parties to challenge issued patents in administrative proceedings, which may result in further narrowing or even cancellation of patent claims.</w:t>
      </w:r>
    </w:p>
    <w:p>
      <w:pPr>
        <w:spacing w:after="0" w:line="186"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An issued patent provides its owner (or possibly its licensee) with a right to exclude others from making, using or selling that which is claimed in the patent, for a specified period of time (the “term” of the patent), in the jurisdiction in which the patent is issued. In the United States, and in many other countries, utility patents have a presumptive term of 20 years from their effective filing date (which is the earliest non-provisional filing date to which the patent claims priority). However, many jurisdictions, including the United States, require the payment of periodic annuities or maintenance fees for patents to remain in force for the full 20</w:t>
      </w:r>
      <w:r>
        <w:rPr>
          <w:rFonts w:ascii="MS PGothic" w:cs="MS PGothic" w:eastAsia="MS PGothic" w:hAnsi="MS PGothic"/>
          <w:sz w:val="18"/>
          <w:szCs w:val="18"/>
          <w:color w:val="auto"/>
        </w:rPr>
        <w:t>‑</w:t>
      </w:r>
      <w:r>
        <w:rPr>
          <w:rFonts w:ascii="Arial" w:cs="Arial" w:eastAsia="Arial" w:hAnsi="Arial"/>
          <w:sz w:val="18"/>
          <w:szCs w:val="18"/>
          <w:color w:val="auto"/>
        </w:rPr>
        <w:t>year term. The United States also has provisions that require a patent term to be shortened if its claims are too similar to another patent owned by the same party that has a shorter term. The term of a patent, and the protection it affords, is therefore limited and once the patent term of our issued patents has expired, we may face competition. Because of the extensive time required for clinical development and regulatory review of the drugs we develop, it is possible that, before palazestrant, OP-3136 or any future product candidates we may develop can be commercialized, any related patent may expire or remain in force for only a short period following commercialization, thereby reducing any advantage of any such patent.</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United States and certain other jurisdictions also have provisions that permit extension of patent term for patents that claim a drug or drug product, or its approved use, if the patent was issued before clinical trials and were completed and regulatory approval secured, so long as certain specific requirements were satisfied. In the United States, such extension associated with regulatory approval is called a Patent Term Extension,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PTE, and it is limited to a maximum of five years, or less if the extended patent term would exceed 14 years after the date of regulatory approval. Only one patent can receive regulatory extension (e.g., PTE) per product approval.</w:t>
      </w:r>
    </w:p>
    <w:p>
      <w:pPr>
        <w:spacing w:after="0" w:line="154"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The United States also offers a different form of patent term extension, known as Patent Term Adjustment, or PTA, whereby a particular patent’s term is automatically extended beyond the 20</w:t>
      </w:r>
      <w:r>
        <w:rPr>
          <w:rFonts w:ascii="MS PGothic" w:cs="MS PGothic" w:eastAsia="MS PGothic" w:hAnsi="MS PGothic"/>
          <w:sz w:val="18"/>
          <w:szCs w:val="18"/>
          <w:color w:val="auto"/>
        </w:rPr>
        <w:t>‑</w:t>
      </w:r>
      <w:r>
        <w:rPr>
          <w:rFonts w:ascii="Arial" w:cs="Arial" w:eastAsia="Arial" w:hAnsi="Arial"/>
          <w:sz w:val="18"/>
          <w:szCs w:val="18"/>
          <w:color w:val="auto"/>
        </w:rPr>
        <w:t>year date if the United States Patent and Trademark Office, or the USPTO, caused delay during its examination; however, potentially available PTA is reduced by any amount of any delay caused by the patent applicant.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provisional patent application can establish a priority date for a patent, but only if certain deadlines and procedures are met. Specifically, a non-provisional application must be filed within 12 months of the provisional filing date, and such non -provisional filing must be made by an applicant who has properly documented its right to claim priority. Furthermore, if any changes are made to the application between the provisional and the non- provisional filings, the changed material may not be entitled to the priority filing date. Still further, in the biopharmaceutical industry, it is common for applicants to file a so-called “international” patent application under the Patent Cooperation Treaty, or PCT, as a non-provisional filing. Such an international application, often referred to as a “PCT application,” like a provisional application, cannot itself issue as a patent but rather preserves the applicant’s right to pursue patent filings in individual countries, which patent filings are referred to as “national applications” or “national phase filings” and can claim the benefit of priority to the prior PCT application (which may in turn claim priority to the prior provisional filing). For most jurisdictions, national phase applications claiming priority to a PCT application must be filed within 30 to 32 months of the PCT’s earliest priority date. If we fail to meet the deadline for filing non-provisional or national phase applications, or fail to complete all procedural requirements associated with such filings, we may lose our right to claim priority. Moreover, even if we comply with all deadlines and requirements, we may not be able to issue patents in relevant jurisdictions, and furthermore cannot predict whether any patents that might issue will provide us with any competitive advantage.</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granted patents and pending applications relating to palazestrant, including granted claims that encompass the palazestrant compound, pharmaceutical compositions that include palazestrant, and certain methods of using palazestrant, including in treatment which may involve combination therapy. The 20-year term for these patents expires in 2036. In the United States, it is uncertain whether any PTE will be available, and if so, how much. Additional applications are pending, including ones that relate to dosing regimens and treatment of particular cancers and patient populations, and, if granted, will have 20-year terms that expire between 2040 and 2043.</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co-own with Aurigene a pending patent application related to OP-3136, which includes claims that encompass the OP-3136 compound, pharmaceutical compositions that include OP-3136, and certain methods of using OP-3136. Under the Aurigene Agreement, Aurigene has provided to us an exclusive license to Aurigene's rights in patents and applications related to OP-3136, as well as other KAT6 inhibitors that are being evaluated. The 20-year term for the pending patent application related to OP-3136 expires in 2044. In the United States, it is uncertain whether any PTE will be available, and if so, how much.</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patents related to palazestrant or OP-3136 (once granted) may be eligible for PTE in certain jurisdictions, including the United States and Europe, upon approval of a commercial use of the corresponding product by a regulatory agency in the jurisdiction where the patent was granted. However, there can be no assurance that we will receive or benefit from any PTE with respect to such patents.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to patent term extension regulatory exclusivities, pharmaceutical marketing approval agencies, such as the FDA and the EMA, offer certain data exclusivities for first-approved products with a new chemical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or NCE, exclusivity, and/or for approvals related to orphan indications, or Orphan Drug designation, and/or pediatric approvals, or Pediatric Exclusivity.</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Furthermore, as neither palazestrant nor OP-3136 has previously been approved in the United States for any indication, each of palazestrant and OP-3136 may be eligible for five years of NCE exclusivity upon its first approval. Should that approval be for an orphan indication for which we have received Orphan Drug designation, the NCE and Orphan Drug exclusivity would run concurrently.</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With respect to our owned intellectual property, we cannot be sure that patents will be granted with respect to any of our pending patent applications or with respect to any patent applications filed by us in the future, nor can we be sure that any current patents or any patents that may be granted to us in the future will be commercially useful in protecting palazestrant, OP-3136 or any future product candidates and the methods used to manufacture them. Moreover, any issued patents and those that may be issued in the future may not guarantee us the right to practice our technology in relation to the commercialization of palazestrant, OP-3136 or any future product candidates. Any patents and those that may issue in the future may be challenged, narrowed, circumvented or invalidated, which could limit our ability to stop competitors from marketing related product candidates or limit the length of the term of patent protection that we may have for palazestrant, OP-3136 or any future product candidates. In addition, the rights granted under any issued patents may not provide us with complete protection or competitive advantages against competitors with similar products to ours. For information regarding risks related to intellectual property, see the section titled “Risk Factors—Risks Related to Our Intellectual Property.”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also applied to register the “Olema,” “Olema Oncology,” “Olema Oncology and design,” and “Olema Therapeutics” trademarks with the USPTO. We do not currently own any U.S. registered trademarks for our brand or trade names.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to patent, regulatory exclusivity, and trademark, we rely on trade secret and know-how protection to secure our proprietary position around our chemistry, technology and other discoveries and inventions that we consider important to our business.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seek to protect our intellectual property, including our trade secrets and know-how, in part by entering into confidentiality agreements with companies with whom we share proprietary and confidential information in the course of business discussions, and by having confidentiality terms in our agreements with our employees, consultants, scientific advisors, clinical investigators and other contractors and also by requiring our employees, commercial contractors, and certain consultants and investigators, to enter into invention assignment agreements that grant us ownership of any discoveries or inventions made by them while in our employ. However, trade secrets and know-how can be difficult to protect. We cannot guarantee that we have entered into such agreements with each party that may have or have had access to our trade secrets or proprietary technology and processes or that these agreements will afford us adequate protection of our intellectual property and proprietary rights. Despite these efforts, any of these parties may breach the agreements and disclose our proprietary information, including our trade secrets, and we may not be able to obtain adequate remedies for such breaches. In addition, our trade secrets may otherwise become known or be independently discovered by competitors. For information regarding risks related to intellectual property, see the section titled “Risk Factors—Risks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any approved products. We intend to continue evaluating opportunities to work with partners that enhance our capabilities with respect to the development and commercialization of palazestrant. In addition, we intend to commercialize our product candidates, if approved, in key markets either alone or with partners in order to maximize the worldwide commercial potential of our programs.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currently do not own or operate any manufacturing facilities. We rely, and expect to continue to rely for the foreseeable future, on third-party contract manufacturing organizations, or CMOs, to produce palazestrant for nonclinical and clinical testing, as well as for commercial manufacture if palazestrant receives marketing approval. We require that our CMOs produce bulk drug substances and finished drug products in accordance with current Good Manufacturing Practices, or cGMPs, and all other applicable laws and regulations. We maintain agreements with our manufacturers that include confidentiality and intellectual property provisions to protect our proprietary rights related to palazestrant.</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engaged CMOs to manufacture and package palazestrant for nonclinical and clinical use. Additional CMOs are used to label and distribute palazestrant for clinical use. We obtain our supplies from these CMOs on a purchase order basis and do not have long-term supply arrangements in place. Although we do not currently have contractual arrangements in place for redundant supply for palazestrant, it is our goal to identify and contract with at least two manufacturers for active pharmaceutical ingredient and two manufacturers for drug product. More broadly, for palazestrant and any other product candidates we may develop, we intend to identify and qualify additional manufacturers to provide the active pharmaceutical ingredient and fill-and-finish services prior to seeking regulatory approval.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current therapies and new therapies that may become available in the future.</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Many of the companies against which we may compete have significantly greater financial resources and expertise in research and development, manufacturing, nonclinical testing, conducting clinical trials, obtaining regulatory approvals and marketing approved products than we do. Mergers and acquisitions in the pharmaceutical, biotechnology and oncology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less expensive than any products we may develop. Our competitors also may obtain FDA or other regulatory approval for their product candidates more rapidly than we may obtain approval for ours, which could result in competitors establishing a strong market position before we are able to enter the market. We believe that the key competitive factors affecting the success of any of our product candidates, if approved, will include efficacy, combinability, safety profile, convenience, cost, level of promotional activity devoted to them and intellectual property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the product candidates for our priority programs are approved for the indications we are currently targeting, they will compete with the products discussed below. Furthermore, it is possible that other companies are also engaged in discovery or nonclinical development of product candidates for the same indications. These competitors, if successful in clinical development, may achieve regulatory approval and market adoption in advance of our product candidates, constraining our ability to gain significant market share for such product candidates. In addition, our product candidates, if approved, will complete with multiple approved products or products that may be approved for future indications for which we develop such product candidate.</w:t>
      </w:r>
    </w:p>
    <w:p>
      <w:pPr>
        <w:spacing w:after="0" w:line="179"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There are several currently marketed drugs and product candidates currently in development for the treatment of ER+ breast cancer that target the estrogen receptor that may compete with palazestrant including: fulvestrant, marketed as Faslodex® by AstraZeneca PLC and or any generic equivalents of Faslodex that are marketed or in development; elacestrant, marketed as ORSERDU</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by Stemline Therapeutics Inc.; giredestrant (GDC-9545), being developed by Roche Holding AG/Genentech, Inc.; camizestrant (AZD9833), being developed by AstraZeneca PLC; imlunestrant (LY3484356), being developed by Eli Lilly and Co.; vepdegestrant (ARV</w:t>
      </w:r>
      <w:r>
        <w:rPr>
          <w:rFonts w:ascii="MS PGothic" w:cs="MS PGothic" w:eastAsia="MS PGothic" w:hAnsi="MS PGothic"/>
          <w:sz w:val="18"/>
          <w:szCs w:val="18"/>
          <w:color w:val="auto"/>
        </w:rPr>
        <w:t>‑</w:t>
      </w:r>
      <w:r>
        <w:rPr>
          <w:rFonts w:ascii="Arial" w:cs="Arial" w:eastAsia="Arial" w:hAnsi="Arial"/>
          <w:sz w:val="18"/>
          <w:szCs w:val="18"/>
          <w:color w:val="auto"/>
        </w:rPr>
        <w:t>471), being developed by Arvinas, Inc. in partnership with Pfizer, Inc.; and lasofoxifene, being developed by Sermonix Pharmaceuticals. There are a number of KAT6 inhibitor product candidates in development that may compete with OP-3136 including PF-07248144, which is being developed by Pfizer.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a biopharmaceutical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Any drug candidates that we develop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drug may be marketed in the United States generally involves the following:</w:t>
      </w:r>
    </w:p>
    <w:p>
      <w:pPr>
        <w:spacing w:after="0" w:line="183" w:lineRule="exact"/>
        <w:rPr>
          <w:sz w:val="20"/>
          <w:szCs w:val="20"/>
          <w:color w:val="auto"/>
        </w:rPr>
      </w:pPr>
    </w:p>
    <w:p>
      <w:pPr>
        <w:ind w:left="760" w:hanging="378"/>
        <w:spacing w:after="0" w:line="270"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extensive nonclinical laboratory tests, nonclinical animal studies and formulation studies in accordance with applicable regulations, including the FDA’s Good Laboratory Practices, or GLP, regulations and other applicable regulations;</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applicable regulations, including the FDA’s current good clinical practice, or GCP, regulations to establish the safety and efficacy of the proposed drug for its proposed indication;</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 New Drug Application, or NDA, for a new drug;</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pre-approval inspection of the manufacturing facility or facilities where the drug is produced to assess compliance with the FDA’s current good manufacturing practice, or cGMP, requirements to assure that the facilities, methods and controls are adequate to preserve the drug’s identity, strength, quality and purity;</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FDA audit of the nonclinical and/or clinical trial sites that generated the data in support of the NDA;</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Before testing any compounds with potential therapeutic value in humans, the drug candidate enters the nonclinical testing stage. Nonclinical tests include laboratory evaluations of product chemistry, toxicity and formulation, as well as animal studies, to assess the characteristics and potential safety and activity of the drug candidate. The conduct of the nonclinical tests must comply with federal regulations and requirements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Some nonclinical testing may continue even after the IND is submitted. The IND automatically becomes effective 30 days after receipt by the FDA, unless the FDA raises concerns or questions regarding the proposed clinical trials and places the IND on clinical hold within that 30 day time period. In such a case, the IND may be placed on clinical hold and the IND sponsor and the FDA must resolve any outstanding concerns or questions before the clinical trial can begin. The FDA may also impose clinical holds on a drug candidate at any time before or during clinical trials due to safety concerns or non-compliance.</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nonclinical studies suggesting a significant risk for human subjects, as well as IND annual reports on the progress of the investigations conducted under the IND.</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Clinical trials involve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12" w:lineRule="exact"/>
        <w:rPr>
          <w:sz w:val="20"/>
          <w:szCs w:val="20"/>
          <w:color w:val="auto"/>
        </w:rPr>
      </w:pPr>
    </w:p>
    <w:p>
      <w:pPr>
        <w:jc w:val="both"/>
        <w:ind w:left="760" w:hanging="378"/>
        <w:spacing w:after="0" w:line="246"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1. The drug is initially introduced into healthy human subjects and tested for safety, dosage tolerance, absorption, metabolism, distribution and excretion, the side effects associated with increasing doses and if possible, to gain early evidence of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176"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2. 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spacing w:after="0" w:line="170"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Clinical trials are undertaken to further evaluate dosage, clinical efficacy and safety in an expanded patient population at geographically dispersed clinical trial sites. These clinical trials are intended to establish the overall benefit/risk ratio of the product and provide an adequate basis for product approval. Generally, two adequate and well-controlled Phase 3 clinical trials are required by the FDA for approval of an NDA.</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trials are used to gain additional experience from the treatment of patients in the intended therapeutic indication. In certain instances, the FDA may mandate the performance of Phase 4 trials. In certain instances, the FDA may mandate the performance of Phase 4 clinical trials as a condition of approval of an NDA.</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assesses whether or not a trial may move forward at designated check points based on access to certain data from the ongoing trial.</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Unless otherwise required by regulation, the Pediatric Research Equity Act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 after it the application is submitted The FDA does not always meet its PDUFA goal dates for standard and priority NDAs, and the review process is often significantly extended by FDA requests for additional information or clarification.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and typically follows the advisory committee’s recommendations.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requirements. After the FDA evaluates the application, manufacturing process and manufacturing facilities, it may issue an approval letter or a Complete Response Letter. An approval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4 testing, which involves clinical trials designed to further assess a drug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for a serious condition where no satisfactory alternative therapy exists or a significant improvement in the treatment, diagnosis or prevention of a serious condition compared to marketed products. The FDA will attempt to direct additional resources to the evaluation of an application for a new drug designated for priority review in an effort to facilitate the review.</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a product may be eligible for accelerated approval. Drug products intended to treat serious or life- 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 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this designation may not provide a material commercial advantage.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 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quality control and manufacturing procedures must continue to conform to applicable manufacturing requirements after approval to ensure the long-term stability of the drug product.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additional labeling claims, are also subject to further FDA review and approval.</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Depending upon the timing, duration and specifics of the FDA approval of the use of our product candidates, some of our U.S. patents, if granted, may be eligible for limited PTE under the Drug Price Competition and Patent Term Restoration Act of 1984, commonly referred to as the Hatch-Waxman Amendments. As compensation for patent term lost during product development and the FDA regulatory review process, the Hatch-Waxman Amendments permit a patent restoration term, or PTE, which is limited to a maximum of five years, or less if the extended patent term would exceed 14 years after the date of the regulatory approval of the product. The patent term restoration period is generally one-half the time between the effective date of an IND and the submission date of an NDA plus the time between the submission date of an NDA and the approval of that application. Only one patent applicable to an approved drug or drug product, or its approved use, is eligible for the extension and the application for the extension must be submitted prior to the expiration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patent. The U.S. Patent and Trademark Office, in consultation with the FDA, reviews and approves the application for any patent term extension or restoration. In the future, we may intend to apply for restoration of a patent term for one of our currently owned or licensed patents to add patent life beyond its current expiration date, depending on the expected length of the clinical trials and other factors involved in the filing of the relevant NDA.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PTE or favorable adjustment to the term of any of our patents.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Market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Orphan drug exclusivity, as described above, may offer a seven-year period of marketing exclusivity, except in certain circumstances. Pediatric exclusivity is another type of non-patent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currently do not have any products on the market, we are and, upon approval and commercialization, will be subject to additional healthcare regulation and enforcement by the federal government and by authorities in the states and foreign jurisdictions in which we conduct our business. In the United States, such laws include, without limitation, state and federal fraud and abuse (such as anti-kickback and false claims), privacy and security, price reporting, and provider transparency laws and regulations.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safe harbor but the exceptions and safe harbors are drawn narrowly and require strict compliance in order to offer protection.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Additionally, the intent standard under the Anti-Kickback Statute and certain criminal healthcare fraud statutes (discussed below) was amended by the Patient Protection and Affordable Care Act of 2010, as amended by the Health Care and Education Reconciliation Act of 2010, together with subsequent amendments and regulations, collectively,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Pharmaceutical and other healthcare companies have been prosecuted under these laws for, among other things, allegedly providing free product to customers with the expectation that the customers would bill federal programs for the product and for causing false claims to be submitted because of the companies’ marketing of the product for unapproved, and thus non- covered, uses.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federal Health Insurance Portability and Accountability Act of 1996, or HIPAA, also created new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(defined to include doctors, dentists, optometrists, podiatrists and chiropractors), other healthcare professionals (such as physician assistants and nurse practitioners), and teaching hospitals, and certain ownership and investment interests held by these physicians and their immediate family members.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may also be subject to data privacy and security regulations promulgated by both the federal government and the states in which we conduct our business. HIPAA, as amended by the Health Information Technology for Economic and Clinical Health Act, or HITECH, and its implementing regulations, impose requirements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U.S. and foreign laws, regulations, rules, contractual obligations, policies and other obligations related to data privacy and security.</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or will become subject to privacy laws in the jurisdictions in which we are established or in which we sell or market our products or run clinical trials. For example, in Europe we are subject to the General Data Protection Regulation, or GDPR, in relation to our collection, control, processing and other use of personal data (i.e., data relating to an identified or identifiable living individual). We process personal data in relation to participants in our clinical trials in the European Economic Area, or EEA, including the health and medical information of these participants. The GDPR is directly applicable in each European Union Member State, however, it provides that European Union Member States may introduce further conditions that could cause our compliance costs to increase, ultimately having an adverse impact on our business.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the supervision of local data protection authorities in those European Union jurisdictions where we are established or otherwise subject to the GDPR. Fines for certain breaches of the GDPR are significant: up to the greater of €20 million or 4% of total global annual turnover. Further, we must comply with both the GDPR and separately the GDPR as implemented in the United Kingdom, or UK, each regime having the ability to fine up to the greater of €20 million / £17 million or 4% of global turnover. A breach of the GDPR or other applicable privacy and data protection laws and regulations could result in regulatory investigations, reputational damage, orders to cease/change our use of data, enforcement notices, or potential civil claims including class action type litigation. In general, if our efforts to comply with the GDPR or other applicable European Union laws and regulations are not successful, it could adversely affect our business in the European Union.</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ordinary course of business, we may transfer personal data from Europe and other jurisdictions to the United States or other countries. Europe and other jurisdictions have enacted laws requiring data to be localized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United States, the California Consumer Privacy Act, or CCPA, creates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provides for civil penalties for violations, as well as a private right of action for certain data breaches that result in the loss of personal information. This private right of action may increase the likelihood of, and risks associated with, data breach litigation. The CCPA (a) allows enforcement by the California Attorney General, with fines set at $2,500 per violation (i.e., per person) or $7,500 per intentional violation and (b) authorizes private lawsuits to recover statutory damages for certain data breaches.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 CCPA may impact our business activities and exemplifies the vulnerability of our business to the evolving regulatory environment related to personal data and protected health information. Additionally, the California Privacy Rights Act, or CPRA, significantly modifies the CCPA, including by expanding consumers’ rights with respect to certain sensitive personal information. The CPRA also creates a new state agency that will be vested with authority to implement and enforce the CCPA and the CPRA. New legislation proposed or enacted in various other states will continue to shape the data privacy environment nationally. For example, Virginia, Colorado, Utah, and Connecticut have all enacted broad privacy legislation.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we will be accountable for any third-party service providers we engage to process personal data on our behalf, including our contract research organizations, or CROs. We attempt to mitigate the associated risks but there is no assurance that privacy and security-related safeguards will protect us from all risks associated with the third-party processing, storage and transmission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or our collaborators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 In the United States, third-party payors include federal and state healthcare programs, government authorities, private managed care providers, private health insurers and other organizations.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elect to participate in certain governmental programs, we may be required to participate in discount and rebate programs, which may result in prices for our future products that will likely be lower than the prices we might otherwise obtain. For example, drug manufacturers participating under the Medicaid Drug Rebate Program must pay rebates on prescription drugs to state Medicaid programs. Under the Veterans Health Care Act, or VHCA, drug companies are required to offer certain drugs at a reduced price to a number of federal agencies, including the U.S. Department of Veterans Affairs and Department of Defense, the Public Health Service and certain private Public Health Service designated entities in order to participate in other federal funding programs, including Medicare and Medicaid. Recent legislative changes require that discounted prices be offered for certain U.S. Department of Defense purchases for its TRICARE program via a rebate system. Participation under the VHCA also requires submission of pricing data and calculation of discounts and rebates pursuant to complex statutory formulas, as well as the entry into government procurement contracts governed by the Federal Acquisition Regulations. If our products are made available to authorized users of the Federal Supply Schedule of the General Services Administration, additional laws and requirements apply.</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drug candidate to currently available therapies. Across the European Union, member states carry out assessments of new pharmaceutical products from an economic, public health, and therapeutic perspective, through a Health Technology Assessment, or HTA, process, which is currently governed by the national laws of member states. In December 2021, the European Parliament voted to implement a regulation regarding HTAs, or the HTA Regulation. The HTA Regulation is scheduled to apply as of January 2025, and will provide a framework for pan-EU clinical assessments, scientific consultations, identification of emerging health technologies, and further cooperation. Entry into application of the Regulation could impose stricter and more detailed procedures to be followed by marketing authorization holders concerning conduct of HTAs in relation to their products which may influence related pricing and reimbursement decisions. However, under the HTA Regulation, member states will still be free to make their own pricing and reimbursement decisions. Moreover, member states may,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do, choose to restrict the range of products for which their national health insurance systems or national healthcare systems provide reimbursement and to control the prices of such products. Member states may impose direct controls on pricing, or otherwise adopt a system of direct or indirect controls on the profitability of the companies placing such products on the market. Other member states allow companies to set their own prices but monitor and control prescription volumes and issue guidance to medical professionals to limit prescriptions of such products.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marketability of any product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ACA was enacted, which affected existing government healthcare programs and resulted in the development of new programs.</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Inflation Reduction Act of 2022, or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such challenges and the healthcare reform measures of the Biden administration will impact the ACA and our business.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legislative changes have also been proposed and adopted in the United States since the ACA was enacted. On August 2, 2011, the Budget Control Act of 2011, among other things, included aggregate reductions to Medicare payments to providers of 2% per fiscal year, which went into effect on April 1, 2013, and will remain in effect through 2032, unless additional Congressional action is taken.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There has been heightened governmental scrutiny recently over the manner in which pharmaceutical companies set prices for their marketed products, which has resulted in several Presidential executive orders,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At the federal level, in July 2021, the Biden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released an executive order that included multiple provisions aimed at prescription drugs. In response to Biden’s executive order, on September 9, 2021, the U.S. Department of Health and Human Services, or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Centers for Medicare &amp; Medicaid Services, or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it is possible that there will be further legislation or regulation that could harm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Foreign Corrupt Practices Act</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U.S. Foreign Corrupt Practices Act of 1977,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or our potential collaborators obtain FDA approval for a product, we must obtain the requisite approvals from regulatory authorities in foreign countries prior to the commencement of clinical trials or marketing of the product in those countries.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countries outside of the United States have a similar process that requires the submission of a clinical trial application much like the IND prior to the commencement of human clinical trials. In the European Union, for example, pursuant to the Clinical Trials Regulation, which came into application on January 31, 2022,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clinical trial application, or CTA, must be submitted to via the EMA's Clinical Trials Information System, which will cover all regulatory and ethics assessments from the member states concerned. Once the CTA is approved in accordance with a country’s requirements, clinical trial development may proceed. Approval and monitoring of clinical trials in the European Union is the responsibility of individual member states but, compared to the position prior to the applicability of the Clinical Trials Regulation, there is likely to be more collaboration, information-sharing, and decision-making between member states.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requirements and processes governing the conduct of clinical trials, product licensing, pricing and reimbursement vary from country to country. In all major territories, including the European Union, clinical trials must be conducted in accordance with GCP and the applicable regulatory requirements and the ethical principles that have their origin in the Declaration of Helsinki.</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European Union and the European Economic Area consist, at the time of writing, of the twenty-seven Member States of the European Union, plus Norway, Iceland and Liechtenstein which are Member States of the European Economic Area. To obtain regulatory approval of an investigational drug or biological product under European Union regulatory systems, we must submit a marketing authorization application either under the so-called centralized or national authorization procedures. There are three procedures for a marketing authorization to be obtained:</w:t>
      </w:r>
    </w:p>
    <w:p>
      <w:pPr>
        <w:spacing w:after="0" w:line="176" w:lineRule="exact"/>
        <w:rPr>
          <w:sz w:val="20"/>
          <w:szCs w:val="20"/>
          <w:color w:val="auto"/>
        </w:rPr>
      </w:pPr>
    </w:p>
    <w:p>
      <w:pPr>
        <w:jc w:val="both"/>
        <w:ind w:left="760" w:hanging="378"/>
        <w:spacing w:after="0" w:line="239"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Centralized marketing authorization, which is issued by the European Commission through the Centralized Procedure, based on the scientific opinion of the EMA’s Committee for Medicinal Products for Human Use, and which is valid throughout the entire territory of the European Economic Area. The Centralized Procedure is mandatory for certain types of products, such as (i) biotechnology medicinal products such as genetic engineering, (ii) orphan medicinal products, (iii) medicinal products containing a new active substance indicated for the treatment of AIDS, cancer, neurodegenerative disorders, diabetes, autoimmune and viral diseases and (iv) advanced-therapy medicines, such as gene therapy, somatic cell therapy or tissue-engineered medicines.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w:t>
      </w:r>
    </w:p>
    <w:p>
      <w:pPr>
        <w:spacing w:after="0" w:line="182" w:lineRule="exact"/>
        <w:rPr>
          <w:rFonts w:ascii="Times New Roman" w:cs="Times New Roman" w:eastAsia="Times New Roman" w:hAnsi="Times New Roman"/>
          <w:sz w:val="18"/>
          <w:szCs w:val="18"/>
          <w:color w:val="auto"/>
        </w:rPr>
      </w:pPr>
    </w:p>
    <w:p>
      <w:pPr>
        <w:jc w:val="both"/>
        <w:ind w:left="760" w:hanging="378"/>
        <w:spacing w:after="0" w:line="237"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Decentralized Procedure marketing authorizations are available for products not falling within the mandatory scope of the Centralized Procedure. An identical dossier is submitted to the competent authorities of each of the Member States in which the marketing authorization is sought, one of which is selected by the applicant as the Reference Member State, or RMS, to lead the evaluation of the regulatory submission. The competent authority of the RMS prepares a draft assessment report, a draft summary of the product characteristics, or SmPC, and a draft of the labeling and package leaflet as distilled from the preliminary evaluation, which are sent to the other Member States (referred to as the Concerned Member States) for their approval. If the Concerned Member States raise no objections, based on a potential serious risk to public health, to the assessment, SmPC, labeling, or packaging proposed by the RMS, the RMS records the agreement, closes the procedure and informs the applicant accordingly. Each Member State concerned by the procedure is required to adopt a national decision to grant a national marketing authorization in conformity with the approved assessment report, SmPC and the labeling and package leaflet as approved. Where a product has already been authorized for marketing in a Member State of the European Economic Area, the granted national marketing authorization can be used for mutual recognition in other Member States through the Mutual Recognition Procedure, or MRP, resulting in progressive national approval of the product in the European Economic Area.</w:t>
      </w:r>
    </w:p>
    <w:p>
      <w:pPr>
        <w:spacing w:after="0" w:line="190"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National marketing authorizations, which are issued by a single competent authority of the Member States of the European Economic Area and only covers such authority’s respective territory, are also available for products not falling within the mandatory scope of the Centralized Procedure. Once a product has been authorized for marketing in a Member State of the European Economic Area through the National Procedure, this National marketing authorization can also be recognized in other Member States through the Mutual Recognition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EMA grants orphan drug designation to promote the development of products that may offer therapeutic benefits for life-threatening or chronically debilitating conditions affecting not more than five in 10,000 people in the European Union. In addition, orphan drug designation can be granted if the drug is intended for a life threatening, seriously debilitating or serious and chronic condition in the European Union and without incentives it is unlikely that sales of the drug in the European Union would be sufficient to justify developing the drug. Orphan drug designation is only available if there is no other satisfactory method approved in the European Union of diagnosing, preventing or treating the condition, or if such a method exists, the proposed orphan drug will be of significant benefit to patients. Orphan drug designation provides opportunities for free protocol assistance, fee reductions for access to the centralized regulatory procedures and ten years of market exclusivity following drug approval, which can be extended to 12 years if trials are conducted in accordance with an agreed-upon pediatric investigational plan. The exclusivity period may be reduced to six years if the designation criteria are no longer met, including where it is shown that the product is sufficiently profitable not to justify maintenance of market exclusivity.</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trials, product licensing, pricing and reimbursement vary from country to country. In all major territories, clinical trials must be conducted in accordance with GCP and the applicable regulatory requirements and the ethical principles that have their origin in the Declaration of Helsinki. 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January 31, 2024, we had 74 employees, all of whom were full time, consisting of clinical, research, operations, regulatory, finance and business development personnel. Thirty-two of our employees hold Ph.D. or M.D. degrees. None of our employees is subject to a collective bargaining agreement. We consider our relationship with our employees to be good.</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commitment to innovation begins with the commitment to creating an environment with the ability to attract and retain highly skilled people, including top scientific talent, as a critical factor for us to deliver on our mission and create value.</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we have grown significantly since our initial public offering in November 2020, we have focused on diversity, inclusion and belonging both at the level of our Board of Directors, where we appointed three global biotech female leaders to our Board of Directors, and for all employees. We have been successful in hiring employees with a broad diversity of experiences and backgrounds. We face significant competition for biotechnology talent from both established and early-stage biotechnology companies. Further, we are headquartered in the San Francisco Bay Area and have operations in Cambridge, Massachusetts, both global biotechnology hubs with many employment choices. Despite our early stage, we have been successful in hiring highly qualified staff to join Olema. As of January 31, 2024, 39% of our employee population is male, and 61% is female.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strive to create a positive employee experience by fostering an inclusive and equitable culture. We are committed to the health, safety, and well-being of our employees. This commitment is reflected in our ability to attract and retain high performers. We believe we have a robust employment package that promotes well-being across all aspects of our employees’ lives, including healthcare, paid time-off, retirement savings with a company match through a 401(k) plan, our equity incentive plans, and our employee stock purchase plan. The principal purposes of our equity incentive plans are to attract, motivate and retain our employees and directors through the granting of stock-based compensation awards. From time to time, we may offer additional stock-based compensation awards to our employees to continue to motivate them and support retention, particularly at times when our stock price, or the stock price of biotechnology companies generally, is volatile. We grant stock options to all full-time employees to foster alignment and promote a spirit of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were incorporated in Delaware on August 7, 2006, under the legal name of CombiThera, Inc., and, on March 25, 2009, were renamed Olema Pharmaceuticals,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reports filed pursuant to Sections 13(a) and 15(d) of the Exchange Act, are filed with the SEC. Such reports and other information filed by us with the SEC are available free of charge on the Investors section of our website, www.olema.com,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any references to website URLs are intended to be inactive textual references only.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the need for additional capital</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no products approved for commercial sale, which may make it difficult for you to evaluate our current business and predict our future success and viability.</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lead product candidate, palazestrant (OP-1250), securing related intellectual property rights, conducting nonclinical studies, conducting a Phase 1/2 clinical study of palazestrant, initiating a Phase 3 clinical trial of palazestrant, and conducting nonclinical studies of OP-3136.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palazestrant. We anticipate incurring significant costs associated with the development of our lead product candidate, palazestrant, OP-3136 and any future product candidates we may develop. Our expenses could increase beyond expectations if we are required by the FDA, the European Medicines Agency, or the EMA, or other regulatory authorities to perform clinical trials or nonclinical studies in addition to those that we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anticipate. Other unanticipated costs may also arise. In addition, if we obtain marketing approval for palazestrant, OP-3136 or other product candidates,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costs associated with operating as a public company. Accordingly, we will need to obtain substantial additional funding in order to maintain our continuing operations.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uncertainty, market volatility, the ongoing Russia-Ukraine conflict and related sanctions, armed conflict between Israel and groups based in surrounding regions, inflation rates and the responses by central banking authorities to control such inflation, monetary supply shifts and related financial instability. Advancing the development of palazestrant, OP-3136 and any future product candidates we may develop will require a significant amount of capital, and our existing cash, cash equivalents and marketable securities will not be sufficient to fund all of the activities that are necessary to complete the development of palazestrant and OP-3136.</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will be required to obtain additional funding through public or private equity offerings, debt financings, collaborations and licensing arrangements or other sources, which may dilute our stockholders, or cause our stock price to decline or restrict our operating activities. Adequate additional financing may not be available to us on acceptable terms, or at all. Market volatility, including as a result of geopolitical and macroeconomic events discussed above, could adversely increase our need to access capital and likewise, adversely impact our ability to access capital as and when needed.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heightening these risks and further increasing economic uncertainty.</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We also could be required to seek collaborators for palazestrant, OP-3136 or any future product candidate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incurred net losses since inception, and we expect to continue to incur net losses for the foreseeable future. In addition, we may be unable to continue as a going concern over the long term.</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incurred net losses in each reporting period since our inception, have not generated any revenue from product sales to date and have financed our operations principally through the entry into a stock purchase agreement for a private placement of 13,211,381 shares of our common stock, at a price of $9.84 per share, to selected institutional and accredited investors, or the Private Placement, our initial public offering and private financings. We have incurred net losses of $96.7 million and $104.8 million for the years ended December 31, 2023 and 2022, respectively. We had an accumulated deficit of $305.6 million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December 31, 2023. Our losses have resulted principally from expenses incurred in research and development of palazestrant and from management and administrative costs and other expenses that we have incurred while building our business infrastructure. Our lead product candidate, palazestrant, is in clinical trials. As a result, we expect that it will be several years, if ever, before we have a commercialized product and generate revenue from product sales. Even if we succeed in receiving marketing approval for and commercializing palazestrant in one of our lead indications, we expect that we will continue to incur substantial research and development and other expenses as we continue the clinical development programs for palazestrant in other indications or for OP-3136.</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our expenses may fluctuate from period to period, we generally expect to continue to incur increased expenses and operating losses for the foreseeable future as we continue our research and development efforts and seek to obtain regulatory approval for palazestrant or OP-3136.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our consolidated financial statements for the years ended December 31, 2023 and 2022 included elsewhere in this Annual Report on Form 10-K have been prepared assuming we will continue as a going concern. However, we have incurred losses and negative cash flows from operations. As a development stage company, we expect to incur significant and increasing losses until regulatory approval is granted for palazestrant or OP-3136. Regulatory approval is not guaranteed and may never be obtained. As a result, these conditions raise substantial doubt about our ability to continue as a going concern over the long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palazestrant, OP-3136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74" w:lineRule="exact"/>
        <w:rPr>
          <w:sz w:val="20"/>
          <w:szCs w:val="20"/>
          <w:color w:val="auto"/>
        </w:rPr>
      </w:pPr>
    </w:p>
    <w:p>
      <w:pPr>
        <w:ind w:left="76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231F20"/>
        </w:rPr>
        <w:t>completing clinical and nonclinical development of our product candidates and programs and identifying and developing new product candidates;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231F20"/>
        </w:rPr>
        <w:t>seeking and obtaining marketing approvals for any product candidates that we develop;</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231F20"/>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231F20"/>
        </w:rPr>
        <w:t>achieving adequate access and reimbursement by government and third-party payors for product candidates that we develop;</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231F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market acceptance of product candidates that we develop as viable treatment options;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231F20"/>
        </w:rPr>
        <w:t>addressing any competing technological and market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hanging="378"/>
        <w:spacing w:after="0" w:line="270"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231F20"/>
        </w:rPr>
        <w:t>negotiating favorable terms in any collaboration, licensing or other arrangements into which we may enter and performing our obligations in such collaborations;</w:t>
      </w:r>
    </w:p>
    <w:p>
      <w:pPr>
        <w:spacing w:after="0" w:line="154"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231F20"/>
        </w:rPr>
        <w:t>maintaining, protecting, enforcing and expanding our portfolio of intellectual property rights, including patents, trade secrets and know-how;</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231F20"/>
        </w:rPr>
        <w:t>defending against third-party interference, infringement or other intellectual property-related claims, if any;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231F20"/>
        </w:rPr>
        <w:t>attracting, hiring and retaining qualified personnel.</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Even if palazestrant, OP-3136 or any future product candidate that we may develop is approved for commercial sale, we anticipate incurring significant costs associated with commercializing any approved product candidate. Our expenses could increase beyond expectations if we are required by the FDA, EMA or other comparable regulatory authorities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terms of the Loan Agreement place restrictions on our operating and financial flexibility. If we raise additional capital through debt financing, the terms of any new debt could further restrict our ability to operate our business.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September 2023, we entered into a loan and security agreement, or the Loan Agreement, with Silicon Valley Bank, a division of First-Citizens Bank &amp; Trust Company, or the Bank, providing us with an aggregate principal amount of up to $50.0 million, or the Credit Facility, of which $ 25.0 million was available as of December 31, 2023 and up to $25.0 million of which may be made available upon approval of the Bank in its discretion. The Credit Facility will mature on August 1, 2027.</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overall leverage and certain obligations and affirmative and negative covenants contained in the Loan Agreement and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we default under the Loan Agreement, the Bank may accelerate all of our repayment obligations and exercise all of its rights and remedies under the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The Bank could declare a default upon the occurrence of customary events of default, including events that it interprets as a material adverse change as delineated in the Loan Agreement, payment defaults or breaches of certain affirmative or negative covenants, thereby requiring us to repay the loan immediately. Any declaration by the lender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future success is heavily dependent on our ability to timely complete clinical trials, obtain marketing approval for and successfully commercialize palazestrant, our lead product candidate. We expect that a substantial portion of our efforts and expenses over the next several years will be devoted to the development of palazestrant in our ongoing clinical trials in multiple indications. We are investing significant efforts and financial resources in the research and development of palazestrant. Palazestrant will require additional clinical development, evaluation of clinical, nonclinical and manufacturing activities, marketing approval from regulatory authorities, and significant marketing efforts before we can generate any revenues from product sales. We are not permitted to market or promote palazestrant before we receive marketing approval from the FDA and comparable foreign regulatory authorities, and we may never receive such marketing approvals. Should our planned clinical development of palazestrant in our lead indications fail to be completed in a timely manner or at all, we will need to rely on our ongoing and planned clinical development of palazestrant in additional indications, which will require more time and resources to obtain regulatory approval and proceed with commercialization and may ultimately be unsuccessful.</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cannot assure you that our planned clinical development programs for palazestrant will be completed in a timely manner, or at all, or that we will be able to obtain approval for palazestrant from the FDA, European Commission (based on the positive opinion of the EMA’s Committee for Medicinal Products for Human Use),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palazestrant or OP-3136, we will be unable to generate product revenue and our business, financial condition, results of operations and prospects will be significantly harmed.</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nonclinical studies and clinical trials of palazestrant, OP-3136 and any future product candidates we may develop may not be predictive of the results of subsequent clinical trials. We have a limited operating history and to date have not demonstrated our ability to complete large-scale clinical trials.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palazestrant, OP-3136 or product candidates we may develop in the future may also be undergoing surgical, radiation and chemotherapy treatments and may be using other approved products or investigational new drugs, which can cause side effects or adverse events that are unrelated to palazestrant, OP-3136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palazestrant, OP-3136 or any future product candidates we may develop.</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do not know whether our current clinical trial of palazestrant, OP-3136 or any future clinical trials we may conduct will demonstrate consistent or adequate efficacy and safety to obtain regulatory approval to market palazestrant, OP-3136 or any future product candidates we may develop. Most product candidates that begin clinical trials are never approved by regulatory authorities for commercialization. If we are unable to bring palazestrant, OP-3136 or any future product candidates to market, our ability to create long-term stockholder value will be limited.</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may rely in part on nonclinical, clinical and quality data generated by CROs and other third parties for regulatory submissions for palazestrant or OP-3136.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European Commission or comparable foreign regulatory authority approval. We cannot guarantee that the FDA or foreign regulatory authorities will interpret trial results as we do, and more trials could be required before we are able to submit an application seeking approval of palazestrant, OP-3136 or any future product candidates we may develop. To the extent that the results of the trials are not satisfactory to the FDA or foreign regulatory authorities for support of a marketing approval, we may be required to expend significant resources, which may not be available to us, to conduct additional trials in support of potential approval of palazestrant, OP-3136 or any future product candidates we may develop. Even if regulatory approval is secured for palazestrant or OP-3136, the terms of such approval may limit the scope and use of palazestrant or OP-3136, which may also limit its commercial potential. Furthermore, the approval policies or regulations of the FDA, European Commission or comparable foreign regulatory authorities may significantly change in a manner rendering our clinical data insufficient for approval, which may lead to the FDA, European Commission or comparable foreign regulatory authorities delaying, limiting or denying approval of palazestrant or OP-3136, including and any other indication we are seeking for approval under palazestrant or OP-3136.</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regulatory approval processes of the FDA, European Commission and comparable foreign authorities are lengthy, time consuming and inherently unpredictable, and if we are ultimately unable to obtain regulatory approval for palazestrant, OP-3136 or any future product candidates we may develop, our business, financial condition, results of operations and prospects will be significantly harmed.</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time required to obtain approval by the FDA, European Commission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Applications for palazestrant or OP-3136 could fail to receive regulatory approval for many reasons, including the following:</w:t>
      </w:r>
    </w:p>
    <w:p>
      <w:pPr>
        <w:spacing w:after="0" w:line="212" w:lineRule="exact"/>
        <w:rPr>
          <w:sz w:val="20"/>
          <w:szCs w:val="20"/>
          <w:color w:val="auto"/>
        </w:rPr>
      </w:pPr>
    </w:p>
    <w:p>
      <w:pPr>
        <w:ind w:left="760" w:hanging="378"/>
        <w:spacing w:after="0" w:line="270" w:lineRule="auto"/>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disagree with the design, implementation or results of our clinical trials;</w:t>
      </w:r>
    </w:p>
    <w:p>
      <w:pPr>
        <w:spacing w:after="0" w:line="154"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determine that palazestrant or OP-3136 is not safe and effective, only moderately effective or have undesirable or unintended side effects, toxicities or other characteristics that preclude our obtaining marketing approval or prevent or limit commercial use;</w:t>
      </w:r>
    </w:p>
    <w:p>
      <w:pPr>
        <w:spacing w:after="0" w:line="170"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disagree with our interpretation of data from nonclinical studies or clinical trials;</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data collected from clinical trials of palazestrant or OP-3136 may not be sufficient to support the submission of a NDA, or other submission or to obtain regulatory approval in the United States or elsewhere;</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unable to demonstrate to the FDA, European Commission or other comparable foreign regulatory authorities that palazestrant's or OP-3136’s risk-benefit ratio for its proposed indication is acceptable;</w:t>
      </w:r>
    </w:p>
    <w:p>
      <w:pPr>
        <w:spacing w:after="0" w:line="154"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EMA, the European Commission, the competent authorities of EU Member States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70"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231F20"/>
        </w:rPr>
        <w:t>the approval policies or regulations of the FDA, EMA, European Commission or other comparable foreign regulatory authorities may significantly change in a manner rendering our clinical data insufficient for approval.</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palazestrant or OP-3136, which would significantly harm our business, financial condition, results of operations and prospects.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even if we obtain approval of palazestrant or OP-3136 for a lead indication, regulatory authorities may not approve palazestrant or OP-3136 for other indications, may impose significant limitations in the form of narrow indications, warnings, or a Risk Evaluation and Mitigation Strategy, or REMS, or comparable foreign strategy. Certain regulatory authorities may grant approval contingent on the performance of costly post-marketing clinical trials or may approve palazestrant or OP-3136 with a label that does not include the labeling claims necessary or desirable for successful. In addition, regulatory authorities in certain countries may not approve the price we intend to charge for the product we develop. If we are unable to obtain regulatory approval of palazestrant or OP-3136, or if regulatory approval is limited, our business, financial condition, results of operation and prospects will be significantly harmed.</w:t>
      </w:r>
    </w:p>
    <w:p>
      <w:pPr>
        <w:spacing w:after="0" w:line="18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may experience delays in clinical trials of palazestrant, OP-3136 or any future product candidate we may develop. Our planned clinical trials may not begin on time, have an effective design, enroll a sufficient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of patients, or be completed on schedule, if at all. Our clinical trials can be delayed for a variety of reasons, including delays related to:</w:t>
      </w:r>
    </w:p>
    <w:p>
      <w:pPr>
        <w:spacing w:after="0" w:line="212" w:lineRule="exact"/>
        <w:rPr>
          <w:sz w:val="20"/>
          <w:szCs w:val="20"/>
          <w:color w:val="auto"/>
        </w:rPr>
      </w:pPr>
    </w:p>
    <w:p>
      <w:pPr>
        <w:ind w:left="760" w:hanging="378"/>
        <w:spacing w:after="0" w:line="270"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the FDA, EMA, the European Commission or comparable foreign regulatory authorities disagreeing as to the design or implementation of our clinical trials;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regulatory authorizations to commence a trial or reaching a consensus with regulatory authorities on trial design;</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approval from one or more institutional review boards, or IRBs;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IRBs refusing to approve or Ethics Committees issuing negative opinions, IRBs or Ethics Committees suspending, varying or terminating the trial at an investigational site, precluding enrollment of additional subjects, or withdrawing their approval of the trial;</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changes to clinical trial protocol;</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clinical sites deviating from trial protocol or dropping out of a trial;</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manufacturing sufficient quantities of product candidate or obtaining sufficient quantities of combination therapies for use in clinical trials;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failing to enroll or remain in our trial at the rate we expect, or failing to return for post- treatment follow-up;</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choosing an alternative treatment for the indication for which we are developing palazestrant or OP-3136, or participating in competing clinical trials;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lack of adequate funding to continue the clinical trial;</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experiencing severe or unexpected drug-related adverse effects;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authorities imposing a clinical hold;</w:t>
      </w:r>
    </w:p>
    <w:p>
      <w:pPr>
        <w:spacing w:after="0" w:line="224"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at the FDA and other agencies or regulatory authorities, including as a result of legislative actions or a government shutdown;</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occurrence of serious adverse events in trials of the same class of agents conducted by other companies;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shutdowns, either temporarily or permanently, of any facility manufacturing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 we may develop or any of their components, including by order from the FDA, competent authorities of EU Member States or comparable foreign regulatory authorities due to violations of current good manufacturing practice, or cGMP, regulations or other applicable requirements, or infections or cross-contaminations of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 we may develop in the manufacturing process;</w:t>
      </w:r>
    </w:p>
    <w:p>
      <w:pPr>
        <w:spacing w:after="0" w:line="1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any changes to our manufacturing process that may be necessary or desired;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760" w:hanging="378"/>
        <w:spacing w:after="0" w:line="252"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contractors not performing data collection or analysis in a timely or accurate manner; or</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could also encounter delays if a clinical trial is suspended, varied or terminated by us, by the IRBs or Ethics Committees of the institutions in which such trials are being conducted, by a Data Safety Monitoring Board for such trial or by the FDA, </w:t>
      </w:r>
      <w:r>
        <w:rPr>
          <w:rFonts w:ascii="Arial" w:cs="Arial" w:eastAsia="Arial" w:hAnsi="Arial"/>
          <w:sz w:val="18"/>
          <w:szCs w:val="18"/>
          <w:color w:val="231F20"/>
        </w:rPr>
        <w:t>competent authorities of</w:t>
      </w:r>
      <w:r>
        <w:rPr>
          <w:rFonts w:ascii="Arial" w:cs="Arial" w:eastAsia="Arial" w:hAnsi="Arial"/>
          <w:sz w:val="18"/>
          <w:szCs w:val="18"/>
          <w:color w:val="auto"/>
        </w:rPr>
        <w:t xml:space="preserve"> </w:t>
      </w:r>
      <w:r>
        <w:rPr>
          <w:rFonts w:ascii="Arial" w:cs="Arial" w:eastAsia="Arial" w:hAnsi="Arial"/>
          <w:sz w:val="18"/>
          <w:szCs w:val="18"/>
          <w:color w:val="231F20"/>
        </w:rPr>
        <w:t xml:space="preserve">EU Member States </w:t>
      </w:r>
      <w:r>
        <w:rPr>
          <w:rFonts w:ascii="Arial" w:cs="Arial" w:eastAsia="Arial" w:hAnsi="Arial"/>
          <w:sz w:val="18"/>
          <w:szCs w:val="18"/>
          <w:color w:val="000000"/>
        </w:rPr>
        <w:t>or comparable foreign regulatory authorities. Such authorities may impose such a suspension, variation or termination</w:t>
      </w:r>
      <w:r>
        <w:rPr>
          <w:rFonts w:ascii="Arial" w:cs="Arial" w:eastAsia="Arial" w:hAnsi="Arial"/>
          <w:sz w:val="18"/>
          <w:szCs w:val="18"/>
          <w:color w:val="231F20"/>
        </w:rPr>
        <w:t xml:space="preserve"> </w:t>
      </w:r>
      <w:r>
        <w:rPr>
          <w:rFonts w:ascii="Arial" w:cs="Arial" w:eastAsia="Arial" w:hAnsi="Arial"/>
          <w:sz w:val="18"/>
          <w:szCs w:val="18"/>
          <w:color w:val="000000"/>
        </w:rPr>
        <w:t xml:space="preserve">due to a number of factors, including failure to conduct the clinical trial in accordance with regulatory requirements or our clinical protocols, inspection of the clinical trial operations or trial site by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xml:space="preserve">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Ethics Committees, competent authorities of EU Member States for reexamination, which may impact the costs, timing or successful completion of a clinical trial.</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Further, conducting clinical trials in foreign countries, as we may do for palazestrant, OP-3136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we experience delays in the completion of, or termination of, any clinical trial of palazestrant, OP-3136 or any product candidates we may develop in the future, the commercial prospects of palazestrant, OP-3136 or any product candidates we may develop in the future will be harmed, and our ability to generate product revenues from palazestrant, OP-3136 or any product candidates we may develop in the future will be delayed. Moreover, any delays in completing our clinical trials will increase our costs, slow down palazestrant’s, OP-3136's or any product candidates we may develop in the future’s development and approval process and jeopardize our ability to commence product sales and generate revenues.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many of the factors that cause, or lead to, termination, variation or suspension of, or a delay in the commencement or completion of, clinical trials may also ultimately lead to the denial of regulatory approval of palazestrant, OP-3136 or any product candidates we may develop in the future. Any delays in our clinical trials that occur as a result could shorten any period during which we may have the exclusive right to commercialize palazestrant, OP-3136 or any product candidates we may develop in the future and our competitors may be able to bring products to market before we do, and the commercial viability of palazestrant, OP-3136 or any product candidates we may develop in the future could be significantly reduced. Any of these occurrences may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Although we have received Fast Track designation for palazestrant for ER+/HER2- metastatic breast cancer that has progressed following one or more lines of endocrine therapy with at least one line given in combination with a CDK4/6 inhibitor, we may be unable to obtain or maintain the benefits associated with such designation.</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July 2022, we were granted FDA Fast Track designation for palazestrant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Because we are pursuing a variety of target indications for palazestrant, we may expend our limited resources to pursue a particular indication and fail to capitalize on indications or additional product candidates that may be more profitable or for which there is a greater likelihood of success.</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currently focused on pursuing a variety of target indications for palazestrant, and we have expended, and plan to continue to expend, significant resources to pursue these and other indications for palazestrant.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approved, palazestrant or OP-3136 may not achieve adequate market acceptance among physicians, patients, healthcare payors and others in the medical community necessary for commercial success.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Even if palazestrant or OP-3136 receives regulatory approval, it may not gain adequate market acceptance among physicians, patients, healthcare payors and others in the medical community. The degree of market acceptance would depend on a number of factors, including:</w:t>
      </w:r>
    </w:p>
    <w:p>
      <w:pPr>
        <w:spacing w:after="0" w:line="154"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the timing of market introduction of the product candidate as well as competitive products;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the clinical indications for which the product candidate is approved;</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the use of palazestrant or OP-3136, such as boxed warnings or contraindications in labeling, or a REMS, or comparable foreign strategy, if any, which may not be required of alternative treatments and competitor products;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the potential and perceived advantages of product candidates over alternative treatments;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cost of treatment in relation to alternative treatments;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our pricing and the availability of coverage and adequate reimbursement by third-party payors, including government authorities;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the availability of palazestrant or </w:t>
      </w:r>
      <w:r>
        <w:rPr>
          <w:rFonts w:ascii="Arial" w:cs="Arial" w:eastAsia="Arial" w:hAnsi="Arial"/>
          <w:sz w:val="18"/>
          <w:szCs w:val="18"/>
          <w:color w:val="000000"/>
        </w:rPr>
        <w:t>OP-3136</w:t>
      </w:r>
      <w:r>
        <w:rPr>
          <w:rFonts w:ascii="Arial" w:cs="Arial" w:eastAsia="Arial" w:hAnsi="Arial"/>
          <w:sz w:val="18"/>
          <w:szCs w:val="18"/>
          <w:color w:val="231F20"/>
        </w:rPr>
        <w:t xml:space="preserve"> for use as a combination therapy;</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relative convenience and ease of administration;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willingness of the target patient population to try new therapies and of physicians to prescribe these therapies;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effectiveness of sales and marketing efforts;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unfavorable publicity relating to palazestrant, OP-3136 or similar approved products or product candidates in development by third parties; and</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approval of other new therapies for the same indications.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palazestrant or OP-3136 is approved but does not achieve an adequate level of acceptance by physicians, hospitals, healthcare payors and patients, we may not generate or derive sufficient revenue, which could significantly harm our business, financial condition, results of operations and prospects.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palazestrant, OP-3136 or any future product candidate we may develop, if we are unable to locate and enroll a sufficient number of eligible patients to participate in these trials to such trial’s conclusion as required by the FDA, EMA, the European Commission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palazestrant, OP-3136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spacing w:after="0" w:line="174"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size and nature of the patient population;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severity of the disease under investigation;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availability and efficacy of approved drugs for the disease under investigation;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patient eligibility criteria for the trial in question as defined in the protocol;</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perceived risks and benefits of the product candidate under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hanging="378"/>
        <w:spacing w:after="0" w:line="270" w:lineRule="auto"/>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efforts to facilitate timely enrollment in clinical trials;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patient referral practices of physicians;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the ability to monitor patients adequately during and after treatment;</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proximity and availability of clinical trial sites for prospective patients;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continued enrollment of prospective patients by clinical trial sites;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the risk that patients enrolled in clinical trials will drop out of the trials before completion or, because they may be late-stage cancer patients, will not survive the full terms of the clinical trials; and</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the level of resources that clinical sites have to conduct a growing number of clinical studies.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palazestrant, OP-3136 or any future product candidate we may develop and jeopardize our ability to obtain marketing approval for the sale of palazestrant, OP-3136 or any product candidate we may develop in the future. Furthermore, even if we are able to enroll a sufficient number of patients for our clinical trials, we may have difficulty maintaining enrollment of such patients in our clinical trials.</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intend to develop palazestrant, and may develop OP-3136 or future product candidates, in combination with other therapies, which exposes us to additional risks.</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intend to develop palazestrant, and may develop OP-3136 or other future product candidates, in combination with one or more other approved or unapproved therapies to treat cancer or other diseases. For example, we have a Phase 1/2 clinical study of palazestrant in a combination trial with a CDK4/6 inhibitor, and additional Phase 1/2 clinical studies of palazestrant in combination with another CDK4/6 inhibitor and with a PI3K</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inhibitor.</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Even if palazestrant, OP-3136 or any future product candidate we develop, were to receive marketing approval or be commercialized for use in combination with other existing therapies, we would continue to be subject to the risks that the FDA, the European Commission or comparable foreign regulatory authorities could revoke approval of the therapy used in combination with our product or that safety, efficacy, manufacturing or supply issues could arise with any of those existing therapies. If the therapies we use in combination with palazestrant, OP-3136 or any future product candidate we may develop, are replaced as the standard of care for the indications we choose for palazestrant, OP-3136 or any future product candidate we may develop, the FDA, the European Commission or comparable foreign regulatory authorities may require us to conduct additional clinical trials. The occurrence of any of these risks could result in our own product, if approved, being removed from the market or being less successful commercially.</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also may choose to evaluate palazestrant, OP-3136 or future product candidates in combination with one or more cancer therapies that have not yet been approved for marketing by the FDA, European Commission or comparable foreign regulatory authorities. We will not be able to market and sell palazestrant, OP-3136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palazestrant or OP-3136 currently in development and clinical trials, including the potential for serious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adverse effects, delay in their clinical trials and lack of FDA, European Commission or comparable foreign regulatory approval.</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FDA, European Commission or comparable foreign regulatory authorities do not approve these other drugs or revoke their approval of, or if safety, efficacy, quality, manufacturing or supply issues arise with, the drugs we choose to evaluate in combination with palazestrant, OP-3136 or future product candidates we may develop, we may be unable to obtain approval of or market such combination therapy.</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Risks associated with the in-licensing or acquisition of drug candidates could cause substantial delays in the preclinical and clinical development of our drug candidates.</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previously in-licensed product candidates, and we may acquire or in-license potential product candidates for in the future, as we continue to build our pipeline. Such arrangements with third parties may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candidates. Our rights to use any licensed intellectual property may be subject to the continuation of and our compliance with the terms of any such agreements.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palazestrant and OP-3136 are based on estimates and third-party sources.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incidence and prevalence for target patient populations of palazestrant or OP-3136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palazestrant, OP-3136 or any future product candidates we may develop may be harmed, which could significantly harm our business, financial condition, results of operations and prospects.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palazestrant or OP-3136.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palazestrant and OP-3136. Products we may develop in the future are also likely to face competition from other products and therapies, some of which we may not currently be aware. In addition, palazestrant, OP-3136 and any product candidate that we may develop in the future may need to compete with off-label drugs used by physicians to treat the indications for which we seek approval. This may make it difficult for us to replace existing therapies with palazestrant, OP-3136 and any product candidate that we may develop in the future.</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authorities,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For example, if we are successful in developing palazestrant, it may compete against existing products and product candidates in development, to the extent any such product candidates are approved, for the treatment of estrogen receptor- positive, or ER+, breast cancer, including fulvestrant, marketed as Faslodex® by AstraZeneca PLC and or any generic equivalents of Faslodex® that are marketed or in development; elacestrant, marketed as ORSERDU</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by Stemline Therapeutics Inc.; giredestrant (GDC-9545), being developed by Roche Holding AG/Genentech, Inc.; camizestrant (AZD9833), being developed by AstraZeneca PLC; imlunestrant (LY3484356), being developed by Eli Lilly and Co.; vepdegestrant (ARV-471), being developed by Arvinas, Inc. in partnership with Pfizer, Inc.; and lasofoxifene, being developed by Sermonix Pharmaceuticals. There is also a number of KAT6 inhibitor product candidates in development that may compete with OP-3136 including PF-07248144, which is being developed by Pfizer.</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the European Commission or other comparable foreign regulatory authorities or in discovering, developing and commercializing products in our field before we do.</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the European Commission or other comparable foreign regulatory authorities for their products more rapidly than we may obtain approval for ours, which could result in our competitors establishing a strong market position before we are able to enter the market. Even if palazestrant, OP-3136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palazestrant, OP-3136 or product candidates we may develop in the future obsolete, less competitive or not economical. If we are unable to compete effectively, our opportunity to generate revenue from the sale of our product we may develop, if approved, would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palazestrant manufacturing or formulation may result in additional costs or delay.</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palazestrant progresses through nonclinical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palazestrant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palazestrant and jeopardize our ability to commercialize palazestrant, if approved, and generate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Any product candidate we develop may become subject to unfavorable third-party coverage and reimbursement practices, as well as pricing regulations.</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palazestrant, OP-3136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palazestrant, OP-3136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 -party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palazestrant, OP-3136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European countries, Canada and other countries has and will continue to put pressure on the pricing and usage of therapeutics such as palazestrant, OP-3136 or any future product candidates we may develop. In many countries, particularly European Union Member States, medical product prices are subject to varying price control mechanisms as part of national health systems. In these countries, pricing negotiations with governmental authorities can take considerable time after a product receives marketing approval.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reimbursement or pricing approval in some countries, we may be required to conduct a clinical trial that compares the cost-effectiveness of palazestrant, OP-3136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palazestrant, OP-3136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palazestrant, OP-3136 or any future product candidates we may develop.</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Government authorities promulgate regulations and guidelines directly applicable to us and to palazestrant, OP-3136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authorities or these other groups or organizations may relate to such matters as usage, dosage, route of administration and use of concomitant therapies. Recommendations or guidelines suggesting the reduced use of palazestrant, OP-3136 or any future product candidates we may develop or the use of competitive or alternative products as the standard of care to be followed by patients and healthcare providers could result in decreased use of palazestrant, OP-3136 or any future product candidates we may develop.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palazestrant, OP-3136 or any future product candidate we may develop.</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Palazestrant and OP-3136 are,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time-consuming, uncertain and subject to unanticipated delays. We cannot provide any assurance that palazestrant, OP-3136 or any product candidate we may develop will progress through required clinical testing and obtain the regulatory approvals necessary for us to begin selling them.</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the European Commission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the European Commission or other comparable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regulatory authorities’ policies during the period of drug development, clinical trials and FDA, EMA, the European Commission or other comparable foreign regulatory authorities’ regulatory review.</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also become subject to numerous foreign regulatory requirements governing, among other things, the conduct of clinical trials and manufacturing of palazestrant or OP-3136.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competent authorities of EU Member States, or other regulatory authority investigation of the safety and effectiveness of our product, our manufacturing processes and facilities or our marketing programs. The FDA, EMA, competent authorities of EU Member States or other regulatory authority investigations could potentially lead to a recall of our product or more serious enforcement action, limitations on the approved indications for which it may be used or suspension, variation,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palazestrant or OP-3136,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Palazestrant, OP-3136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is the case with pharmaceuticals generally, there have been side effects and adverse events associated with the use of palazestrant, and it is likely that there may be additional side effects and adverse events associated with the use of palazestrant, OP-3136 or any future product candidates we may develop. Results of our clinical trials could reveal a high and unacceptable severity and prevalence of side effects or unexpected characteristics. Undesirable side effects caused by palazestrant, OP-3136 or any future product candidates we may develop could cause us or regulatory authorities to interrupt, delay or halt clinical trials and could result in a more restrictive label or the delay or denial of regulatory approval by the FDA, the European Commission,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palazestrant, OP-3136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nonclinical studies or previous clinical trials. Palazestrant, OP-3136 or any future product candidates we may develop, may be used as chronic therapies or be used in pediatric populations, for which safety concerns may be particularly scrutinized by regulatory authorities. In addition, if palazestrant, OP-3136 or any future product candidates we may develop, are used in combination with other therapies, palazestrant, OP-3136 or any future product candidates we may develop may exacerbate adverse events associated with the therapy and it may not be possible to determine whether it was caused by our product or the one with which it was combined. Patients treated with palazestrant, OP-3136 or any future candidates we may develop, may also be undergoing surgical, radiation and chemotherapy treatments, which can cause side effects or adverse events that are unrelated to palazestrant, OP-3136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cs="Arial" w:eastAsia="Arial" w:hAnsi="Arial"/>
          <w:sz w:val="18"/>
          <w:szCs w:val="18"/>
          <w:color w:val="231F20"/>
        </w:rPr>
        <w:t>competent authorities of EU Member States</w:t>
      </w:r>
      <w:r>
        <w:rPr>
          <w:rFonts w:ascii="Arial" w:cs="Arial" w:eastAsia="Arial" w:hAnsi="Arial"/>
          <w:sz w:val="18"/>
          <w:szCs w:val="18"/>
          <w:color w:val="auto"/>
        </w:rPr>
        <w:t>, other comparable regulatory authorities or an IRB or Ethics Committee may suspend, vary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palazestrant or OP-3136 obtains marketing approval, toxicities associated with palazestrant or OP-3136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palazestrant or OP-3136 will cause toxicities in humans that would preclude or lead to the revocation of regulatory approval based on nonclinical studies or early-stage clinical trials.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FDA, EMA, the European Commission and other comparable foreign regulatory authorities may not accept data from trials conducted in locations outside of their jurisdiction.</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currently plan to conduct international clinical trials and may choose to conduct additional international clinical trials in the future. The acceptance of study data by the FDA, EMA, the European Commission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the European Commission or any applicable foreign regulatory authority will accept data from trials conducted outside of its applicable jurisdiction. If the FDA, EMA, the European Commission or any applicable foreign regulatory authority does not accept such data, it would result in the need for additional trials, which would be costly and time-consuming and delay aspects of our business plan, and which may result in palazestrant, OP-3136 or any future product candidates we may develop not receiving approval for commercialization in the applicable jurisdiction.</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regulatory approval of palazestrant, OP-3136 or any product candidate we develop in the future, in one jurisdiction does not mean that we will be successful in obtaining regulatory approval of palazestrant, OP-3136 or any product candidate we develop in the future, in other jurisdictions.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Obtaining and maintaining regulatory approval of palazestrant, OP-3136 or any product candidate we develop in the future, in one jurisdiction does not guarantee that we will be able to obtain or maintain regulatory approval in any other jurisdiction. For example, even if the FDA, the European Commission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palazestrant, OP-3136 or any product candidate we develop in the future, will be harmed.</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palazestrant, OP-3136 or any product candidate we develop in the future, receives regulatory approval, it will be subject to significant post-marketing regulatory requirements and oversight.</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regulatory approvals that we may receive for palazestrant, OP-3136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palazestrant, which could entail requirements for a medication guide, physician training and communication plans or additional elements to ensure safe use, such as restricted distribution methods, patient registries and other risk minimization tools. In addition, if the FDA, the European Commission or applicable foreign regulatory authorities approve palazestrant, OP-3136 or any product candidate we develop in the future, the manufacturing processes, labeling, packaging, distribution, adverse event reporting, storage, advertising, promotion, import, export and recordkeeping for palazestrant or OP-3136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EU and other foreign regulatory requirements may subject our company to administrative or judicially imposed sanctions, including:</w:t>
      </w:r>
    </w:p>
    <w:p>
      <w:pPr>
        <w:spacing w:after="0" w:line="165"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delays in or the rejection of product approvals;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the products, manufacturers or manufacturing process;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warning letters;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civil and criminal penalties;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injunctions;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suspension, variation or withdrawal of regulatory approvals;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product seizures, detentions or import bans;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voluntary or mandatory product recalls and publicity requirements;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total or partial suspension of production;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occurrence of any event or penalty described above may inhibit our ability to commercialize palazestrant, OP-3136 or any product candidate we may develop in the future and generate revenue and could require us to expend significant time and resources in response and could generate negative publicity.</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palazestrant, OP-3136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authorities actively enforce the laws and regulations prohibiting the promotion of off-label uses.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palazestrant, OP-3136 or any future product candidate we may develop is approved for marketing, and we are found to have improperly promoted off-label uses of those products, we may become subject to significant liability. The FDA and other regulatory authorities strictly regulate the promotional claims that may be made about prescription products, such as palazestrant, OP-3136 or any future product candidates we may develop, if approved. In particular, a product may not be promoted for uses that are not approved by the FDA or such other regulatory authorities as reflected in the product’s approved labeling. If we receive marketing approval for palazestrant, OP-3136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palazestrant, OP-3136 or any future product candidates we may develop, if approved, we could become subject to significant liability, which would significantly harm our business, financial condition, results of operations and prospects.</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Disruptions at the FDA, EMA, the European Commission applicable foreign regulatory authorities, the SEC, and other government agencies and regulatory authorities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 functions on which the operation of our business may rely, which could significantly harm our business, financial condition, results of operations and prospects.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ability of the FDA, EMA, the European Commission or any applicable foreign regulatory authority to review and approve new products can be affected by a variety of factors, including, as applicable government budget and funding levels, ability to hire and retain key personnel and accept the payment of user fees, and statutory, regulatory, and policy changes, and other events that may otherwise affect the FDA, EMA or any applicable foreign regulatory authority’s ability to perform routine functions. Average review times at the authorities have fluctuated in recent years as a result and could be delayed. In addition, government funding of the SEC and other government authorities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Disruptions at the FDA and other authorities may also slow the time necessary for new drugs to be reviewed and/or approved by necessary government authorities, which would adversely affect our business.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We may attempt to secure approval from the FDA, the European Commission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approval from the FDA, the European Commission or comparable foreign regulatory authorities through accelerated approval pathways, if our confirmatory trials do not verify clinical benefit, or if we do not comply with rigorous post-marketing requirements, the FDA, the European Commission or comparable foreign regulatory authorities may seek to withdraw their approval.</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in the future seek approval for palazestrant, OP-3136 or future product candidates we may develop through accelerated approval pathways.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Prior to seeking accelerated approval for palazestrant or OP-3136,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palazestrant or OP-3136,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palazestrant or OP-3136 would result in a longer time period to commercialization of such product candidate, could increase the cost of development of palazestrant or OP-3136 and could harm our competitive position in the marketplace.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Existing regulatory policies may change, and additional regulations may be enacted that could prevent, limit or delay regulatory approval of palazestrant, OP-3136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until 2032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100% of a drug’s average manufacturer price, for single source and innovator multiple source drugs, beginning January 1, 2024. These laws may result in additional reductions in Medicare and other healthcare funding, which could have a material adverse effect on potential customers for our drugs, if approved, and accordingly, our business.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example, at the federal level,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the IRA, among other things,</w:t>
      </w:r>
    </w:p>
    <w:p>
      <w:pPr>
        <w:jc w:val="both"/>
        <w:ind w:firstLine="8"/>
        <w:spacing w:after="0" w:line="236" w:lineRule="auto"/>
        <w:tabs>
          <w:tab w:leader="none" w:pos="2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directs HHS to negotiate the price of certain high-expenditure single-source drugs and biologics covered under Medicare and (2)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currently unclear how the IRA will be implemented but is likely to have a significant impact on the pharmaceutical industry.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or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or CTIS. The CTR provides a three-year transition period. The extent to which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clinical trials will be governed by the CTR varies. For clinical trials in relation to which an application for approval was made on the basis of the Clinical Trials Directive before January 31, 2023, the CTD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spacing w:after="0" w:line="1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and will apply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 In light of the fact that the United Kingdom ("UK") has left the EU, Regulation No 2021/2282 on HTA will not apply in the UK. However, the UK Medicines and Healthcare products Regulation Agency (“MHRA”)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opportunities for our product candidates in the EU.</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expect that the recent reform activity,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palazestrant, OP-3136 or any future product candidates we may develop.</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palazestrant, OP-3136 or any future product candidates we may develop, if any,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state and foreign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our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spacing w:after="0" w:line="176" w:lineRule="exact"/>
        <w:rPr>
          <w:sz w:val="20"/>
          <w:szCs w:val="20"/>
          <w:color w:val="auto"/>
        </w:rPr>
      </w:pPr>
    </w:p>
    <w:p>
      <w:pPr>
        <w:jc w:val="both"/>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6"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6"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179" w:lineRule="exact"/>
        <w:rPr>
          <w:rFonts w:ascii="Times New Roman" w:cs="Times New Roman" w:eastAsia="Times New Roman" w:hAnsi="Times New Roman"/>
          <w:sz w:val="18"/>
          <w:szCs w:val="18"/>
          <w:color w:val="auto"/>
        </w:rPr>
      </w:pPr>
    </w:p>
    <w:p>
      <w:pPr>
        <w:jc w:val="both"/>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cs="Arial" w:eastAsia="Arial" w:hAnsi="Arial"/>
          <w:sz w:val="18"/>
          <w:szCs w:val="18"/>
          <w:color w:val="000000"/>
        </w:rPr>
        <w:t xml:space="preserve">doctors, dentists, optometrists, podiatrists and chiropractors), other healthcare professionals (such as physician assistants and nurse practitioners), </w:t>
      </w:r>
      <w:r>
        <w:rPr>
          <w:rFonts w:ascii="Arial" w:cs="Arial" w:eastAsia="Arial" w:hAnsi="Arial"/>
          <w:sz w:val="18"/>
          <w:szCs w:val="18"/>
          <w:color w:val="231F20"/>
        </w:rPr>
        <w:t>and teaching hospitals, as well as information regarding ownership and investment interests held by physicians</w:t>
      </w:r>
      <w:r>
        <w:rPr>
          <w:rFonts w:ascii="Arial" w:cs="Arial" w:eastAsia="Arial" w:hAnsi="Arial"/>
          <w:sz w:val="18"/>
          <w:szCs w:val="18"/>
          <w:color w:val="000000"/>
        </w:rPr>
        <w:t xml:space="preserve"> </w:t>
      </w:r>
      <w:r>
        <w:rPr>
          <w:rFonts w:ascii="Arial" w:cs="Arial" w:eastAsia="Arial" w:hAnsi="Arial"/>
          <w:sz w:val="18"/>
          <w:szCs w:val="18"/>
          <w:color w:val="231F20"/>
        </w:rPr>
        <w:t>and their immediate family members. The information reported is publicly available on a searchable website, with disclosure required annually;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760" w:hanging="378"/>
        <w:spacing w:after="0" w:line="252" w:lineRule="auto"/>
        <w:tabs>
          <w:tab w:leader="none" w:pos="7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analogous state and foreign laws and regulations, such as state and foreign anti-kickback and false claims laws, may apply to sales or marketing arrangements and claims involving healthcare items or services reimbursed by non- governmental third-party payors, including private insurers.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For example, much like the federal Anti-Kickback Statute prohibition in the United States, the provision of benefits or advantages to physicians to induce or encourage the prescription, recommendation, endorsement, purchase, supply, order or use of medicinal products is also prohibited in EU Member States. In addition, payments made to physicians in certain EU Member States must be publicly disclosed. Moreover, in some EU Member States agreements with healthcare professionals may be the subject of prior notification and approval by the healthcare professional’s’ public employer, his or her competent professional organization and/or the national competent regulatory authorities.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Some state and foreign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and foreign laws may require biotechnology companies to report information on the pricing of certain drug products. Some state and local laws may require the registration of pharmaceutical sales representatives.</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many of which differ from each other in significant ways and often are not preempted by HIPAA, thus complicating compliance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Outside the United States, an increasing number of laws, regulations, and industry standards govern data privacy and security. For example, the European Union’s General Data Protection Regulation (“EU GDPR”), the United Kingdom’s GDPR (“UK GDPR”), impose strict requirements for processing personal data, including, the collection and use of health data. For example, under the GDPR, companies may face temporary or definitive bans on data processing and other corrective actions; fines of up to 20 million Euros under the EU GDPR, 17.5 million British Pounds under the UK GDPR or, in each case, 4% of annual global revenue, whichever is higher; or private litigation related to processing of personal data brought by classes of data subjects or consumer protection organizations authorized at law to represent their interests.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 the transfer of personal data to the United States and other countries whose privacy laws are considered ‘inadequate’. Other jurisdictions may adopt similarly stringent interpretations of their data localization and cross-border data transfer laws.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EU-U.S. Data Privacy Framework (which allows for transfers for relevant U.S.-based organizations who self-certify compliance and participate in the Framework), all such mechanisms are subject to legal challenges, and there is no assurance that we can always satisfy or rely on these mechanisms to lawfully effect cross-border transfers of personal data where required. If there is no lawful manner for us to effect or be the recipient of cross-border transfers of personal data in compliance with the EU GDPR and/or UK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United States, numerous federal and state laws and regulations, including state personal information laws, state data breach notification laws, and federal and state consumer protection laws and regulations govern the collection, use, disclosure and protection of personal information. For example, the California Consumer Privacy Act, or CCPA,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California voters approved a new privacy law, the California Privacy Rights Act, or CPRA, which went into effect on January 1, 2023. The CPRA significantly modifies the CCPA, including by expanding consumers’ rights with respect to certain sensitive personal information. The CPRA also creates a new state agency that will be vested with authority to implement and enforce the CCPA and the CPRA. In addition, other states have enacted or proposed data privacy laws. For example, at least 11 states have passed comprehensive privacy laws that have or will go into effect. While some of these state laws, like the CCPA, exempt some data processed in the context of clinical trials, these laws demonstrate our vulnerability to the evolving regulatory environment related to personal information and make it difficult to predict the impact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also bound by contractual obligations related to data privacy and security, and our efforts to comply with such obligations may not be successful. Moreover, we publish privacy policies and other statements, such as compliance with certain certifications or self-regulatory principles,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financial condition, results of operations and prospects.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actual or perceived failure by us or the third parties on which we rely to comply with these laws, regulations, or other obligations may lead to significant consequences, including but not limited to fines, penalties, regulatory investigations, lawsuits, significant costs for remediation, damage to our reputation, bans on processing personal data, orders to destroy or not use personal data, or other liabilities.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employees and personnel may use generative artificial intelligence, or AI, technologies to perform their work, and the disclosure and use of personal information in generative AI technologies is subject to various privacy laws and other privacy obligations. Governments have passed and are likely to pass additional laws regulating generative AI, such as the EU AI Act.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inability to adequately address data privacy or security-related concerns, even if unfounded, or to comply with applicable laws, regulations, standards and other obligations relating to data privacy and security,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We attempt to mitigate the associated risks but there is no assurance that privacy and security-related safeguards will protect us from all risks associated with the third-party processing, storage and transmission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or other comparable foreign regulations, provide accurate information to the FDA or other comparable regulatory authorities, comply with federal and state health care fraud and abuse laws and regulations and comparable foreign requirements,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or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Unfavorable U.S. and global macroeconomic and geopolitical conditions could adversely affect our business, financial condition and results of operations.</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results of operations could be adversely affected by general conditions in the U.S. and global economies, the U.S. and global financial markets and adverse geopolitical and macroeconomic developments, including the ongoing conflict between Ukraine and Russia and related sanctions, armed conflict between Israel and groups based in surrounding regions, labor shortages, inflation rates and the responses by central banking authorities to control inflation, monetary supply shifts and related financial instability. U.S. and global market and economic conditions have been, and continue to be, disrupted and volatile due to many factors, including component shortages and related supply chain challenges, geopolitical developments, including the events noted above.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severe or prolonged global economic downturn could result in a variety of risks to our business.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palazestrant, OP-3136 or any other product candidate will be limited and the potential for successfully growing our business will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palazestrant, OP-3136 or any product candidate we may develop in the future, we may not be able to successfully sell or market palazestrant, OP-3136 or any future product candidate we may develop that obtain regulatory approval.</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palazestrant, OP-3136 or any future product candidate we may develop. We may not be successful in accomplishing these required tasks.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palazestrant, OP-3136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palazestrant, OP-3136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palazestrant, OP-3136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Factors that may affect our ability to commercialize palazestrant, OP-3136 or any future product candidate we may develop, on our own include recruiting and retaining adequate numbers of effective sales and marketing personnel, obtaining access to or our failure to educate physicians on the benefits of prescribing or ordering palazestrant, OP-3136 or any future product candidates we may develop and other unforeseen costs associated with creating an independent sales and marketing organization. Developing a sales and marketing organization will be expensive and time-consuming and could delay the launch of palazestrant, OP-3136 or any future product candidate we may develop. We may not be able to build an effective sales and marketing organization. If we are unable to build our own distribution and marketing capabilities or to find suitable partners for the commercialization of palazestrant, OP-3136 or any future product candidate we may develop, we may not generate revenues from such product candidate or be able to reach or sustain profitability.</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January 31, 2024, we had 74 employees, all of whom were full-time, including 45 employees engaged in research and development. In order to successfully implement our development and commercialization plans and strategies, we expect to need additional managerial, operational, sales, marketing, financial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personnel. Future growth would impose significant added responsibilities on members of management, including:</w:t>
      </w:r>
    </w:p>
    <w:p>
      <w:pPr>
        <w:spacing w:after="0" w:line="212"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authorities’ review process for palazestrant, OP-3136 and any other future product candidates we may develop, while complying with any contractual obligations to contractors and other third parties we may have;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we expect to be conducting multiple clinical trials of palazestrant for several different indications as well as clinical trials for OP-3136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palazestrant, OP-3136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palazestrant, OP-3136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palazestrant, OP-3136 and any other future product candidates we may develop and, accordingly, may not achieve our research, development and commercialization goals.</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Our internal information technology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our business, we and the third parties upon which we rely, collect, receive, store, process, generate, use, transfer, disclose, make accessible, protect, secure, dispose of, transmit, and share (collectively, processing) proprietary, confidential, and sensitive data, including personal data (such as health-related data), intellectual property, trade secrets (collectively, sensitive information). 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1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Despite the implementation of preventative and detective security measures, our internal computer systems and those of our current and any future CROs and other contractors, consultants, collaborators and third-party service providers that process our sensitive information, there can be no assurance that these measures will be effective.</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may not be able to anticipate all types of security incidents, and we may not be able to implement preventive measures effective against all such security incidents. A security incident or other interruption could disrupt our ability (and that of third parties upon whom we rely) to run our business. 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We have in the past and may in the future be subject to security incidents. For instance, we have had company laptops containing corporate information stolen from company offices, though none of such instances have been material or caused material harm.</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Moreover, in November 2021, we were alerted to an incident involving falsified information circulating on social media relating to our planned poster presentation for the Phase 1 dose-escalation portion of the ongoing Phase 1/2 clinical study of palazestrant at the San Antonio Breast Cancer Symposium. 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palazestrant,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palazestrant or OP-3136 could be delayed, and we could be subject to significant fines or penalties for any noncompliance with certain state, federal and/or international privacy and security laws.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 in the European Member States.</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intend to seek approval to market palazestrant or OP-3136 in both the United States and in selected foreign jurisdictions. If we obtain approval in one or more foreign jurisdictions for palazestrant or OP-3136, we will be subject to rules and regulations in those jurisdictions. In some foreign countries, particularly those in the European Union, the pricing of drugs is subject to governmental control and other market regulations which could put pressure on the pricing and usage of palazestrant or OP-3136. In these countries, pricing negotiations with governmental authorities can take considerable time after obtaining marketing approval of a product candidate. In addition, market acceptance and sales of palazestrant or OP-3136 will depend significantly on the availability of adequate coverage and reimbursement from third-party payors for palazestrant or OP-3136 and may be affected by existing and future healthcare reform measures.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Moreover,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An EU Member State may approve a specific price for the medicinal product,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products by the competent authorities of individual EU Member States. The extent to which pricing and reimbursement decisions are influenced by the HTA of the specific medicinal product currently varies between EU Member States.</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Legislators, policymakers and healthcare insurance funds in the EU may continue to propose and implement cost-containing measures to keep healthcare costs down, particularly due to the financial strain that the COVID-19 pandemic placed on national healthcare systems of EU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ability to develop palazestrant, OP-3136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net operating loss, or NOL, carryforwards could expire unused and be unavailable to offset future income tax liabilities because of their limited duration or other restrictions. Under current U.S. federal tax law, federal NOL carryforwards generated in tax years ending on or prior to December 31, 2017, are only permitted to be carried forward for 20 taxable years and federal NOL carryforwards generated in tax years ending after December 31, 2017, may be carried forward indefinitely, but the deductibility of such federal NOL carryforwards is limited to 80% of current year taxable income. It is uncertain if and to what extent various states will conform to current U.S. federal tax law.</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 carryforwards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 carryforwards could be limited by an “ownership change” as described above and consequently, we may not be able to utilize a material portion of our NOL carryforwards and certain other tax attributes, which could have a material adverse effect on our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 variety of risks associated with marketing palazestrant, OP-3136 or any future product candidate we may develop internationally could significantly harm our business, financial condition, results of operations and prospects.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plan to seek regulatory approval of palazestrant, OP-3136 or any future product candidates we may develop outside of the United States and, accordingly, we expect that we will be subject to additional risks related to operating in foreign countries if we obtain the necessary approvals, including:</w:t>
      </w:r>
    </w:p>
    <w:p>
      <w:pPr>
        <w:spacing w:after="0" w:line="169"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foreign taxes, including withholding of payroll taxes;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difficulties staffing and managing foreign operations;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potential liability under the FCPA or comparable foreign regulations;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and other risks associated with our international operations may significantly harm our business, financial condition, results of operations and prospects.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palazestrant, OP-3136 and any future product candidates that we may develop and technologies related to their various uses. We generally seek to protect our proprietary position by, among other things, filing patent applications in the United States and abroad related to palazestrant, OP-3136,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position by acquiring or in-licensing relevant issued patents or pending applications from third parties. If we or our potential licensors are unable to obtain or maintain patent protection with respect to palazestrant, OP-3136, proprietary technologies and their uses, our business, financial condition, results of operations and prospects could be significantly harmed.</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palazestrant, OP-3136 or any future product candidates we may develop could significantly harm our business, financial condition, results of operations and prospects.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palazestrant, OP-3136 or any future product candidates we may develop by obtaining and defending patents. These risks and uncertainties include the following:</w:t>
      </w:r>
    </w:p>
    <w:p>
      <w:pPr>
        <w:spacing w:after="0" w:line="169" w:lineRule="exact"/>
        <w:rPr>
          <w:sz w:val="20"/>
          <w:szCs w:val="20"/>
          <w:color w:val="auto"/>
        </w:rPr>
      </w:pPr>
    </w:p>
    <w:p>
      <w:pPr>
        <w:jc w:val="both"/>
        <w:ind w:left="760" w:hanging="378"/>
        <w:spacing w:after="0" w:line="252"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patent applications must be filed in advance of certain events (</w:t>
      </w:r>
      <w:r>
        <w:rPr>
          <w:rFonts w:ascii="Arial" w:cs="Arial" w:eastAsia="Arial" w:hAnsi="Arial"/>
          <w:sz w:val="18"/>
          <w:szCs w:val="18"/>
          <w:i w:val="1"/>
          <w:iCs w:val="1"/>
          <w:color w:val="231F20"/>
        </w:rPr>
        <w:t>e.g.,</w:t>
      </w:r>
      <w:r>
        <w:rPr>
          <w:rFonts w:ascii="Arial" w:cs="Arial" w:eastAsia="Arial" w:hAnsi="Arial"/>
          <w:sz w:val="18"/>
          <w:szCs w:val="18"/>
          <w:color w:val="231F20"/>
        </w:rPr>
        <w:t xml:space="preserve"> third party filings, certain sales or offers for sale, or other activities that might be legally deemed to be public disclosures) and we might not be aware of such events or otherwise might not succeed in filing applications before they occur;</w:t>
      </w:r>
    </w:p>
    <w:p>
      <w:pPr>
        <w:spacing w:after="0" w:line="170"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the USPTO and various foreign governmental patent authorities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patent applications may not result in any patents being issued;</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patents may be challenged, invalidated, modified, revoked, circumvented, found to be unenforceable or otherwise may not provide any competitive advantage;</w:t>
      </w:r>
    </w:p>
    <w:p>
      <w:pPr>
        <w:spacing w:after="0" w:line="154"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hanging="378"/>
        <w:spacing w:after="0" w:line="270" w:lineRule="auto"/>
        <w:tabs>
          <w:tab w:leader="none" w:pos="7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palazestrant or OP-3136 or which effectively prevent others from commercializing competitive technologies and product candidates.</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palazestrant, OP-3136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be subject to a third-party pre-issuance submission of prior art to the USPTO or other jurisdictions, or become involved in post-grant challenges such as opposition, derivation, revocation, reexamination, post-grant review, or PGR, and inter partes 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palazestrant, OP-3136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palazestrant, OP-3136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54"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we may not be able to detect infringement of our issued patents;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5"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hanging="378"/>
        <w:spacing w:after="0" w:line="270" w:lineRule="auto"/>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others may be able to develop products that are similar to palazestrant, or any future product candidates we may develop, but that are not covered by the claims of the patents that we may in-license in the future or own;</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our competitors may seek or may have already obtained patents that will limit, interfere with or eliminate our ability to make, use and sell palazestrant or any future product candidates we may develop;</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we, or our current or future collaborators or license partners, might not have been the first to make the inventions covered by the issued patents or patent application that we may in-license in the future or own;</w:t>
      </w:r>
    </w:p>
    <w:p>
      <w:pPr>
        <w:spacing w:after="0" w:line="154"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we, or our current or future collaborators or license partners, might be found not have been the first to file patent applications covering certain of our or their inventions;</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it is possible that the pending patent applications we may in-license in the future or own will not lead to issued patents;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it is possible that there are prior public disclosures that could invalidate our patents, or parts of our patents, for which we are not aware;</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issued patents that we hold rights to may be held invalid or unenforceable, as a result of legal challenges by our competitors;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issued patents may not have sufficient term or geographic scope to provide meaningful protection;</w:t>
      </w:r>
    </w:p>
    <w:p>
      <w:pPr>
        <w:spacing w:after="0" w:line="224"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we may not develop additional proprietary technologies that are patentable;</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the patents of others may have an adverse effect on our business; and</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we may choose not to file a patent in order to maintain certain trade secrets, and a third party may subsequently file a patent covering such 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palazestrant or any future product candidates we may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entities may have or obtain patents or proprietary rights that could limit our ability to make, use, sell, offer for sale or import palazestrant, OP-3136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palazestrant, OP-3136 or any future product candidates we may develop. There may be third-party patents or patent applications with claims to compositions, formulations, methods of manufacture or methods for treatment related to the use or manufacture of palazestrant, OP-3136 or any future product candidates we may develop. For example, we are aware of certain third-party patent applications and patents in the United States and abroad that include disclosure of chemical structures sharing certain similarities with palazestrant. It is possible that one or more of such third parties could pursue patent claims or assert patent claims that allegedly encompass palazestrant.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the biopharmaceutical industry expands and more patents are issued, the risk increases that palazestrant, OP-3136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palazestrant, OP-3136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palazestrant, OP-3136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Any claims of patent infringement, misappropriation or other violations asserted by third parties would be time consuming and could:</w:t>
      </w:r>
    </w:p>
    <w:p>
      <w:pPr>
        <w:spacing w:after="0" w:line="212"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result in costly litigation that may cause negative publicity;</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cause development delays;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prevent us from commercializing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subject us to significant liability to third parties; or</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palazestrant, OP-3136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palazestrant, OP-3136 or any future product candidates we may develop processes to avoid infringement, if necessary.</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 adverse determination in a judicial or administrative proceeding, or the failure to obtain necessary licenses, could prevent us from developing and commercializing palazestrant, OP-3136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palazestrant, OP-3136 and future product candidates and technologies.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from third parties for that we identify as necessary for palazestrant or OP-3136 through acquisitions and in-licenses.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While we may have issued patents that cover palazestrant or OP-3136, it is possible that third parties may have blocking patents that prevent us from marketing, manufacturing or commercializing our own patented products and practicing our own patented technology.</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palazestrant, OP-3136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could be found invalid or unenforceable if challenged in court.</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palazestrant, OP-3136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palazestrant, OP-3136 or any future product candidates to market. Should any of these events occur, it could significantly harm our business, financial condition, results of operations and prospects.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1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 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w:t>
      </w:r>
    </w:p>
    <w:p>
      <w:pPr>
        <w:spacing w:after="0" w:line="8" w:lineRule="exact"/>
        <w:rPr>
          <w:sz w:val="20"/>
          <w:szCs w:val="20"/>
          <w:color w:val="auto"/>
        </w:rPr>
      </w:pPr>
    </w:p>
    <w:p>
      <w:pPr>
        <w:ind w:firstLine="8"/>
        <w:spacing w:after="0" w:line="250" w:lineRule="auto"/>
        <w:tabs>
          <w:tab w:leader="none" w:pos="2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 any patent application related to palazestrant, OP-3136 or any future product candidate we may develop or (2) invent any of the inventions claimed in the patents or patent applications.</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spacing w:after="0" w:line="18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palazestrant, OP-3136 or any future product candidates we may develop.</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issuing patents.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palazestrant, OP-3136 or any future product candidates we may develop for an adequate amount of time.</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palazestrant, OP-3136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for palazestrant, OP-3136 or any future product candidates we may develop, our business, financial condition, results of operations and prospects may be significantly harmed.</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Depending upon the timing, duration and specifics of FDA marketing approval of palazestrant, OP-3136 or any future product candidates we may develop, one or more of our U.S. patents or those of our licensors may be eligible for limited patent term restoration under the Drug Price Competition and Patent Term Restoration Act of 1984, or the Hatch- 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palazestrant, OP-3136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palazestrant, OP-3136 or any future product candidates we may develop, without any available recourse.</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authorities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authorities, and our patent protection could be reduced or eliminated for non-compliance with these requirements.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8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palazestrant, OP-3136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 may be subject, in part, to the terms and conditions of licenses granted to us by others.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may enter into license agreements in the future with others to advance our research or allow commercialization of palazestrant, OP-3136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Disputes may arise between us and our past, current or future licensors regarding intellectual property subject to a license agreement, including:</w:t>
      </w:r>
    </w:p>
    <w:p>
      <w:pPr>
        <w:spacing w:after="0" w:line="154"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our right to sublicense patents and other rights to third parties;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our right to transfer or assign the license;</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the priority of invention of patented technology.</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5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certain aspects of our nonclinical studies and clinical trials and to monitor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palazestrant or OP-3136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state or foreign fraud and abuse or false claims laws and regulations or healthcare privacy and security laws.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palazestrant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palazestrant or OP-3136,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palazestrant or OP-3136. As a result, our results of operations and the commercial prospects for palazestrant or OP-3136 would be harmed, our costs could increase and our ability to generate revenues could be delayed or precluded entirely, and our business, financial condition, results of operations and prospects could be significantly harmed.</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contract with third parties for the manufacture of palazestrant for nonclinical studies and our ongoing clinical trials, and expect to continue to do so for additional clinical trials and ultimately for commercialization. This reliance on third parties increases the risk that we will not have sufficient quantities of palazestrant or other drugs necessary for the development or commercialization of palazestrant or such quantities at an acceptable cost, which could delay, prevent or impair our development or commercialization efforts.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do not currently have the infrastructure or internal capability to manufacture supplies of palazestrant for use in development and commercialization. We rely, and expect to continue to rely, on third-party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the production of palazestrant for nonclinical studies and clinical trials under the guidance of members of our organization. We do not have long-term supply agreements for palazestrant. Furthermore, the raw materials for palazestrant are sourced, in some cases, from a single-source supplier. If we were to experience an unexpected loss of supply of palazestrant for any reason, whether as a result of manufacturing, supply or storage issues or otherwise, we could experience delays, disruptions, suspensions or terminations of, or be required to restart or repeat, any pending or ongoing clinical trials.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rely on third-party manufacturers for the commercial supply of palazestrant,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69" w:lineRule="exact"/>
        <w:rPr>
          <w:sz w:val="20"/>
          <w:szCs w:val="20"/>
          <w:color w:val="auto"/>
        </w:rPr>
      </w:pPr>
    </w:p>
    <w:p>
      <w:pPr>
        <w:jc w:val="both"/>
        <w:ind w:left="760" w:hanging="378"/>
        <w:spacing w:after="0" w:line="252" w:lineRule="auto"/>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the third party to manufacture palazestrant according to our schedule, or at all, including if our third-party contractors give greater priority to the supply of other products over palazestrant or otherwise do not satisfactorily perform according to the terms of the agreements between us and them;</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disruptions resulting from the impact of public health pandemics or epidemics;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the reduction or termination of production or deliveries by suppliers, or the raising of prices or renegotiation of terms;</w:t>
      </w:r>
    </w:p>
    <w:p>
      <w:pPr>
        <w:spacing w:after="0" w:line="224"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the breach by the third-party contractors of our agreements with them;</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third-party contractors to comply with applicable regulatory requirements;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the third party to manufacture palazestrant according to our specifications;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154"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limited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EU or other foreign regulatory requirements, they will not be able to secure and/or maintain marketing approval for their manufacturing facilities. In addition, we have limited control over the ability of our contract manufacturers to maintain adequate quality control, quality assurance and qualified personnel. If the FDA, competent authorities of EU Member States or a comparable foreign regulatory authority does not approve these facilities for the manufacture of palazestrant, or if it withdraws any such approval in the future, we may need to find alternative manufacturing facilities, which would significantly impact our ability to develop, obtain marketing approval for or market palazestrant, if approved. We, or our contract manufacturers, any future collaborators and their contract manufacturers could be subject to periodic unannounced inspections by the FDA, competent authorities of EU Member States, or other comparable foreign regulatory authorities, to monitor and ensure compliance with cGMP. Despite our efforts to audit and verify regulatory compliance, one or more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third-party manufacturing vendors may be found on regulatory inspection by the FDA, competent authorities of EU Member States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palazestrant or other drugs necessary for the development or commercialization of palazestrant and significantly harm our business, financial condition, results of operations and prospects.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Furthermore, if the third-party providers of therapies or therapies in development used in combination with palazestrant are unable to produce sufficient quantities for clinical trials or for commercialization of palazestrant, or if the cost of combination therapies are prohibitive, our development and commercialization efforts would be impaired, which would significantly harm our business, financial condition, results of operations and prospects. For example, for our Phase 1b/2 clinical study of palazestrant in combination with KISQALI® (ribociclib) or PIQRAY® (alpelisib), or the Novartis Study Drugs, in patients with metastatic ER+ breast cancer, we entered into an Amended and Restated Clinical Collaboration and Supply Agreement with Novartis Institutes for BioMedical Research, Inc., or Novartis, as amended by Amendment No. 1 to Amended and Restated Clinical Collaboration and Supply Agreement between us and Novartis, or, as amended,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Phase 1b/2 clinical study may be delayed and the cost to us to conduct this trial may significantly increase, which would significantly harm our business, financial condition, results of operations and prospects. For a description of the Novartis Agreement, see the section titled “Business - Clinical Trial Collaboration and Supply Agreement with Novartis.”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current and anticipated future dependence upon others for the manufacture of palazestrant or other drugs necessary for the development or commercialization of palazestrant may adversely affect our future profit margins and our ability to commercialize any product candidates that receive marketing approval on a timely and competitive basis.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palazestrant for clinical trials or our product for patients, if approved, could be delayed or prevented.</w:t>
      </w:r>
    </w:p>
    <w:p>
      <w:pPr>
        <w:spacing w:after="0" w:line="15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spacing w:after="0" w:line="169"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increased operating expenses and cash requirements;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the assumption of contingent liabilities;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the issuance of our equity securities;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the diversion of our management’s attention from our existing programs and initiatives in pursuing such a strategic merger or acquisition;</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risk of delay in receiving or the failure to receive anticipated benefits of any such transactions, or of facing unanticipated challenges;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entered into collaborations with third parties for the development and commercialization of palazestrant. If those collaborations are not successful, we may not be able to capitalize on the market potential of palazestrant.</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third-party collaborators for the development and commercialization of palazestrant. Our likely collaborators for any future collaboration arrangements include large and mid-size pharmaceutical companies, regional and national pharmaceutical companies and biotechnology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and will likely continue to have, limited control over the amount and timing of resources that our collaborators dedicate to the development or commercialization of palazestrant. Our ability to generate revenues from these arrangements will depend on our collaborators’ abilities and efforts to successfully perform the functions assigned to them in these arrangements. Collaborations involving palazestrant could pose numerous risks to us, including the following:</w:t>
      </w:r>
    </w:p>
    <w:p>
      <w:pPr>
        <w:spacing w:after="0" w:line="174" w:lineRule="exact"/>
        <w:rPr>
          <w:sz w:val="20"/>
          <w:szCs w:val="20"/>
          <w:color w:val="auto"/>
        </w:rPr>
      </w:pPr>
    </w:p>
    <w:p>
      <w:pPr>
        <w:ind w:left="760" w:hanging="378"/>
        <w:spacing w:after="0" w:line="270" w:lineRule="auto"/>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154"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deemphasize or not pursue development and commercialization of palazestrant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76"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4" w:lineRule="exact"/>
        <w:rPr>
          <w:rFonts w:ascii="Times New Roman" w:cs="Times New Roman" w:eastAsia="Times New Roman" w:hAnsi="Times New Roman"/>
          <w:sz w:val="18"/>
          <w:szCs w:val="18"/>
          <w:color w:val="auto"/>
        </w:rPr>
      </w:pPr>
    </w:p>
    <w:p>
      <w:pPr>
        <w:jc w:val="both"/>
        <w:ind w:left="760" w:right="20" w:hanging="378"/>
        <w:spacing w:after="0" w:line="252" w:lineRule="auto"/>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could independently develop, or develop with third parties, products that compete directly or indirectly with palazestrant if the collaborators believe that competitive products are more likely to be successfully developed or can be commercialized under terms that are more economically attractive than ours;</w:t>
      </w:r>
    </w:p>
    <w:p>
      <w:pPr>
        <w:spacing w:after="0" w:line="170"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154"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76"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disputes may arise between the collaborators and us that result in the delay or termination of the research, development or commercialization of palazestrant or that result in costly litigation or arbitration that diverts management attention and resources;</w:t>
      </w:r>
    </w:p>
    <w:p>
      <w:pPr>
        <w:spacing w:after="0" w:line="154" w:lineRule="exact"/>
        <w:rPr>
          <w:rFonts w:ascii="Times New Roman" w:cs="Times New Roman" w:eastAsia="Times New Roman" w:hAnsi="Times New Roman"/>
          <w:sz w:val="18"/>
          <w:szCs w:val="18"/>
          <w:color w:val="auto"/>
        </w:rPr>
      </w:pPr>
    </w:p>
    <w:p>
      <w:pPr>
        <w:ind w:left="760" w:right="20" w:hanging="378"/>
        <w:spacing w:after="0" w:line="270" w:lineRule="auto"/>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collaboration agreements may not lead to development or commercialization of product candidates in the most efficient manner or at all; and</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if a collaborator of ours were to be involved in a business combination, the continued pursuit and emphasis on our drug development or commercialization program could be delayed, diminished or terminated.</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drug development programs and the potential commercialization of palazestrant, OP-3136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European Commission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palazestrant, OP_3136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palazestrant, OP-3136 or any future product candidates we may develop or bring them to market and generate product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has been and may continue to be volatile, and you could lose all or part of your investment.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trading price of our common stock has been and may continue to be highly volatile and subject to wide fluctuations in response to various factors, some of which we cannot control. For example, the closing price of our common stock from January 1, 2023 to March 7, 2024 has ranged from a low of $2.55 to a high of $17.14.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Annual Report on Form 10-K, these factors include:</w:t>
      </w:r>
    </w:p>
    <w:p>
      <w:pPr>
        <w:spacing w:after="0" w:line="169" w:lineRule="exact"/>
        <w:rPr>
          <w:sz w:val="20"/>
          <w:szCs w:val="20"/>
          <w:color w:val="auto"/>
        </w:rPr>
      </w:pPr>
    </w:p>
    <w:p>
      <w:pPr>
        <w:ind w:left="760" w:hanging="378"/>
        <w:spacing w:after="0" w:line="270"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the timing and results of nonclinical studies and clinical trials of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 or those of our competitors;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the success of competitive products or announcements by potential competitors of their product development efforts;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actions with respect to our product candidates or our competitors’ products;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actual or anticipated changes in our growth rate relative to our competitors;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or legal developments in the United States and other countries;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developments or disputes concerning patent applications, issued patents or other proprietary rights;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the recruitment or departure of key personnel;</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actual or anticipated changes in estimates as to financial results, development timelines or recommendations by securities analysts;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fluctuations in the valuation of companies perceived by investors to be comparable to us;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market conditions in the pharmaceutical and biotechnology sector;</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changes in the structure of healthcare payment systems;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share price and volume fluctuations attributable to inconsistent trading volume levels of our shares;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announcement or expectation of additional financing efforts;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sales of our common stock by us, our insiders or our other stockholders; and</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general geopolitical, macroeconomic, industry and market conditions, including the ongoing conflict between Ukraine and Russia and related sanctions, armed conflict between Israel and groups based in surrounding regions, labor shortages, inflation rates and the responses by central banking authorities to control such inflation, monetary supply shifts and related financial instability.</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the trading prices for common stock of other biopharmaceutical companies have been highly volatile as a result of factors unrelated to the specific company or its technology, as well as due to the COVID-19 pandemic.</w:t>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54" w:lineRule="exact"/>
        <w:rPr>
          <w:sz w:val="20"/>
          <w:szCs w:val="20"/>
          <w:color w:val="auto"/>
        </w:rPr>
      </w:pPr>
    </w:p>
    <w:p>
      <w:pPr>
        <w:ind w:left="760" w:hanging="378"/>
        <w:spacing w:after="0" w:line="270" w:lineRule="auto"/>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timing and variations in the level of expense related to the ongoing development of palazestrant, OP-3136 or future development programs;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timing and status of enrollment for our clinical trials;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impacts from geopolitical and macroeconomic events on us or third parties with which we engage;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results of clinical trials, or the addition or termination of clinical trials or funding support by us or potential future partners;</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our execution of any collaboration, licensing or similar arrangements, and the timing of payments we may make or receive under potential future arrangements or the termination or modification of any such potential future arrangements;</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any intellectual property infringement, misappropriation or violation lawsuit or opposition, interference or cancellation proceeding in which we may become involved;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additions and departures of key personnel;</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strategic decisions by us or our competitors, such as acquisitions, divestitures, spin-offs, joint ventures, strategic investments or changes in business strategy;</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if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 we may develop receive regulatory approval, the timing and terms of such approval and market acceptance and demand for such product candidates;</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regulatory developments affecting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 we may develop or those of our competitors; and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changes in general market and economic conditions.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December 31, 2023, we had 54,992,784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were obligated to file a registration statement with the Securities and Exchange Commission to register all of the shares issued in the Private Placement for public resale, and are required to maintain effectiveness of that registration statement until the earliest of (i) the second anniversary of the effective date of such registration statement, (ii) such time as all of the shares issued in the Private Placement have been sold pursuant to such registration statement, or (iii) such time as the shares issued in the Private Placement become eligible for resale by non-affiliates without any volume limitations or other restrictions pursuant to Rule 144(b)(1)(i) under the Securities Act or any other rule of similar effect.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palazestrant, OP-3136 or future product candidates we may develop on unfavorable terms to us.</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in the past, and may again in the future seek additional capital through a variety of means, including through public or private equity, debt financings or other sources, including up-front payments and milestone payments from strategic collaborations. For example, in September 2023, we entered into the Private Placement, and in January 2024, we entered into a sales agreement, or the Sales Agreement, with Cowen and Company, LLC, or TD Cowen, pursuant to which we may offer and sell, from time to time through TD Cowen, at our option, shares of our common stock having an aggregate offering price of up to $150.0 million. To the extent that we raise additional capital through the sale of equity or convertible debt or equity securities, including pursuant to sales under the Sales Agreement, your ownership interest will be diluted, our stock price could fall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palazestrant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our annual revenue was less than $100.0 million during the most recently completed fiscal year and the market value of our voting and non-voting common stock held by non-affiliates was less than $700.0 million measured on the last business day of our second fiscal quarter for the year ended December 31, 2023, we qualify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or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tax laws could materially adversely affect our company.</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 In addition, the pricing of our intercompany transactions may be challenged by taxing authorities, with potential increases in income and other taxes that could impact our business and financial condition.</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5"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classified Board of Directors such that not all members of our Board of Directors are elected at one time;</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hanging="378"/>
        <w:spacing w:after="0" w:line="270" w:lineRule="auto"/>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prohibit our stockholders from calling a special meeting of our stockholders;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prohibit cumulative voting;</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70"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amended and restated certificate of incorporations or amended and restated bylaws.</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54"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fiduciary duty;</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that is governed by the internal-affairs doctrine or otherwise related to our internal affairs.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Loan Agreement restrict our ability to declare and pay dividends. Any return to stockholders will therefore be limited to any appreciation in the value of our common stock, which is not certain.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ambiguities related to their application and practice, regulatory authorities may initiate legal proceedings against us and our business, financial condition, results of operations and prospects may be significantly harmed.</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In addition, 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Even if any such claims do not result in litigation or are resolved in our favor, the time and resources needed to resolve them could divert our management’s resources and seriously harm our business, financial condition, results of operations and prospects.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strategy</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established and maintain various information security processes designed to identify, assess, and manage cybersecurity risks to our critical computer networks, third-party hosted services, communication systems, hardware, software, and vital data, such as intellectual property, confidential proprietary information, strategic assets, and nonclinical/clinical trial data (“Information Systems and Data”). Our Chief Operating and Financial Officer, Vice President of Information Technology, cybersecurity business partner and IT &amp; Legal teams collaborate to address cybersecurity threats and risks, leveraging our risk register when needed. Our VP of Information Technology, members of our in-house IT team, and our third-party cybersecurity business partner all play an active role in monitoring and assessing risks from cyber threats through a variety of methods including automated tools, third-party testing, tabletop incident response exercises, threat actor analysis, industry risk profiling, and collaboration with law enforcement.</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employ a range of measures, processes, standards, and policies tailored to specific environments designed to manage and mitigate material risks from cybersecurity threats to our Information Systems and Data. These include data encryption, network security controls, secure physical facilities, employee training, access management, change management and comprehensive asset management, tracking, and disposal procedures.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assessment and management of material risks from cybersecurity threats are integrated into the Company’s overall risk management processes. For example, the security team, which includes our VP of Information Technology and third-party service providers, works with management to prioritize our risk management processes and take steps to mitigate cybersecurity threats that are determined to be more likely to lead to a material impact to our business. Key findings and status of the cybersecurity landscape are reviewed with the Audit Committee of our Board of Directors, or Audit Committee, which evaluates our overall enterprise risk.</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engage various categories of third-party service providers to augment our efforts in monitoring, identifying, assessing, and mitigating significant cybersecurity risks. These third-party service providers encompass a range of expertise, including professional services firms such as legal counsel, cybersecurity consultants with specialized knowledge, providers of cybersecurity software solutions, managed cybersecurity service providers offering ongoing monitoring, protection and support, external testing firms specializing items like penetration testing to evaluate vulnerabilities, and forensic investigators who are enlisted as necessary to conduct comprehensive investigations and assessments when specific incidents or breaches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enlist third-party service providers across our business functions, including application providers, hosting companies, contract manufacturers, and supply chain resources. Depending on the service type, data sensitivity, and provider identity, our vendor management process assesses cybersecurity risks and establishes corresponding contractual cybersecurity obligations, tailored to each provider's role and the nature of Information Systems and Data involved.</w:t>
      </w:r>
    </w:p>
    <w:p>
      <w:pPr>
        <w:spacing w:after="0" w:line="160"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For a description of the risks from cybersecurity threats that may materially affect the Company and how they may do so, see our risk factors under "Part 1. Item 1A. Risk Factors" in this Annual Report on Form 10-K, including under the section titled "</w:t>
      </w:r>
      <w:r>
        <w:rPr>
          <w:rFonts w:ascii="Times New Roman" w:cs="Times New Roman" w:eastAsia="Times New Roman" w:hAnsi="Times New Roman"/>
          <w:sz w:val="18"/>
          <w:szCs w:val="18"/>
          <w:b w:val="1"/>
          <w:bCs w:val="1"/>
          <w:color w:val="auto"/>
        </w:rPr>
        <w:t>—</w:t>
      </w:r>
      <w:r>
        <w:rPr>
          <w:rFonts w:ascii="Arial" w:cs="Arial" w:eastAsia="Arial" w:hAnsi="Arial"/>
          <w:sz w:val="18"/>
          <w:szCs w:val="18"/>
          <w:color w:val="auto"/>
        </w:rPr>
        <w:t>Risks related to employee matters, managing our growth and other risks related to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Board of Directors retains responsibility for evaluating key business risks faced by the Company, including but not limited to information security. In part, our Board of Directors addresses its general oversight function by delegating the Company's cybersecurity risk management to the Audit Committee. The Audit Committee's responsibilities include supervising risk mitigation efforts related to cybersecurity threats, evaluating the sufficiency and effectiveness of information security policies and practices, and ensuring robust internal controls for information security.</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cybersecurity risk assessment and management processes are implemented and maintained by certain members of Company management, including our Vice President of Information Technology who has over 15 years of extensive experience managing cybersecurity programs, who reports into our Chief Operating and Financial Officer. The Vice President of Information Technology is responsible for hiring appropriate personnel, helping to integrate cybersecurity risk considerations into the Company's overall risk management strategy, and communicating key priorities to relevant personnel. The Chief Operating and Financial Officer is responsible for approving budgets, aiding in the preparation for cybersecurity incidents, approving cybersecurity processes, and reviewing security assessments and other security-related reports.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cybersecurity incident response procedures involve escalating specific incidents to certain members of management as needed, including the Vice President of Information Technology, Chief Operating and Financial Officer and the Chief Executive Officer. The Chief Operating and Financial Officer collaborates with our incident response team, which includes members of our in-house IT, facilities, human resources, regulatory, legal, and communications teams, to address and resolve reported cybersecurity incidents. Olema’s incident response procedures mandate reporting certain types of cybersecurity incidents to the Audit Committee and other agencies as required by law.</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periodically receives reports from the Vice President of Information Technology on the Company's significant cybersecurity threats, risks, and mitigation processes. The Audit Committee also receives various summaries, presentations, and reports pertaining to cybersecurity threats, risks, and mitigation.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corporate headquarters are located in San Francisco, California, where we lease approximately 20,500 square feet of office and laboratory space pursuant to lease agreements that expire between December 2025 and September 2026. We believe that these existing facilities will be adequate for our near-term needs. If required, we believe that suitable additional or alternative space would be available in the future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3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common stock has been listed on the Nasdaq Global Select Market under the symbol “OLMA” since November 19, 2020. Prior to that date, there was no public trading market for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the close of business on March 7, 2024, there were 70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were no sales of equity securities during the three months ended December 31, 2023 that were not registered under the Securities Act and were not previously reported in a Current Report on Form 8-K filed by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Public Offering of Common Stock</w:t>
      </w:r>
    </w:p>
    <w:p>
      <w:pPr>
        <w:spacing w:after="0" w:line="171" w:lineRule="exact"/>
        <w:rPr>
          <w:sz w:val="20"/>
          <w:szCs w:val="20"/>
          <w:color w:val="auto"/>
        </w:rPr>
      </w:pPr>
    </w:p>
    <w:p>
      <w:pPr>
        <w:jc w:val="both"/>
        <w:spacing w:after="0" w:line="215" w:lineRule="exact"/>
        <w:rPr>
          <w:sz w:val="20"/>
          <w:szCs w:val="20"/>
          <w:color w:val="auto"/>
        </w:rPr>
      </w:pPr>
      <w:r>
        <w:rPr>
          <w:rFonts w:ascii="Arial" w:cs="Arial" w:eastAsia="Arial" w:hAnsi="Arial"/>
          <w:sz w:val="18"/>
          <w:szCs w:val="18"/>
          <w:color w:val="auto"/>
        </w:rPr>
        <w:t>In November 2020, our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(No. 333</w:t>
      </w:r>
      <w:r>
        <w:rPr>
          <w:rFonts w:ascii="MS PGothic" w:cs="MS PGothic" w:eastAsia="MS PGothic" w:hAnsi="MS PGothic"/>
          <w:sz w:val="18"/>
          <w:szCs w:val="18"/>
          <w:color w:val="auto"/>
        </w:rPr>
        <w:t>‑</w:t>
      </w:r>
      <w:r>
        <w:rPr>
          <w:rFonts w:ascii="Arial" w:cs="Arial" w:eastAsia="Arial" w:hAnsi="Arial"/>
          <w:sz w:val="18"/>
          <w:szCs w:val="18"/>
          <w:color w:val="auto"/>
        </w:rPr>
        <w:t>249748) was declared effective by the SEC and we issued and sold an aggregate of 12,650,000 shares of common stock (inclusive of 1,650,000 shares of common stock pursuant to the underwriters’ exercise of their option to purchase additional shares) at a public offering price of $ 19.00 per share for aggregate net cash proceeds of approximately $220.6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sale and issuance of 12,650,000 shares in the IPO closed on November 23, 2020, J.P. Morgan Securities LLC, Jefferies LLC and Cowen and Company, LLC acted as joint book-running managers for the offering.</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November 19, 2020.</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14"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The following management’s discussion and analysis of our financial condition and results of operations should be read in conjunction with the consolidated financial statements and notes thereto included as part of this Annual Report.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Annual Report. See “Special Note Regarding Forward-Looking Statements” in this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 clinical-stage biopharmaceutical company focused on the discovery, development and commercialization of next generation targeted therapies for women’s cancers. We are advancing our pipeline of novel therapies by leveraging our deep understanding of endocrine-driven cancers, nuclear receptors, and mechanisms of acquired resistance. Our lead product candidate, palazestrant (OP-1250), is a novel, orally-available small molecule with dual activity as both a complete estrogen receptor, or ER, antagonist, or CERAN, and selective ER degrader, or SERD, currently being investigated in patients with recurrent, locally advanced or metastatic ER-positive, or ER+, human epidermal growth factor receptor 2-negative, or HER2-, breast cancer. In preclinical models, palazestrant binds and completely blocks ER-driven transcriptional activity in both wild-type and mutant forms of metastatic ER+ breast cancer including activity in central nervous system, or CNS, metastases models. In clinical studies across more than 250 patients, palazestrant has demonstrated strong anti-tumor activity, attractive pharmacokinetics and prolonged drug exposure, favorable tolerability, and combinability with CDK4/6 inhibitors with no significant drug-drug interaction. Palazestrant is currently being evaluated both as a single agent in an ongoing Phase 3 clinical trial, OPERA-01, and in Phase 2 combination studies with a CDK4/6 inhibitor (palbociclib or ribociclib) and a phosphatidylinositol 3 kinase alpha, or PI3Ka, inhibitor (alpelisib).</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reported positive Phase 2 clinical results for palazestrant as a monotherapy in October 2023 at the European Society for Medical Oncology, or ESMO, Congress 2023, which demonstrated compelling progression-free survival, or PFS, a favorable tolerability profile and attractive pharmacokinetics in a heavily pretreated patient population. These results validated the potential opportunity for palazestrant as a monotherapy agent in later lines of treatment for metastatic breast cancer, and in November 2023 we initiated OPERA-01, our pivotal Phase 3 second-, third-line monotherapy clinical trial. We anticipate the top-line results from the OPERA-01 trial in 2026.</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investigating palazestrant in combination with CDK4/6 inhibitors, palbociclib and ribociclib, and a PI3Ka inhibitor, alpelisib. We reported interim results of our ongoing Phase 2 dose expansion clinical studies of palazestrant in combination with each of palbociclib and ribociclib at the 2023 San Antonio Breast Cancer Symposium in December 2023. Across both studies, the interim results demonstrated no significant drug-drug interaction, no dose-limiting toxicities and a tolerability profile consistent with the FDA-approved labels of ribociclib or palbociclib plus an endocrine therapy. Both studies are being conducted at palazestrant recommended Phase 2 dose, or RP2D, of 120 mg combined with the full FDA-approved label doses of palbociclib 125 mg, or ribociclib 600 mg. In October 2023, we announced the expansion of our clinical collaboration with Novartis Institutes for BioMedical Research, Inc., or Novartis, increasing the size of the ongoing Phase 1/2 clinical study testing palazestrant in combination with ribociclib to approximately 60 patients. We will be presenting results from the Phase 2 portion of the palazestrant-ribociclib combination clinical study at the ESMO Breast Cancer Annual Congress 2024 in May 2024 in Berlin. Furthermore, we expect the data from the Phase 2 palazestrant-ribociclib combination clinical study will enable us to prepare to initiate a pivotal Phase 3 first-line clinical trial of palazestrant in combination with ribociclib. We also plan to initiate evaluation of palazestrant in combination with an mTOR inhibitor, everolimus, in a Phase 1b/2 clinical study, anticipated in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2022, we were granted Fast Track designation from the U.S. Food and Drug Administration, or the FDA, for palazestrant for patients with ER+/HER2- metastatic breast cancer that has progressed following one or more lines of endocrine therapy with at least one line given in combination with a CDK4/6 inhibitor.</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in October 2023 we presented new preclinical data regarding the discovery of novel compounds targeting KAT6, an epigenetic target that is dysregulated in breast and other cancers. In January 2024, we nominated a development candidate for this program, OP-3136, and we expect to file an Investigational New Drug, or IND, application with the FDA in late 2024 and advance into clinical development. In a non-clinical xenograft model, OP-3136 caused dose-dependent tumor growth inhibition and tumor regression comparable to or better than a positive-control patented KAT6 inhibitor and demonstrated synergy in combination with CDK4/6 inhibitors or palazestrant. We are advancing the development of this program in collaboration with Aurigene Oncology, or Aurigene.</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incurred significant operating losses since the commencement of our operations. Our net losses were $96.7 million and $104.8 million for the years ended December 31, 2023 and 2022, respectively. We expect to incur significant and increasing losses for thea foreseeable future as we continue to advance our product candidates, make potential milestone payments to our licensors, and as we continue to operate as a public company. Our net losses may fluctuate significantly from period to period, depending on the timing of expenditures on our research and development activities. As of December 31, 2023, we had an accumulated deficit of $ 305.6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169" w:lineRule="exact"/>
        <w:rPr>
          <w:sz w:val="20"/>
          <w:szCs w:val="20"/>
          <w:color w:val="auto"/>
        </w:rPr>
      </w:pPr>
    </w:p>
    <w:p>
      <w:pPr>
        <w:ind w:left="760" w:hanging="378"/>
        <w:spacing w:after="0" w:line="270" w:lineRule="auto"/>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our ongoing and planned research and development of our lead product candidate, palazestrant, for the treatment of ER+ positive breast cancer;</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initiate nonclinical studies and clinical trials for OP-3136 and any additional product candidates that we may pursue in the future;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seek to discover and develop additional product candidates and further expand our clinical product pipeline;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seek regulatory approvals for any product candidates that successfully complete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to scale up external manufacturing capacity with the aim of securing sufficient quantities to meet our capacity requirements for clinical trials and potential commercialization;</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 a sales, marketing and distribution infrastructure to commercialize any approved product candidates and related additional commercial manufacturing costs;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 maintain, expand, protect and enforce our intellectual property portfolio, including patents, trade secrets and know how;</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acquire or in-license other product candidates and technologies;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attract, hire and retain additional clinical, scientific, quality control, and manufacturing management and administrative personnel;</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add clinical, operational, financial and management information systems and personnel, including personnel to support our product development and planned future commercialization efforts;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expand our operations in the United States and to other geographies;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incur additional legal, accounting, investor relations and other expenses associated with operating as a public company.</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potential milestone payments to our licensors, and our expenditures on other research and development activities.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will require substantial additional funding to develop our product candidates and support our continuing operations beyond our current operating plans.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or volatility in the credit and financial markets in the United States and worldwide resulting from geopolitical and macroeconomic conditions.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Global economic and business activities continue to face widespread geopolitical and macroeconomic uncertainties, including labor shortages, inflation rates and the responses by central banking authorities to control such inflation, monetary supply shifts, and related financial market risks and instability, recession risks, as well as potential disruptions from the Russia-Ukraine conflict and armed conflict between Israel and groups based in surrounding regions, all of which have resulted in volatility in the U.S. and global financial markets, and disruptions to trade, commerce, pricing stability, credit availability and supply chain continuity globally.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lead product candidate, palazestrant, as well as OP-3136. Research and development expenses are recognized as incurred and payments made prior to the receipt of goods or services to be used in research and development are capitalized until the goods or services are received.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External expenses include:</w:t>
      </w:r>
    </w:p>
    <w:p>
      <w:pPr>
        <w:spacing w:after="0" w:line="212" w:lineRule="exact"/>
        <w:rPr>
          <w:sz w:val="20"/>
          <w:szCs w:val="20"/>
          <w:color w:val="auto"/>
        </w:rPr>
      </w:pPr>
    </w:p>
    <w:p>
      <w:pPr>
        <w:ind w:left="760" w:right="20" w:hanging="378"/>
        <w:spacing w:after="0" w:line="270" w:lineRule="auto"/>
        <w:tabs>
          <w:tab w:leader="none" w:pos="76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incurred in connection with the discovery and nonclinical development of our product candidates, including under agreements with third parties, such as consultants and contract research organizations, or CROs;</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manufacturing products for use in our nonclinical studies and clinical trials, including payments to contract manufacturing organizations, or CMOs, and consultants;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funding research performed by third parties;</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purchasing lab supplies and non-capital equipment used in designing, developing and manufacturing nonclinical study and clinical trial materials;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associated with consultants for chemistry, manufacturing and controls development, regulatory, statistics and other services;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related to regulatory activities, including filing fees paid to regulatory agencies;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facility costs including rent, depreciation and maintenance expenses.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Internal expenses include employee and personnel-related costs and expenses, including salaries, benefits and stock-based compensation expense for employees and personnel engaged in research and development functions.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While our research and development expenses may fluctuate from period to period, we generally expect our research and development expenses to increase substantially in absolute dollars for the foreseeable future as we advance palazestrant, OP-3136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palazestrant, OP-3136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palazestrant, OP-3136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palazestrant, OP-3136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p>
      <w:pPr>
        <w:spacing w:after="0" w:line="195"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progress of nonclinical and clinical development activities;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the number and scope of nonclinical and clinical programs we decide to pursue;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our current research and development programs and to establish new ones;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an appropriate safety profile with investigational new drug-enabling toxicology studies;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successful patient enrollment in, and the initiation and completion of, clinical trials;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successful completion of clinical trials with safety, tolerability and efficacy profiles that are satisfactory to the FDA or any comparable foreign regulatory authority;</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commercial manufacturing capabilities or making arrangements with third-party manufacturers;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receipt of regulatory approvals from applicable regulatory authorities;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receipt and terms of any marketing approvals from applicable regulatory authorities;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licensing or collaboration arrangements;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the performance of our future collaborators, if any;</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development and timely delivery of commercial-grade product formulations that can be used in our planned clinical trials and for commercial launch;</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commercializing the product candidate, if approved, whether alone or in collaboration with others;</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maintaining patent and trade secret protection and regulatory exclusivity for our product candidates;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maintaining, defending and enforcing patent claims and other intellectual property rights;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maintaining continued acceptable safety profiles of our products following approval;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retaining key research and development personnel.</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personnel in executive, finance, accounting, business development, legal, human resources, information technology, or IT,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our general and administrative expenses may fluctuate from period to period, we generally expect that our general and administrative expenses will increase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other income consists of interest income and other expense. Interest income primarily consists of interest income on our cash equivalents and marketable securities. Other expense primarily consists of unrealized foreign currency remeasurement gain (loss), loss on disposal of equipment and miscellaneous income (expense) not related to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2023 and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3000" w:type="dxa"/>
            <w:vAlign w:val="bottom"/>
            <w:tcBorders>
              <w:top w:val="single" w:sz="8" w:color="auto"/>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183"/>
        </w:trPr>
        <w:tc>
          <w:tcPr>
            <w:tcW w:w="44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4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43"/>
        </w:trPr>
        <w:tc>
          <w:tcPr>
            <w:tcW w:w="44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86,140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82,274</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3,866</w:t>
            </w:r>
          </w:p>
        </w:tc>
      </w:tr>
      <w:tr>
        <w:trPr>
          <w:trHeight w:val="230"/>
        </w:trPr>
        <w:tc>
          <w:tcPr>
            <w:tcW w:w="4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22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8"/>
                <w:szCs w:val="18"/>
                <w:color w:val="auto"/>
              </w:rPr>
              <w:t>18,821</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24,714</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(5,893 )</w:t>
            </w:r>
          </w:p>
        </w:tc>
      </w:tr>
      <w:tr>
        <w:trPr>
          <w:trHeight w:val="223"/>
        </w:trPr>
        <w:tc>
          <w:tcPr>
            <w:tcW w:w="44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200" w:type="dxa"/>
            <w:vAlign w:val="bottom"/>
          </w:tcPr>
          <w:p>
            <w:pPr>
              <w:spacing w:after="0"/>
              <w:rPr>
                <w:sz w:val="19"/>
                <w:szCs w:val="19"/>
                <w:color w:val="auto"/>
              </w:rPr>
            </w:pPr>
          </w:p>
        </w:tc>
        <w:tc>
          <w:tcPr>
            <w:tcW w:w="14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104,961</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106,988</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(2,027 )</w:t>
            </w:r>
          </w:p>
        </w:tc>
      </w:tr>
      <w:tr>
        <w:trPr>
          <w:trHeight w:val="223"/>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(104,961 )</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(106,988 )</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2,027</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w:t>
            </w:r>
          </w:p>
        </w:tc>
        <w:tc>
          <w:tcPr>
            <w:tcW w:w="2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8,325</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2,228</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6,097</w:t>
            </w: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Other expense</w:t>
            </w:r>
          </w:p>
        </w:tc>
        <w:tc>
          <w:tcPr>
            <w:tcW w:w="2200" w:type="dxa"/>
            <w:vAlign w:val="bottom"/>
          </w:tcPr>
          <w:p>
            <w:pPr>
              <w:spacing w:after="0"/>
              <w:rPr>
                <w:sz w:val="19"/>
                <w:szCs w:val="19"/>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(19 )</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w:t>
            </w:r>
          </w:p>
        </w:tc>
      </w:tr>
      <w:tr>
        <w:trPr>
          <w:trHeight w:val="223"/>
        </w:trPr>
        <w:tc>
          <w:tcPr>
            <w:tcW w:w="4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other income</w:t>
            </w:r>
          </w:p>
        </w:tc>
        <w:tc>
          <w:tcPr>
            <w:tcW w:w="22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8"/>
                <w:szCs w:val="18"/>
                <w:color w:val="auto"/>
              </w:rPr>
              <w:t>8,306</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2,201</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6,105</w:t>
            </w: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(96,655 )</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(104,787 )</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8,132</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summarizes our research and development expenses by functional area for the years ended December 31, 2023 and 2022: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3000" w:type="dxa"/>
            <w:vAlign w:val="bottom"/>
            <w:tcBorders>
              <w:top w:val="single" w:sz="8" w:color="auto"/>
              <w:bottom w:val="single" w:sz="8" w:color="auto"/>
            </w:tcBorders>
            <w:gridSpan w:val="3"/>
          </w:tcPr>
          <w:p>
            <w:pPr>
              <w:jc w:val="right"/>
              <w:ind w:right="111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r>
      <w:tr>
        <w:trPr>
          <w:trHeight w:val="183"/>
        </w:trPr>
        <w:tc>
          <w:tcPr>
            <w:tcW w:w="464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Pr>
          <w:p>
            <w:pPr>
              <w:jc w:val="right"/>
              <w:ind w:right="795"/>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620" w:type="dxa"/>
            <w:vAlign w:val="bottom"/>
          </w:tcPr>
          <w:p>
            <w:pPr>
              <w:jc w:val="right"/>
              <w:ind w:right="633"/>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color w:val="auto"/>
              </w:rPr>
              <w:t>(in thousands)</w:t>
            </w:r>
          </w:p>
        </w:tc>
        <w:tc>
          <w:tcPr>
            <w:tcW w:w="5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r>
      <w:tr>
        <w:trPr>
          <w:trHeight w:val="197"/>
        </w:trPr>
        <w:tc>
          <w:tcPr>
            <w:tcW w:w="46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Contract research organizations (“CROs”), contract</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r>
      <w:tr>
        <w:trPr>
          <w:trHeight w:val="203"/>
        </w:trPr>
        <w:tc>
          <w:tcPr>
            <w:tcW w:w="4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manufacturing organizations (“CMOs”) and other clinical</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r>
      <w:tr>
        <w:trPr>
          <w:trHeight w:val="235"/>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development related third-party vendor expenses</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33,650</w:t>
            </w:r>
          </w:p>
        </w:tc>
        <w:tc>
          <w:tcPr>
            <w:tcW w:w="5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25,327</w:t>
            </w:r>
          </w:p>
        </w:tc>
        <w:tc>
          <w:tcPr>
            <w:tcW w:w="5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8,323</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Compensation and related benefits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24,007</w:t>
            </w:r>
          </w:p>
        </w:tc>
        <w:tc>
          <w:tcPr>
            <w:tcW w:w="500" w:type="dxa"/>
            <w:vAlign w:val="bottom"/>
          </w:tcPr>
          <w:p>
            <w:pPr>
              <w:spacing w:after="0"/>
              <w:rPr>
                <w:sz w:val="21"/>
                <w:szCs w:val="21"/>
                <w:color w:val="auto"/>
              </w:rPr>
            </w:pP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20,306</w:t>
            </w:r>
          </w:p>
        </w:tc>
        <w:tc>
          <w:tcPr>
            <w:tcW w:w="58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3,701</w:t>
            </w:r>
          </w:p>
        </w:tc>
      </w:tr>
      <w:tr>
        <w:trPr>
          <w:trHeight w:val="24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11,769</w:t>
            </w:r>
          </w:p>
        </w:tc>
        <w:tc>
          <w:tcPr>
            <w:tcW w:w="5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12,462</w:t>
            </w:r>
          </w:p>
        </w:tc>
        <w:tc>
          <w:tcPr>
            <w:tcW w:w="5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(693 )</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Other research and development expenses</w:t>
            </w:r>
          </w:p>
        </w:tc>
        <w:tc>
          <w:tcPr>
            <w:tcW w:w="3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16,714</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24,179</w:t>
            </w:r>
          </w:p>
        </w:tc>
        <w:tc>
          <w:tcPr>
            <w:tcW w:w="5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(7,465 )</w:t>
            </w:r>
          </w:p>
        </w:tc>
      </w:tr>
      <w:tr>
        <w:trPr>
          <w:trHeight w:val="263"/>
        </w:trPr>
        <w:tc>
          <w:tcPr>
            <w:tcW w:w="46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Total research and development expenses</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86,140</w:t>
            </w:r>
          </w:p>
        </w:tc>
        <w:tc>
          <w:tcPr>
            <w:tcW w:w="5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82,274</w:t>
            </w:r>
          </w:p>
        </w:tc>
        <w:tc>
          <w:tcPr>
            <w:tcW w:w="5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3,866</w:t>
            </w:r>
          </w:p>
        </w:tc>
      </w:tr>
    </w:tbl>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Research and development expenses for the year ended December 31, 2023 were $86.1 million, compared to $82.3 million for the year ended December 31, 2022. The increase of $3.9 million was primarily due to increased spending on clinical operations and development-related activities, including personnel-related expenses, as we continued to advance palazestrant into late-stage clinical trials. The increase was partially offset by decreased spending on (i) preclinical research programs, including the $8.0 million upfront payment in connection with the exclusive global license agreement entered into in June 2022 between the Company and Aurigene, or the Aurigene Agreement, incurred and paid in June 2022, and (ii) a decrease of approximately $0.7 million in non-cash stock-based compensation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General and administrative expenses for the year ended December 31, 2023 were $18.8 million, compared to $24.7 million for the year ended December 31, 2022. The decrease of $5.9 million was primarily due to decreased spending on (i) corporate and legal-related costs, and (ii) personnel-related expenses, which primarily related to a reduction in headcount as a result of our restructuring and portfolio prioritization, and a decrease of approximately $0.9 million in non-cash stock-based compensation expense.</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Other income for the year ended December 31, 2023 was $8.3 million, compared to $2.2 million for the year ended December 31, 2022. The increase of $6.1 million was primarily due to an increase in interest income from our marketable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losses were $96.7 million and $104.8 million for the years ended December 31, 2023 and 2022, respectively. Through December 31, 2023, we had received aggregate gross proceeds of $526.8 million from sales of our common stock, convertible preferred stock and issuance of convertible promissory notes, stock option exercises, and sale of stock through our 2020 Employee Stock Purchase Plan, or ESPP.</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2023, we had $261.8 million in cash, cash equivalents and marketable securities and accumulated deficit of $305.6 million. We had no debt outstanding as of December 31, 2023.</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September 2023, we entered into a stock purchase agreement for a private placement of 13,211,381 shares of our common stock, at a price of $ 9.84 per share, to selected institutional and accredited investors, or the Private Placement. The Private Placement resulted in gross proceeds of approximately $130.0 million. After deducting offering expenses related to the Private Placement of approximately $0.3 million, the net proceeds to us from the Private Placement were approximately $129.7 million.</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Also on September 5, 2023, we entered into a loan and security agreement, or the Loan Agreement, with Silicon Valley Bank, a division of First-Citizens Bank &amp; Trust Company, or the Bank, providing us with an aggregate principal amount of up to $50.0 million, or the Credit Facility, of which $25.0 million became available upon the closing of the Private Placement, and the remaining $25.0 million may be made available upon approval of the Bank in its discretion. The Credit Facility will mature on August 1, 2027. As of December 31, 2023, we had not drawn down from the Credit Facility, and had no other debt outstanding.</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January 5, 2024, we entered into the Sales Agreement with TD Cowen as sales agent, pursuant to which we may offer and sell, from time to time, shares of our common stock, having an aggregate offering price of up to $150.0 million, or the ATM Shares. The sales, if any, of the ATM Shares will be made by any method permitted that is deemed to be an “at-the-market”, or ATM, equity offering as defined in Rule 415(a)</w:t>
      </w:r>
    </w:p>
    <w:p>
      <w:pPr>
        <w:spacing w:after="0" w:line="2" w:lineRule="exact"/>
        <w:rPr>
          <w:sz w:val="20"/>
          <w:szCs w:val="20"/>
          <w:color w:val="auto"/>
        </w:rPr>
      </w:pPr>
    </w:p>
    <w:p>
      <w:pPr>
        <w:ind w:right="20" w:firstLine="8"/>
        <w:spacing w:after="0" w:line="250" w:lineRule="auto"/>
        <w:tabs>
          <w:tab w:leader="none" w:pos="278"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promulgated under the Securities Act, including sales made directly on or through the Nasdaq Global Select Market. We have agreed to pay TD Cowen a commission of up to 3.0% of the aggregate gross proceeds from any ATM Shares sold by TD Cowen.</w:t>
      </w:r>
    </w:p>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palazestrant, OP-3136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primary uses of cash are to fund our research and development activities, including with respect to palazestrant, OP-3136 and other nonclinical programs, business planning, establishing and maintaining our intellectual property portfolio, hiring personnel, raising capital and providing general and administrative support for these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Other than as noted above, we currently have no financing commitments, such as lines of credit or guarantees, that are expected to affect our liquidity over the next five years.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and material cash requirements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palazestrant or OP-3136.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our cash, cash equivalents, and marketable securities as of December 31, 2023, as well as the available balance under the Credit Facility, will enable us to fund our current operating plan for at least the next 12 months from the filing date of these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material cash requirements for future periods: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Material cash requirements due by period</w:t>
            </w:r>
          </w:p>
        </w:tc>
        <w:tc>
          <w:tcPr>
            <w:tcW w:w="980" w:type="dxa"/>
            <w:vAlign w:val="bottom"/>
            <w:tcBorders>
              <w:top w:val="single" w:sz="8" w:color="auto"/>
              <w:bottom w:val="single" w:sz="8" w:color="auto"/>
            </w:tcBorders>
          </w:tcPr>
          <w:p>
            <w:pPr>
              <w:spacing w:after="0"/>
              <w:rPr>
                <w:sz w:val="17"/>
                <w:szCs w:val="17"/>
                <w:color w:val="auto"/>
              </w:rPr>
            </w:pPr>
          </w:p>
        </w:tc>
      </w:tr>
      <w:tr>
        <w:trPr>
          <w:trHeight w:val="200"/>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264"/>
              <w:spacing w:after="0"/>
              <w:rPr>
                <w:sz w:val="20"/>
                <w:szCs w:val="20"/>
                <w:color w:val="auto"/>
              </w:rPr>
            </w:pPr>
            <w:r>
              <w:rPr>
                <w:rFonts w:ascii="Arial" w:cs="Arial" w:eastAsia="Arial" w:hAnsi="Arial"/>
                <w:sz w:val="14"/>
                <w:szCs w:val="14"/>
                <w:b w:val="1"/>
                <w:bCs w:val="1"/>
                <w:color w:val="auto"/>
              </w:rPr>
              <w:t>Less than 1</w:t>
            </w:r>
          </w:p>
        </w:tc>
        <w:tc>
          <w:tcPr>
            <w:tcW w:w="340" w:type="dxa"/>
            <w:vAlign w:val="bottom"/>
          </w:tcPr>
          <w:p>
            <w:pPr>
              <w:spacing w:after="0"/>
              <w:rPr>
                <w:sz w:val="17"/>
                <w:szCs w:val="17"/>
                <w:color w:val="auto"/>
              </w:rPr>
            </w:pPr>
          </w:p>
        </w:tc>
        <w:tc>
          <w:tcPr>
            <w:tcW w:w="1280" w:type="dxa"/>
            <w:vAlign w:val="bottom"/>
          </w:tcPr>
          <w:p>
            <w:pPr>
              <w:jc w:val="center"/>
              <w:ind w:right="242"/>
              <w:spacing w:after="0"/>
              <w:rPr>
                <w:sz w:val="20"/>
                <w:szCs w:val="20"/>
                <w:color w:val="auto"/>
              </w:rPr>
            </w:pPr>
            <w:r>
              <w:rPr>
                <w:rFonts w:ascii="Arial" w:cs="Arial" w:eastAsia="Arial" w:hAnsi="Arial"/>
                <w:sz w:val="14"/>
                <w:szCs w:val="14"/>
                <w:b w:val="1"/>
                <w:bCs w:val="1"/>
                <w:color w:val="auto"/>
              </w:rPr>
              <w:t>More than 1</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5"/>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rPr>
              <w:t>year</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year</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Total</w:t>
            </w:r>
          </w:p>
        </w:tc>
      </w:tr>
      <w:tr>
        <w:trPr>
          <w:trHeight w:val="263"/>
        </w:trPr>
        <w:tc>
          <w:tcPr>
            <w:tcW w:w="6520" w:type="dxa"/>
            <w:vAlign w:val="bottom"/>
            <w:tcBorders>
              <w:bottom w:val="single" w:sz="8" w:color="auto"/>
            </w:tcBorders>
            <w:shd w:val="clear" w:color="auto" w:fill="CFF0FC"/>
          </w:tcPr>
          <w:p>
            <w:pPr>
              <w:ind w:left="140"/>
              <w:spacing w:after="0" w:line="222" w:lineRule="exact"/>
              <w:rPr>
                <w:sz w:val="20"/>
                <w:szCs w:val="20"/>
                <w:color w:val="auto"/>
              </w:rPr>
            </w:pPr>
            <w:r>
              <w:rPr>
                <w:rFonts w:ascii="Arial" w:cs="Arial" w:eastAsia="Arial" w:hAnsi="Arial"/>
                <w:sz w:val="18"/>
                <w:szCs w:val="18"/>
                <w:color w:val="auto"/>
              </w:rPr>
              <w:t>Operating leases</w:t>
            </w:r>
            <w:r>
              <w:rPr>
                <w:rFonts w:ascii="Arial" w:cs="Arial" w:eastAsia="Arial" w:hAnsi="Arial"/>
                <w:sz w:val="24"/>
                <w:szCs w:val="24"/>
                <w:color w:val="auto"/>
                <w:vertAlign w:val="superscript"/>
              </w:rPr>
              <w:t>(1)</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1,162</w:t>
            </w:r>
          </w:p>
        </w:tc>
        <w:tc>
          <w:tcPr>
            <w:tcW w:w="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8"/>
                <w:szCs w:val="18"/>
                <w:color w:val="auto"/>
              </w:rPr>
              <w:t>1,508</w:t>
            </w:r>
          </w:p>
        </w:tc>
        <w:tc>
          <w:tcPr>
            <w:tcW w:w="60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2,670</w:t>
            </w:r>
          </w:p>
        </w:tc>
      </w:tr>
    </w:tbl>
    <w:p>
      <w:pPr>
        <w:spacing w:after="0" w:line="234" w:lineRule="exact"/>
        <w:rPr>
          <w:sz w:val="20"/>
          <w:szCs w:val="20"/>
          <w:color w:val="auto"/>
        </w:rPr>
      </w:pPr>
    </w:p>
    <w:p>
      <w:pPr>
        <w:jc w:val="both"/>
        <w:ind w:left="380" w:hanging="372"/>
        <w:spacing w:after="0" w:line="256"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231F20"/>
        </w:rPr>
        <w:t xml:space="preserve">We conduct our research and development programs internally and through </w:t>
      </w:r>
      <w:r>
        <w:rPr>
          <w:rFonts w:ascii="Arial" w:cs="Arial" w:eastAsia="Arial" w:hAnsi="Arial"/>
          <w:sz w:val="14"/>
          <w:szCs w:val="14"/>
          <w:color w:val="000000"/>
        </w:rPr>
        <w:t>third parties that include, among others, arrangements with vendors, consultants, CMOs, and</w:t>
      </w:r>
      <w:r>
        <w:rPr>
          <w:rFonts w:ascii="Arial" w:cs="Arial" w:eastAsia="Arial" w:hAnsi="Arial"/>
          <w:sz w:val="14"/>
          <w:szCs w:val="14"/>
          <w:color w:val="231F20"/>
        </w:rPr>
        <w:t xml:space="preserve"> </w:t>
      </w:r>
      <w:r>
        <w:rPr>
          <w:rFonts w:ascii="Arial" w:cs="Arial" w:eastAsia="Arial" w:hAnsi="Arial"/>
          <w:sz w:val="14"/>
          <w:szCs w:val="14"/>
          <w:color w:val="000000"/>
        </w:rPr>
        <w:t>CROs. We have contractual arrangements in the normal course of business with these parties, however, our contracts with them are cancelable generally on reasonable notice within one year and our obligations under these contracts are primarily based on services performed. We included certain contracts that have significant cancellation penalties and are material, which make the continuation of these arrangements reasonable.</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under the Aurigene Agreement, we have payment obligations that are contingent upon future events such as the achievement of specified development, regulatory and commercial milestones. Financial terms of the Aurigene Agreement include potential future milestone payments of up to $60.0 million in clinical development and regulatory milestones, and up to $370.0 million in commercial milestones. Aurigene is also eligible to receive mid-single digit to the low double digit royalties as percentages of product sales, if any. The amount and timing of milestone obligations are unknown or uncertain as we are unable to estimate the timing or likelihood of achieving the milestone events. Additionally, the amount of royalty payments are based upon future product sales, which we are unable to predict with certainty. These potential obligations are further described in Note 12 to our audited consolidated financial statements.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enter into contracts in the normal course of business with CROs and clinical sites for the conduct of clinical trials, non-clinical research studies, professional consultants for expert advice and other vendors for clinical supply manufacturing or other services. These contracts generally provide for termination on notice, and therefore are cancelable contracts.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we are unable to raise capital when needed or on attractive terms, we would be forced to delay, reduce or eliminate our research and development programs or future commercialization efforts. Our future capital requirements will depend on many factors, including:</w:t>
      </w:r>
    </w:p>
    <w:p>
      <w:pPr>
        <w:spacing w:after="0" w:line="154" w:lineRule="exact"/>
        <w:rPr>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progress, results and costs of product discovery, nonclinical studies and clinical trials;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prioritization and number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timing and outcome of regulatory review of our product candidates;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and maintain collaborations on favorable terms, if at all;</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achievement of milestones or occurrence of other developments that trigger payments under any collaboration agreements we enter into;</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are obligated to reimburse, or entitled to reimbursement of, clinical trial costs under collaboration agreements, if any;</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preparing, filing and prosecuting patent applications, maintaining and enforcing our intellectual property rights and defending intellectual property-related claims;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securing manufacturing arrangements for commercial production; and</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establishing or contracting for sales and marketing capabilities if we obtain regulatory approvals to market our product candidates.</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Identifying potential product candidates and conducting nonclinical studies and clinical trials is a time- 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a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each of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3220" w:type="dxa"/>
            <w:vAlign w:val="bottom"/>
            <w:tcBorders>
              <w:top w:val="single" w:sz="8" w:color="auto"/>
              <w:bottom w:val="single" w:sz="8" w:color="auto"/>
            </w:tcBorders>
            <w:gridSpan w:val="3"/>
          </w:tcPr>
          <w:p>
            <w:pPr>
              <w:jc w:val="right"/>
              <w:ind w:right="89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r>
      <w:tr>
        <w:trPr>
          <w:trHeight w:val="22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(83,727 )</w:t>
            </w:r>
          </w:p>
        </w:tc>
        <w:tc>
          <w:tcPr>
            <w:tcW w:w="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(82,065 )</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400" w:type="dxa"/>
            <w:vAlign w:val="bottom"/>
          </w:tcPr>
          <w:p>
            <w:pPr>
              <w:spacing w:after="0"/>
              <w:rPr>
                <w:sz w:val="19"/>
                <w:szCs w:val="19"/>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(4,851 )</w:t>
            </w:r>
          </w:p>
        </w:tc>
        <w:tc>
          <w:tcPr>
            <w:tcW w:w="48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91,479</w:t>
            </w:r>
          </w:p>
        </w:tc>
      </w:tr>
      <w:tr>
        <w:trPr>
          <w:trHeight w:val="230"/>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133,415</w:t>
            </w:r>
          </w:p>
        </w:tc>
        <w:tc>
          <w:tcPr>
            <w:tcW w:w="4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476</w:t>
            </w: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44,837</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9,890</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cash used in operating activities during the year ended December 31, 2023 consisted primarily of our net loss of $96.7 million, partially offset by net non-cash charges of $12.3 million and a net increase of $0.6 million in operating assets and liabilities. The net loss consisted primarily of $86.1 million in research and development expenses and $18.8 million in general and administrative expenses. The non-cash charges consisted primarily of stock-based compensation of $17.3 million, depreciation and amortization expenses of $0.4 million, loss on sale of equipment of $0.1 million, and non-cash lease expense of less than $0.1 million, net of cash payments of $1.2 million. These non-cash expenses were partially offset by net discount accretion on our marketable securities of $5.5 million. The change in operating assets and liabilities was primarily due to (i) an increase of $2.9 million in other current liabilities, and (ii) an increase of $ 2.3 million in accounts payable, which is primarily resulted from timing of invoicing by vendors and related payments, and (iii) a decrease of $0.7 million in prepaid expenses and other current assets. The changes are mainly offset by an increase of $5.3 million in other assets and long-term deposits.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cash used in operating activities during the year ended December 31, 2022 consisted primarily of our net loss of $104.8 million, partially offset by non-cash charges of $18.4 million and a net increase of $4.3 million in net operating assets and liabilities. The net loss consisted primarily of $82.3 million in research and development expenses and $24.7 million in general and administrative expenses. The non-cash charges consisted primarily of stock-based compensation of $18.8 million, depreciation and amortization expenses of $0.4 million, and non-cash lease expense of less than $0.1 million, net of cash payments of $1.3 million. These non-cash expenses were partially offset by net discount accretion on our marketable securities of $0.8 million. The change in operating assets and liabilities was primarily due to (i) an increase of $7.0 million in other current liabilities, and (ii) an increase of $0.4 million in accounts payable, which is primarily resulted from timing of invoicing by vendors and related payments. The changes are partially offset by (i) an increase of $2.0 million in prepaid expenses and other current assets, and (ii) an increase of $1.1 million in other assets mostly due to vendor deposits paid for clinical studies.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during the year ended December 31, 2023 was predominately due to the purchase of marketable securities which was partially offset by the maturities of marketable securities.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provided by investing activities during the year ended December 31, 2022 was predominately due to maturities of marketable securities which was partially offset by the purchase of marketable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provided by financing activities during the year ended December 31, 2023 consists of $129.7 million in net proceeds from the Private Placement, $2.7 million from the exercise of stock options, and $1.1 million from the sale of our common stock under the 2020 ESPP.</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Net cash provided by financing activities during the year ended December 31, 2022 consisted of $0.3 million and $0.1 million in net proceeds from the sale of our common stock under the 2020 ESPP and the exercise of stock options,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consolidated financial statements, which have been prepared in accordance with U.S. generally accepted accounting principles, or U.S. GAAP. The preparation of our consolidated financial statements and related disclosures requires us to make estimates and judgments that affect the reported amounts of assets, liabilities, expenses and the disclosure of our contingent liabilities in our consolidated financial statements. We base our estimates on historical experience, known trends and events and various other factors that we believe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elsewhere in this Annual Report, we believe that the following accounting policies are those most critical to the judgments and estimates used in the preparation of our audited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research and development expenses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purchase orders and open contracts, communicating with our personnel and service providers to identify services that have been performed on our behalf and estimating the level of service performed and the associated cost incurred for the services when we have not yet been invoiced or otherwise notified of the actual cost. The majority of our service providers invoice us monthly in arrears for services performed or when contractual milestones are met; however, some require advance payments.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CROs and CMOs among others, in connection with research and development activities for which we have not yet been invoiced.</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contract with CROs and CMOs to conduct clinical and manufacturing and other research and development services on our behalf. We base our expenses related to CROs and CMOs on our estimates of the services received and efforts expended pursuant to quotes and contracts with them. The financial terms of these agreements are subject to negotiation, vary from contract to contract and may result in uneven payment flows. There may be instances in which payments made to our CROs or CMOs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there have been no material differences between our estimates of such expenses and the amounts actually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Because our annual revenue was less than $100.0 million in 2023 and the market value of our voting and non-voting common stock held by non-affiliates was less than $700.0 million measured on the last business day of our second fiscal quarter in 2023, we qualify as a “smaller reporting company” as defined in the Exchange Act. We took advantage of certain of the scaled disclosures available to smaller reporting companies including, among other things, not being required to comply with the auditor attestation requirements of Section 404 of the Sarbanes-Oxley Act (“Section 404”), presenting only the two most recent fiscal years of audited financial statements in our Annual Report on Form 10-K and presenting reduced disclosure obligations regarding executive compensation in our periodic reports and proxy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 Note 2 to our consolidated financial statements contained in this Annual Report for a description of recent accounting pronouncements applicable to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As of December 31, 2023 and 2022, we had cash, cash equivalents and marketable securities of $261.8 million and $ 204.4 million, respectively. We generally hold our cash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marketable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institution risk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cash is held with a single financial institution. Due to its size, this financial institution represents a minimal credit risk.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Cash amounts held at financial institutions are insured by the Federal Deposit Insurance Corporation up to $250,000.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expenses are generally denominated in U.S. dollars. To date, we have not had any significant foreign currency transactions, and we do not have a formal hedging program with respect to foreign currency. A 10.0% increase or decrease in current exchange rates would not have a material effect on our financial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Inflation generally affects us by increasing our cost of labor and research and development costs. We do not believe that inflation has had a material effect on our results of operations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Olema Pharmaceuticals,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234" w:lineRule="exact"/>
        <w:rPr>
          <w:sz w:val="20"/>
          <w:szCs w:val="20"/>
          <w:color w:val="auto"/>
        </w:rPr>
      </w:pPr>
    </w:p>
    <w:tbl>
      <w:tblPr>
        <w:tblLayout w:type="fixed"/>
        <w:tblInd w:w="30" w:type="dxa"/>
        <w:tblCellMar>
          <w:top w:w="0" w:type="dxa"/>
          <w:left w:w="0" w:type="dxa"/>
          <w:bottom w:w="0" w:type="dxa"/>
          <w:right w:w="0" w:type="dxa"/>
        </w:tblCellMar>
      </w:tblPr>
      <w:tr>
        <w:trPr>
          <w:trHeight w:val="239"/>
        </w:trPr>
        <w:tc>
          <w:tcPr>
            <w:tcW w:w="2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Page</w:t>
            </w:r>
          </w:p>
        </w:tc>
      </w:tr>
      <w:tr>
        <w:trPr>
          <w:trHeight w:val="36"/>
        </w:trPr>
        <w:tc>
          <w:tcPr>
            <w:tcW w:w="2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09"/>
        </w:trPr>
        <w:tc>
          <w:tcPr>
            <w:tcW w:w="9680" w:type="dxa"/>
            <w:vAlign w:val="bottom"/>
            <w:gridSpan w:val="7"/>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42)</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125</w:t>
            </w:r>
          </w:p>
        </w:tc>
      </w:tr>
      <w:tr>
        <w:trPr>
          <w:trHeight w:val="20"/>
        </w:trPr>
        <w:tc>
          <w:tcPr>
            <w:tcW w:w="238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77"/>
        </w:trPr>
        <w:tc>
          <w:tcPr>
            <w:tcW w:w="9680" w:type="dxa"/>
            <w:vAlign w:val="bottom"/>
            <w:gridSpan w:val="7"/>
          </w:tcPr>
          <w:p>
            <w:pPr>
              <w:spacing w:after="0"/>
              <w:rPr>
                <w:sz w:val="20"/>
                <w:szCs w:val="20"/>
                <w:color w:val="auto"/>
              </w:rPr>
            </w:pPr>
            <w:r>
              <w:rPr>
                <w:rFonts w:ascii="Arial" w:cs="Arial" w:eastAsia="Arial" w:hAnsi="Arial"/>
                <w:sz w:val="18"/>
                <w:szCs w:val="18"/>
                <w:color w:val="0000FF"/>
              </w:rPr>
              <w:t>Consolidated Balance Sheets</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127</w:t>
            </w:r>
          </w:p>
        </w:tc>
      </w:tr>
      <w:tr>
        <w:trPr>
          <w:trHeight w:val="20"/>
        </w:trPr>
        <w:tc>
          <w:tcPr>
            <w:tcW w:w="23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77"/>
        </w:trPr>
        <w:tc>
          <w:tcPr>
            <w:tcW w:w="9680" w:type="dxa"/>
            <w:vAlign w:val="bottom"/>
            <w:gridSpan w:val="7"/>
          </w:tcPr>
          <w:p>
            <w:pPr>
              <w:spacing w:after="0"/>
              <w:rPr>
                <w:sz w:val="20"/>
                <w:szCs w:val="20"/>
                <w:color w:val="auto"/>
              </w:rPr>
            </w:pPr>
            <w:r>
              <w:rPr>
                <w:rFonts w:ascii="Arial" w:cs="Arial" w:eastAsia="Arial" w:hAnsi="Arial"/>
                <w:sz w:val="18"/>
                <w:szCs w:val="18"/>
                <w:color w:val="0000FF"/>
              </w:rPr>
              <w:t>Consolidated Statements of Operations and Comprehensive Loss</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128</w:t>
            </w:r>
          </w:p>
        </w:tc>
      </w:tr>
      <w:tr>
        <w:trPr>
          <w:trHeight w:val="20"/>
        </w:trPr>
        <w:tc>
          <w:tcPr>
            <w:tcW w:w="320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77"/>
        </w:trPr>
        <w:tc>
          <w:tcPr>
            <w:tcW w:w="9680" w:type="dxa"/>
            <w:vAlign w:val="bottom"/>
            <w:gridSpan w:val="7"/>
          </w:tcPr>
          <w:p>
            <w:pPr>
              <w:spacing w:after="0"/>
              <w:rPr>
                <w:sz w:val="20"/>
                <w:szCs w:val="20"/>
                <w:color w:val="auto"/>
              </w:rPr>
            </w:pPr>
            <w:r>
              <w:rPr>
                <w:rFonts w:ascii="Arial" w:cs="Arial" w:eastAsia="Arial" w:hAnsi="Arial"/>
                <w:sz w:val="18"/>
                <w:szCs w:val="18"/>
                <w:color w:val="0000FF"/>
              </w:rPr>
              <w:t>Consolidated Statements of Stockholders’ Equity</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129</w:t>
            </w:r>
          </w:p>
        </w:tc>
      </w:tr>
      <w:tr>
        <w:trPr>
          <w:trHeight w:val="20"/>
        </w:trPr>
        <w:tc>
          <w:tcPr>
            <w:tcW w:w="320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77"/>
        </w:trPr>
        <w:tc>
          <w:tcPr>
            <w:tcW w:w="968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130</w:t>
            </w:r>
          </w:p>
        </w:tc>
      </w:tr>
      <w:tr>
        <w:trPr>
          <w:trHeight w:val="20"/>
        </w:trPr>
        <w:tc>
          <w:tcPr>
            <w:tcW w:w="3200" w:type="dxa"/>
            <w:vAlign w:val="bottom"/>
            <w:tcBorders>
              <w:lef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77"/>
        </w:trPr>
        <w:tc>
          <w:tcPr>
            <w:tcW w:w="9680" w:type="dxa"/>
            <w:vAlign w:val="bottom"/>
            <w:gridSpan w:val="7"/>
          </w:tcPr>
          <w:p>
            <w:pPr>
              <w:spacing w:after="0"/>
              <w:rPr>
                <w:sz w:val="20"/>
                <w:szCs w:val="20"/>
                <w:color w:val="auto"/>
              </w:rPr>
            </w:pPr>
            <w:r>
              <w:rPr>
                <w:rFonts w:ascii="Arial" w:cs="Arial" w:eastAsia="Arial" w:hAnsi="Arial"/>
                <w:sz w:val="18"/>
                <w:szCs w:val="18"/>
                <w:color w:val="0000FF"/>
              </w:rPr>
              <w:t>Notes to Consolidated Financial Statements</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131</w:t>
            </w:r>
          </w:p>
        </w:tc>
      </w:tr>
      <w:tr>
        <w:trPr>
          <w:trHeight w:val="20"/>
        </w:trPr>
        <w:tc>
          <w:tcPr>
            <w:tcW w:w="23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Olema Pharmaceuticals, Inc.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consolidated balance sheets of Olema Pharmaceuticals, Inc. (the Company) as of December 31, 2023 and 2022, the related consolidated statements of operations and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21" w:lineRule="exact"/>
        <w:rPr>
          <w:sz w:val="20"/>
          <w:szCs w:val="20"/>
          <w:color w:val="auto"/>
        </w:rPr>
      </w:pPr>
    </w:p>
    <w:p>
      <w:pPr>
        <w:ind w:left="2460"/>
        <w:spacing w:after="0"/>
        <w:rPr>
          <w:sz w:val="20"/>
          <w:szCs w:val="20"/>
          <w:color w:val="auto"/>
        </w:rPr>
      </w:pPr>
      <w:r>
        <w:rPr>
          <w:rFonts w:ascii="Arial" w:cs="Arial" w:eastAsia="Arial" w:hAnsi="Arial"/>
          <w:sz w:val="18"/>
          <w:szCs w:val="18"/>
          <w:b w:val="1"/>
          <w:bCs w:val="1"/>
          <w:i w:val="1"/>
          <w:iCs w:val="1"/>
          <w:color w:val="auto"/>
        </w:rPr>
        <w:t>Clinical Trial Accrual</w:t>
      </w:r>
    </w:p>
    <w:p>
      <w:pPr>
        <w:spacing w:after="0" w:line="250" w:lineRule="exact"/>
        <w:rPr>
          <w:sz w:val="20"/>
          <w:szCs w:val="20"/>
          <w:color w:val="auto"/>
        </w:rPr>
      </w:pPr>
    </w:p>
    <w:p>
      <w:pPr>
        <w:jc w:val="both"/>
        <w:ind w:left="2460" w:right="100" w:hanging="2348"/>
        <w:spacing w:after="0" w:line="247" w:lineRule="auto"/>
        <w:tabs>
          <w:tab w:leader="none" w:pos="24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discussed in Note 2 in the consolidated financial statements, the Company enters into contracts with contract research organizations (CROs) to conduct clinical services on their behalf. Judgments and estimates are required to determine the amounts accrued for estimated ongoing research and development costs. The Company analyzes the progress of the studies or clinical trials, including the phase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2460"/>
        <w:spacing w:after="0"/>
        <w:rPr>
          <w:sz w:val="20"/>
          <w:szCs w:val="20"/>
          <w:color w:val="auto"/>
        </w:rPr>
      </w:pPr>
      <w:r>
        <w:rPr>
          <w:rFonts w:ascii="Arial" w:cs="Arial" w:eastAsia="Arial" w:hAnsi="Arial"/>
          <w:sz w:val="18"/>
          <w:szCs w:val="18"/>
          <w:color w:val="auto"/>
        </w:rPr>
        <w:t>completion of activities, invoices received and contracted costs. Auditing the Company’s accrual for clinical trial costs is complex since the information necessary to estimate the accruals is accumulated from the CROs and the Company's assessment of that information is subject to variability and uncertainty. In addition, in certain circumstances, the determination of the nature and amounts of services that have been received during the reporting period requires judgment because the timing and pattern of vendor invoicing does not correspond to the level of services provided, and there may be delays in invoicing from clinical study sites and other vendors.</w:t>
      </w:r>
    </w:p>
    <w:p>
      <w:pPr>
        <w:spacing w:after="0" w:line="212" w:lineRule="exact"/>
        <w:rPr>
          <w:sz w:val="20"/>
          <w:szCs w:val="20"/>
          <w:color w:val="auto"/>
        </w:rPr>
      </w:pPr>
    </w:p>
    <w:p>
      <w:pPr>
        <w:ind w:left="100"/>
        <w:spacing w:after="0"/>
        <w:tabs>
          <w:tab w:leader="none" w:pos="24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8"/>
          <w:szCs w:val="18"/>
          <w:color w:val="auto"/>
        </w:rPr>
        <w:t>To test the clinical trial accrual, our audit procedures included, among others, reading a sample of the</w:t>
      </w:r>
    </w:p>
    <w:p>
      <w:pPr>
        <w:spacing w:after="0" w:line="14" w:lineRule="exact"/>
        <w:rPr>
          <w:sz w:val="20"/>
          <w:szCs w:val="20"/>
          <w:color w:val="auto"/>
        </w:rPr>
      </w:pPr>
    </w:p>
    <w:p>
      <w:pPr>
        <w:jc w:val="both"/>
        <w:ind w:left="2460" w:hanging="2348"/>
        <w:spacing w:after="0" w:line="236" w:lineRule="auto"/>
        <w:tabs>
          <w:tab w:leader="none" w:pos="24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Company’s contracts with the CROs to understand key financial and contractual terms and testing the accuracy and completeness of the underlying data used in the accrual computations. We also evaluated management’s estimates of the vendor’s progress for a sample of clinical trials by inquiring of the Company’s operations personnel overseeing the clinical trials and obtaining information directly from third party vendors regarding their estimate of costs that have been incurred through December 31, 2023. We analyzed the data underlying the accrual balance to evaluate the impact of reasonable changes in the data on the recorded amount of the clinical trial accrual. To evaluate the completeness of the accruals, we also examined subsequent invoices from the service providers and cash disbursements to the service providers, to the extent such invoices were received, or payments were made prior to the date that the consolidated financial statements were issued.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rPr>
          <w:sz w:val="20"/>
          <w:szCs w:val="20"/>
          <w:color w:val="auto"/>
        </w:rPr>
      </w:pPr>
      <w:r>
        <w:rPr>
          <w:rFonts w:ascii="Arial" w:cs="Arial" w:eastAsia="Arial" w:hAnsi="Arial"/>
          <w:sz w:val="18"/>
          <w:szCs w:val="18"/>
          <w:color w:val="auto"/>
        </w:rPr>
        <w:t>March 11,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14"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7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2022</w:t>
            </w:r>
          </w:p>
        </w:tc>
      </w:tr>
      <w:tr>
        <w:trPr>
          <w:trHeight w:val="223"/>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CFF"/>
          </w:tcPr>
          <w:p>
            <w:pPr>
              <w:spacing w:after="0"/>
              <w:rPr>
                <w:sz w:val="19"/>
                <w:szCs w:val="19"/>
                <w:color w:val="auto"/>
              </w:rPr>
            </w:pPr>
          </w:p>
        </w:tc>
        <w:tc>
          <w:tcPr>
            <w:tcW w:w="156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440" w:type="dxa"/>
            <w:vAlign w:val="bottom"/>
            <w:shd w:val="clear" w:color="auto" w:fill="CCECFF"/>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00" w:type="dxa"/>
            <w:vAlign w:val="bottom"/>
            <w:shd w:val="clear" w:color="auto" w:fill="CCEC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CFF"/>
          </w:tcPr>
          <w:p>
            <w:pPr>
              <w:jc w:val="right"/>
              <w:ind w:right="132"/>
              <w:spacing w:after="0"/>
              <w:rPr>
                <w:sz w:val="20"/>
                <w:szCs w:val="20"/>
                <w:color w:val="auto"/>
              </w:rPr>
            </w:pPr>
            <w:r>
              <w:rPr>
                <w:rFonts w:ascii="Arial" w:cs="Arial" w:eastAsia="Arial" w:hAnsi="Arial"/>
                <w:sz w:val="18"/>
                <w:szCs w:val="18"/>
                <w:color w:val="auto"/>
              </w:rPr>
              <w:t>68,539</w:t>
            </w:r>
          </w:p>
        </w:tc>
        <w:tc>
          <w:tcPr>
            <w:tcW w:w="3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CFF"/>
          </w:tcPr>
          <w:p>
            <w:pPr>
              <w:jc w:val="right"/>
              <w:ind w:right="32"/>
              <w:spacing w:after="0"/>
              <w:rPr>
                <w:sz w:val="20"/>
                <w:szCs w:val="20"/>
                <w:color w:val="auto"/>
              </w:rPr>
            </w:pPr>
            <w:r>
              <w:rPr>
                <w:rFonts w:ascii="Arial" w:cs="Arial" w:eastAsia="Arial" w:hAnsi="Arial"/>
                <w:sz w:val="18"/>
                <w:szCs w:val="18"/>
                <w:color w:val="auto"/>
              </w:rPr>
              <w:t>23,702</w:t>
            </w: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193,268</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180,719</w:t>
            </w:r>
          </w:p>
        </w:tc>
      </w:tr>
      <w:tr>
        <w:trPr>
          <w:trHeight w:val="229"/>
        </w:trPr>
        <w:tc>
          <w:tcPr>
            <w:tcW w:w="7700" w:type="dxa"/>
            <w:vAlign w:val="bottom"/>
            <w:tcBorders>
              <w:bottom w:val="single" w:sz="8" w:color="CCECFF"/>
            </w:tcBorders>
            <w:shd w:val="clear" w:color="auto" w:fill="CCEC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231F20"/>
            </w:tcBorders>
            <w:shd w:val="clear" w:color="auto" w:fill="CCECFF"/>
          </w:tcPr>
          <w:p>
            <w:pPr>
              <w:spacing w:after="0"/>
              <w:rPr>
                <w:sz w:val="19"/>
                <w:szCs w:val="19"/>
                <w:color w:val="auto"/>
              </w:rPr>
            </w:pPr>
          </w:p>
        </w:tc>
        <w:tc>
          <w:tcPr>
            <w:tcW w:w="1560" w:type="dxa"/>
            <w:vAlign w:val="bottom"/>
            <w:tcBorders>
              <w:bottom w:val="single" w:sz="8" w:color="231F20"/>
            </w:tcBorders>
            <w:shd w:val="clear" w:color="auto" w:fill="CCECFF"/>
          </w:tcPr>
          <w:p>
            <w:pPr>
              <w:jc w:val="right"/>
              <w:ind w:right="132"/>
              <w:spacing w:after="0"/>
              <w:rPr>
                <w:sz w:val="20"/>
                <w:szCs w:val="20"/>
                <w:color w:val="auto"/>
              </w:rPr>
            </w:pPr>
            <w:r>
              <w:rPr>
                <w:rFonts w:ascii="Arial" w:cs="Arial" w:eastAsia="Arial" w:hAnsi="Arial"/>
                <w:sz w:val="18"/>
                <w:szCs w:val="18"/>
                <w:color w:val="auto"/>
              </w:rPr>
              <w:t>4,706</w:t>
            </w:r>
          </w:p>
        </w:tc>
        <w:tc>
          <w:tcPr>
            <w:tcW w:w="320" w:type="dxa"/>
            <w:vAlign w:val="bottom"/>
            <w:tcBorders>
              <w:bottom w:val="single" w:sz="8" w:color="231F20"/>
            </w:tcBorders>
            <w:shd w:val="clear" w:color="auto" w:fill="CCECFF"/>
          </w:tcPr>
          <w:p>
            <w:pPr>
              <w:spacing w:after="0"/>
              <w:rPr>
                <w:sz w:val="19"/>
                <w:szCs w:val="19"/>
                <w:color w:val="auto"/>
              </w:rPr>
            </w:pPr>
          </w:p>
        </w:tc>
        <w:tc>
          <w:tcPr>
            <w:tcW w:w="1440" w:type="dxa"/>
            <w:vAlign w:val="bottom"/>
            <w:tcBorders>
              <w:bottom w:val="single" w:sz="8" w:color="231F20"/>
            </w:tcBorders>
            <w:shd w:val="clear" w:color="auto" w:fill="CCECFF"/>
          </w:tcPr>
          <w:p>
            <w:pPr>
              <w:jc w:val="right"/>
              <w:ind w:right="32"/>
              <w:spacing w:after="0"/>
              <w:rPr>
                <w:sz w:val="20"/>
                <w:szCs w:val="20"/>
                <w:color w:val="auto"/>
              </w:rPr>
            </w:pPr>
            <w:r>
              <w:rPr>
                <w:rFonts w:ascii="Arial" w:cs="Arial" w:eastAsia="Arial" w:hAnsi="Arial"/>
                <w:sz w:val="18"/>
                <w:szCs w:val="18"/>
                <w:color w:val="auto"/>
              </w:rPr>
              <w:t>4,478</w:t>
            </w:r>
          </w:p>
        </w:tc>
      </w:tr>
      <w:tr>
        <w:trPr>
          <w:trHeight w:val="223"/>
        </w:trPr>
        <w:tc>
          <w:tcPr>
            <w:tcW w:w="770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266,513</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208,899</w:t>
            </w:r>
          </w:p>
        </w:tc>
      </w:tr>
      <w:tr>
        <w:trPr>
          <w:trHeight w:val="229"/>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CFF"/>
          </w:tcPr>
          <w:p>
            <w:pPr>
              <w:spacing w:after="0"/>
              <w:rPr>
                <w:sz w:val="19"/>
                <w:szCs w:val="19"/>
                <w:color w:val="auto"/>
              </w:rPr>
            </w:pPr>
          </w:p>
        </w:tc>
        <w:tc>
          <w:tcPr>
            <w:tcW w:w="1560" w:type="dxa"/>
            <w:vAlign w:val="bottom"/>
            <w:shd w:val="clear" w:color="auto" w:fill="CCECFF"/>
          </w:tcPr>
          <w:p>
            <w:pPr>
              <w:jc w:val="right"/>
              <w:ind w:right="132"/>
              <w:spacing w:after="0"/>
              <w:rPr>
                <w:sz w:val="20"/>
                <w:szCs w:val="20"/>
                <w:color w:val="auto"/>
              </w:rPr>
            </w:pPr>
            <w:r>
              <w:rPr>
                <w:rFonts w:ascii="Arial" w:cs="Arial" w:eastAsia="Arial" w:hAnsi="Arial"/>
                <w:sz w:val="18"/>
                <w:szCs w:val="18"/>
                <w:color w:val="auto"/>
              </w:rPr>
              <w:t>2,291</w:t>
            </w:r>
          </w:p>
        </w:tc>
        <w:tc>
          <w:tcPr>
            <w:tcW w:w="320" w:type="dxa"/>
            <w:vAlign w:val="bottom"/>
            <w:shd w:val="clear" w:color="auto" w:fill="CCECFF"/>
          </w:tcPr>
          <w:p>
            <w:pPr>
              <w:spacing w:after="0"/>
              <w:rPr>
                <w:sz w:val="19"/>
                <w:szCs w:val="19"/>
                <w:color w:val="auto"/>
              </w:rPr>
            </w:pPr>
          </w:p>
        </w:tc>
        <w:tc>
          <w:tcPr>
            <w:tcW w:w="1440" w:type="dxa"/>
            <w:vAlign w:val="bottom"/>
            <w:shd w:val="clear" w:color="auto" w:fill="CCECFF"/>
          </w:tcPr>
          <w:p>
            <w:pPr>
              <w:jc w:val="right"/>
              <w:ind w:right="32"/>
              <w:spacing w:after="0"/>
              <w:rPr>
                <w:sz w:val="20"/>
                <w:szCs w:val="20"/>
                <w:color w:val="auto"/>
              </w:rPr>
            </w:pPr>
            <w:r>
              <w:rPr>
                <w:rFonts w:ascii="Arial" w:cs="Arial" w:eastAsia="Arial" w:hAnsi="Arial"/>
                <w:sz w:val="18"/>
                <w:szCs w:val="18"/>
                <w:color w:val="auto"/>
              </w:rPr>
              <w:t>2,495</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Other assets and long-term deposits</w:t>
            </w:r>
          </w:p>
        </w:tc>
        <w:tc>
          <w:tcPr>
            <w:tcW w:w="220" w:type="dxa"/>
            <w:vAlign w:val="bottom"/>
            <w:tcBorders>
              <w:bottom w:val="single" w:sz="8" w:color="231F20"/>
            </w:tcBorders>
          </w:tcPr>
          <w:p>
            <w:pPr>
              <w:spacing w:after="0"/>
              <w:rPr>
                <w:sz w:val="19"/>
                <w:szCs w:val="19"/>
                <w:color w:val="auto"/>
              </w:rPr>
            </w:pPr>
          </w:p>
        </w:tc>
        <w:tc>
          <w:tcPr>
            <w:tcW w:w="1560" w:type="dxa"/>
            <w:vAlign w:val="bottom"/>
            <w:tcBorders>
              <w:bottom w:val="single" w:sz="8" w:color="231F20"/>
            </w:tcBorders>
          </w:tcPr>
          <w:p>
            <w:pPr>
              <w:jc w:val="right"/>
              <w:ind w:right="132"/>
              <w:spacing w:after="0"/>
              <w:rPr>
                <w:sz w:val="20"/>
                <w:szCs w:val="20"/>
                <w:color w:val="auto"/>
              </w:rPr>
            </w:pPr>
            <w:r>
              <w:rPr>
                <w:rFonts w:ascii="Arial" w:cs="Arial" w:eastAsia="Arial" w:hAnsi="Arial"/>
                <w:sz w:val="18"/>
                <w:szCs w:val="18"/>
                <w:color w:val="auto"/>
              </w:rPr>
              <w:t>8,141</w:t>
            </w:r>
          </w:p>
        </w:tc>
        <w:tc>
          <w:tcPr>
            <w:tcW w:w="320" w:type="dxa"/>
            <w:vAlign w:val="bottom"/>
            <w:tcBorders>
              <w:bottom w:val="single" w:sz="8" w:color="231F20"/>
            </w:tcBorders>
          </w:tcPr>
          <w:p>
            <w:pPr>
              <w:spacing w:after="0"/>
              <w:rPr>
                <w:sz w:val="19"/>
                <w:szCs w:val="19"/>
                <w:color w:val="auto"/>
              </w:rPr>
            </w:pPr>
          </w:p>
        </w:tc>
        <w:tc>
          <w:tcPr>
            <w:tcW w:w="1440" w:type="dxa"/>
            <w:vAlign w:val="bottom"/>
            <w:tcBorders>
              <w:bottom w:val="single" w:sz="8" w:color="231F20"/>
            </w:tcBorders>
          </w:tcPr>
          <w:p>
            <w:pPr>
              <w:jc w:val="right"/>
              <w:ind w:right="32"/>
              <w:spacing w:after="0"/>
              <w:rPr>
                <w:sz w:val="20"/>
                <w:szCs w:val="20"/>
                <w:color w:val="auto"/>
              </w:rPr>
            </w:pPr>
            <w:r>
              <w:rPr>
                <w:rFonts w:ascii="Arial" w:cs="Arial" w:eastAsia="Arial" w:hAnsi="Arial"/>
                <w:sz w:val="18"/>
                <w:szCs w:val="18"/>
                <w:color w:val="auto"/>
              </w:rPr>
              <w:t>4,251</w:t>
            </w:r>
          </w:p>
        </w:tc>
      </w:tr>
      <w:tr>
        <w:trPr>
          <w:trHeight w:val="263"/>
        </w:trPr>
        <w:tc>
          <w:tcPr>
            <w:tcW w:w="7700" w:type="dxa"/>
            <w:vAlign w:val="bottom"/>
            <w:tcBorders>
              <w:bottom w:val="single" w:sz="8" w:color="CCECFF"/>
            </w:tcBorders>
            <w:shd w:val="clear" w:color="auto" w:fill="CCECFF"/>
          </w:tcPr>
          <w:p>
            <w:pPr>
              <w:ind w:left="5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CFF"/>
          </w:tcPr>
          <w:p>
            <w:pPr>
              <w:jc w:val="right"/>
              <w:ind w:right="132"/>
              <w:spacing w:after="0"/>
              <w:rPr>
                <w:sz w:val="20"/>
                <w:szCs w:val="20"/>
                <w:color w:val="auto"/>
              </w:rPr>
            </w:pPr>
            <w:r>
              <w:rPr>
                <w:rFonts w:ascii="Arial" w:cs="Arial" w:eastAsia="Arial" w:hAnsi="Arial"/>
                <w:sz w:val="18"/>
                <w:szCs w:val="18"/>
                <w:color w:val="auto"/>
              </w:rPr>
              <w:t>276,945</w:t>
            </w:r>
          </w:p>
        </w:tc>
        <w:tc>
          <w:tcPr>
            <w:tcW w:w="320" w:type="dxa"/>
            <w:vAlign w:val="bottom"/>
            <w:tcBorders>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CFF"/>
          </w:tcPr>
          <w:p>
            <w:pPr>
              <w:jc w:val="right"/>
              <w:ind w:right="32"/>
              <w:spacing w:after="0"/>
              <w:rPr>
                <w:sz w:val="20"/>
                <w:szCs w:val="20"/>
                <w:color w:val="auto"/>
              </w:rPr>
            </w:pPr>
            <w:r>
              <w:rPr>
                <w:rFonts w:ascii="Arial" w:cs="Arial" w:eastAsia="Arial" w:hAnsi="Arial"/>
                <w:sz w:val="18"/>
                <w:szCs w:val="18"/>
                <w:color w:val="auto"/>
              </w:rPr>
              <w:t>215,645</w:t>
            </w:r>
          </w:p>
        </w:tc>
      </w:tr>
      <w:tr>
        <w:trPr>
          <w:trHeight w:val="210"/>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CFF"/>
          </w:tcPr>
          <w:p>
            <w:pPr>
              <w:spacing w:after="0"/>
              <w:rPr>
                <w:sz w:val="19"/>
                <w:szCs w:val="19"/>
                <w:color w:val="auto"/>
              </w:rPr>
            </w:pPr>
          </w:p>
        </w:tc>
        <w:tc>
          <w:tcPr>
            <w:tcW w:w="156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440" w:type="dxa"/>
            <w:vAlign w:val="bottom"/>
            <w:shd w:val="clear" w:color="auto" w:fill="CCECFF"/>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00" w:type="dxa"/>
            <w:vAlign w:val="bottom"/>
            <w:shd w:val="clear" w:color="auto" w:fill="CCEC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CFF"/>
          </w:tcPr>
          <w:p>
            <w:pPr>
              <w:jc w:val="right"/>
              <w:ind w:right="132"/>
              <w:spacing w:after="0"/>
              <w:rPr>
                <w:sz w:val="20"/>
                <w:szCs w:val="20"/>
                <w:color w:val="auto"/>
              </w:rPr>
            </w:pPr>
            <w:r>
              <w:rPr>
                <w:rFonts w:ascii="Arial" w:cs="Arial" w:eastAsia="Arial" w:hAnsi="Arial"/>
                <w:sz w:val="18"/>
                <w:szCs w:val="18"/>
                <w:color w:val="auto"/>
              </w:rPr>
              <w:t>2,698</w:t>
            </w:r>
          </w:p>
        </w:tc>
        <w:tc>
          <w:tcPr>
            <w:tcW w:w="3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CFF"/>
          </w:tcPr>
          <w:p>
            <w:pPr>
              <w:jc w:val="right"/>
              <w:ind w:right="32"/>
              <w:spacing w:after="0"/>
              <w:rPr>
                <w:sz w:val="20"/>
                <w:szCs w:val="20"/>
                <w:color w:val="auto"/>
              </w:rPr>
            </w:pPr>
            <w:r>
              <w:rPr>
                <w:rFonts w:ascii="Arial" w:cs="Arial" w:eastAsia="Arial" w:hAnsi="Arial"/>
                <w:sz w:val="18"/>
                <w:szCs w:val="18"/>
                <w:color w:val="auto"/>
              </w:rPr>
              <w:t>374</w:t>
            </w:r>
          </w:p>
        </w:tc>
      </w:tr>
      <w:tr>
        <w:trPr>
          <w:trHeight w:val="230"/>
        </w:trPr>
        <w:tc>
          <w:tcPr>
            <w:tcW w:w="7700" w:type="dxa"/>
            <w:vAlign w:val="bottom"/>
          </w:tcPr>
          <w:p>
            <w:pPr>
              <w:ind w:left="28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988</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1,015</w:t>
            </w:r>
          </w:p>
        </w:tc>
      </w:tr>
      <w:tr>
        <w:trPr>
          <w:trHeight w:val="230"/>
        </w:trPr>
        <w:tc>
          <w:tcPr>
            <w:tcW w:w="7700" w:type="dxa"/>
            <w:vAlign w:val="bottom"/>
            <w:tcBorders>
              <w:bottom w:val="single" w:sz="8" w:color="CCECFF"/>
            </w:tcBorders>
            <w:shd w:val="clear" w:color="auto" w:fill="CCECFF"/>
          </w:tcPr>
          <w:p>
            <w:pPr>
              <w:ind w:left="2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CFF"/>
          </w:tcPr>
          <w:p>
            <w:pPr>
              <w:spacing w:after="0"/>
              <w:rPr>
                <w:sz w:val="19"/>
                <w:szCs w:val="19"/>
                <w:color w:val="auto"/>
              </w:rPr>
            </w:pPr>
          </w:p>
        </w:tc>
        <w:tc>
          <w:tcPr>
            <w:tcW w:w="1560" w:type="dxa"/>
            <w:vAlign w:val="bottom"/>
            <w:tcBorders>
              <w:bottom w:val="single" w:sz="8" w:color="auto"/>
            </w:tcBorders>
            <w:shd w:val="clear" w:color="auto" w:fill="CCECFF"/>
          </w:tcPr>
          <w:p>
            <w:pPr>
              <w:jc w:val="right"/>
              <w:ind w:right="132"/>
              <w:spacing w:after="0"/>
              <w:rPr>
                <w:sz w:val="20"/>
                <w:szCs w:val="20"/>
                <w:color w:val="auto"/>
              </w:rPr>
            </w:pPr>
            <w:r>
              <w:rPr>
                <w:rFonts w:ascii="Arial" w:cs="Arial" w:eastAsia="Arial" w:hAnsi="Arial"/>
                <w:sz w:val="18"/>
                <w:szCs w:val="18"/>
                <w:color w:val="auto"/>
              </w:rPr>
              <w:t>17,935</w:t>
            </w:r>
          </w:p>
        </w:tc>
        <w:tc>
          <w:tcPr>
            <w:tcW w:w="320" w:type="dxa"/>
            <w:vAlign w:val="bottom"/>
            <w:tcBorders>
              <w:bottom w:val="single" w:sz="8" w:color="auto"/>
            </w:tcBorders>
            <w:shd w:val="clear" w:color="auto" w:fill="CCECFF"/>
          </w:tcPr>
          <w:p>
            <w:pPr>
              <w:spacing w:after="0"/>
              <w:rPr>
                <w:sz w:val="19"/>
                <w:szCs w:val="19"/>
                <w:color w:val="auto"/>
              </w:rPr>
            </w:pPr>
          </w:p>
        </w:tc>
        <w:tc>
          <w:tcPr>
            <w:tcW w:w="1440" w:type="dxa"/>
            <w:vAlign w:val="bottom"/>
            <w:tcBorders>
              <w:bottom w:val="single" w:sz="8" w:color="auto"/>
            </w:tcBorders>
            <w:shd w:val="clear" w:color="auto" w:fill="CCECFF"/>
          </w:tcPr>
          <w:p>
            <w:pPr>
              <w:jc w:val="right"/>
              <w:ind w:right="32"/>
              <w:spacing w:after="0"/>
              <w:rPr>
                <w:sz w:val="20"/>
                <w:szCs w:val="20"/>
                <w:color w:val="auto"/>
              </w:rPr>
            </w:pPr>
            <w:r>
              <w:rPr>
                <w:rFonts w:ascii="Arial" w:cs="Arial" w:eastAsia="Arial" w:hAnsi="Arial"/>
                <w:sz w:val="18"/>
                <w:szCs w:val="18"/>
                <w:color w:val="auto"/>
              </w:rPr>
              <w:t>15,160</w:t>
            </w:r>
          </w:p>
        </w:tc>
      </w:tr>
      <w:tr>
        <w:trPr>
          <w:trHeight w:val="223"/>
        </w:trPr>
        <w:tc>
          <w:tcPr>
            <w:tcW w:w="770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21,621</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16,549</w:t>
            </w:r>
          </w:p>
        </w:tc>
      </w:tr>
      <w:tr>
        <w:trPr>
          <w:trHeight w:val="229"/>
        </w:trPr>
        <w:tc>
          <w:tcPr>
            <w:tcW w:w="7700" w:type="dxa"/>
            <w:vAlign w:val="bottom"/>
            <w:tcBorders>
              <w:bottom w:val="single" w:sz="8" w:color="CCECFF"/>
            </w:tcBorders>
            <w:shd w:val="clear" w:color="auto" w:fill="CCECFF"/>
          </w:tcPr>
          <w:p>
            <w:pPr>
              <w:ind w:left="520"/>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tcBorders>
              <w:bottom w:val="single" w:sz="8" w:color="auto"/>
            </w:tcBorders>
            <w:shd w:val="clear" w:color="auto" w:fill="CCECFF"/>
          </w:tcPr>
          <w:p>
            <w:pPr>
              <w:spacing w:after="0"/>
              <w:rPr>
                <w:sz w:val="19"/>
                <w:szCs w:val="19"/>
                <w:color w:val="auto"/>
              </w:rPr>
            </w:pPr>
          </w:p>
        </w:tc>
        <w:tc>
          <w:tcPr>
            <w:tcW w:w="1560" w:type="dxa"/>
            <w:vAlign w:val="bottom"/>
            <w:tcBorders>
              <w:bottom w:val="single" w:sz="8" w:color="auto"/>
            </w:tcBorders>
            <w:shd w:val="clear" w:color="auto" w:fill="CCECFF"/>
          </w:tcPr>
          <w:p>
            <w:pPr>
              <w:jc w:val="right"/>
              <w:ind w:right="132"/>
              <w:spacing w:after="0"/>
              <w:rPr>
                <w:sz w:val="20"/>
                <w:szCs w:val="20"/>
                <w:color w:val="auto"/>
              </w:rPr>
            </w:pPr>
            <w:r>
              <w:rPr>
                <w:rFonts w:ascii="Arial" w:cs="Arial" w:eastAsia="Arial" w:hAnsi="Arial"/>
                <w:sz w:val="18"/>
                <w:szCs w:val="18"/>
                <w:color w:val="auto"/>
              </w:rPr>
              <w:t>1,429</w:t>
            </w:r>
          </w:p>
        </w:tc>
        <w:tc>
          <w:tcPr>
            <w:tcW w:w="320" w:type="dxa"/>
            <w:vAlign w:val="bottom"/>
            <w:tcBorders>
              <w:bottom w:val="single" w:sz="8" w:color="auto"/>
            </w:tcBorders>
            <w:shd w:val="clear" w:color="auto" w:fill="CCECFF"/>
          </w:tcPr>
          <w:p>
            <w:pPr>
              <w:spacing w:after="0"/>
              <w:rPr>
                <w:sz w:val="19"/>
                <w:szCs w:val="19"/>
                <w:color w:val="auto"/>
              </w:rPr>
            </w:pPr>
          </w:p>
        </w:tc>
        <w:tc>
          <w:tcPr>
            <w:tcW w:w="1440" w:type="dxa"/>
            <w:vAlign w:val="bottom"/>
            <w:tcBorders>
              <w:bottom w:val="single" w:sz="8" w:color="auto"/>
            </w:tcBorders>
            <w:shd w:val="clear" w:color="auto" w:fill="CCECFF"/>
          </w:tcPr>
          <w:p>
            <w:pPr>
              <w:jc w:val="right"/>
              <w:ind w:right="32"/>
              <w:spacing w:after="0"/>
              <w:rPr>
                <w:sz w:val="20"/>
                <w:szCs w:val="20"/>
                <w:color w:val="auto"/>
              </w:rPr>
            </w:pPr>
            <w:r>
              <w:rPr>
                <w:rFonts w:ascii="Arial" w:cs="Arial" w:eastAsia="Arial" w:hAnsi="Arial"/>
                <w:sz w:val="18"/>
                <w:szCs w:val="18"/>
                <w:color w:val="auto"/>
              </w:rPr>
              <w:t>1,550</w:t>
            </w:r>
          </w:p>
        </w:tc>
      </w:tr>
      <w:tr>
        <w:trPr>
          <w:trHeight w:val="223"/>
        </w:trPr>
        <w:tc>
          <w:tcPr>
            <w:tcW w:w="770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23,050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18,099</w:t>
            </w:r>
          </w:p>
        </w:tc>
      </w:tr>
      <w:tr>
        <w:trPr>
          <w:trHeight w:val="223"/>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shd w:val="clear" w:color="auto" w:fill="CCECFF"/>
          </w:tcPr>
          <w:p>
            <w:pPr>
              <w:spacing w:after="0"/>
              <w:rPr>
                <w:sz w:val="19"/>
                <w:szCs w:val="19"/>
                <w:color w:val="auto"/>
              </w:rPr>
            </w:pPr>
          </w:p>
        </w:tc>
        <w:tc>
          <w:tcPr>
            <w:tcW w:w="156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440" w:type="dxa"/>
            <w:vAlign w:val="bottom"/>
            <w:shd w:val="clear" w:color="auto" w:fill="CCECFF"/>
          </w:tcPr>
          <w:p>
            <w:pPr>
              <w:spacing w:after="0"/>
              <w:rPr>
                <w:sz w:val="19"/>
                <w:szCs w:val="19"/>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97"/>
        </w:trPr>
        <w:tc>
          <w:tcPr>
            <w:tcW w:w="7700" w:type="dxa"/>
            <w:vAlign w:val="bottom"/>
            <w:shd w:val="clear" w:color="auto" w:fill="CCECFF"/>
          </w:tcPr>
          <w:p>
            <w:pPr>
              <w:ind w:left="20"/>
              <w:spacing w:after="0" w:line="197" w:lineRule="exact"/>
              <w:rPr>
                <w:sz w:val="20"/>
                <w:szCs w:val="20"/>
                <w:color w:val="auto"/>
              </w:rPr>
            </w:pPr>
            <w:r>
              <w:rPr>
                <w:rFonts w:ascii="Arial" w:cs="Arial" w:eastAsia="Arial" w:hAnsi="Arial"/>
                <w:sz w:val="18"/>
                <w:szCs w:val="18"/>
                <w:color w:val="auto"/>
              </w:rPr>
              <w:t>Preferred stock, $0.0001 par value; 10,000,000 shares authorized as of December 31, 2023</w:t>
            </w:r>
          </w:p>
        </w:tc>
        <w:tc>
          <w:tcPr>
            <w:tcW w:w="220" w:type="dxa"/>
            <w:vAlign w:val="bottom"/>
            <w:shd w:val="clear" w:color="auto" w:fill="CCECFF"/>
          </w:tcPr>
          <w:p>
            <w:pPr>
              <w:spacing w:after="0"/>
              <w:rPr>
                <w:sz w:val="17"/>
                <w:szCs w:val="17"/>
                <w:color w:val="auto"/>
              </w:rPr>
            </w:pPr>
          </w:p>
        </w:tc>
        <w:tc>
          <w:tcPr>
            <w:tcW w:w="156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440" w:type="dxa"/>
            <w:vAlign w:val="bottom"/>
            <w:shd w:val="clear" w:color="auto" w:fill="CCECFF"/>
          </w:tcPr>
          <w:p>
            <w:pPr>
              <w:spacing w:after="0"/>
              <w:rPr>
                <w:sz w:val="17"/>
                <w:szCs w:val="17"/>
                <w:color w:val="auto"/>
              </w:rPr>
            </w:pPr>
          </w:p>
        </w:tc>
      </w:tr>
      <w:tr>
        <w:trPr>
          <w:trHeight w:val="203"/>
        </w:trPr>
        <w:tc>
          <w:tcPr>
            <w:tcW w:w="77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and December 31, 2022; no shares issued and outstanding as of December 31, 2023 and</w:t>
            </w:r>
          </w:p>
        </w:tc>
        <w:tc>
          <w:tcPr>
            <w:tcW w:w="220" w:type="dxa"/>
            <w:vAlign w:val="bottom"/>
            <w:shd w:val="clear" w:color="auto" w:fill="CCECFF"/>
          </w:tcPr>
          <w:p>
            <w:pPr>
              <w:spacing w:after="0"/>
              <w:rPr>
                <w:sz w:val="17"/>
                <w:szCs w:val="17"/>
                <w:color w:val="auto"/>
              </w:rPr>
            </w:pPr>
          </w:p>
        </w:tc>
        <w:tc>
          <w:tcPr>
            <w:tcW w:w="156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440" w:type="dxa"/>
            <w:vAlign w:val="bottom"/>
            <w:shd w:val="clear" w:color="auto" w:fill="CCECFF"/>
          </w:tcPr>
          <w:p>
            <w:pPr>
              <w:spacing w:after="0"/>
              <w:rPr>
                <w:sz w:val="17"/>
                <w:szCs w:val="17"/>
                <w:color w:val="auto"/>
              </w:rPr>
            </w:pPr>
          </w:p>
        </w:tc>
      </w:tr>
      <w:tr>
        <w:trPr>
          <w:trHeight w:val="235"/>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December 31, 2022.</w:t>
            </w:r>
          </w:p>
        </w:tc>
        <w:tc>
          <w:tcPr>
            <w:tcW w:w="220" w:type="dxa"/>
            <w:vAlign w:val="bottom"/>
            <w:shd w:val="clear" w:color="auto" w:fill="CCECFF"/>
          </w:tcPr>
          <w:p>
            <w:pPr>
              <w:spacing w:after="0"/>
              <w:rPr>
                <w:sz w:val="20"/>
                <w:szCs w:val="20"/>
                <w:color w:val="auto"/>
              </w:rPr>
            </w:pPr>
          </w:p>
        </w:tc>
        <w:tc>
          <w:tcPr>
            <w:tcW w:w="1560" w:type="dxa"/>
            <w:vAlign w:val="bottom"/>
            <w:shd w:val="clear" w:color="auto" w:fill="CCECFF"/>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CFF"/>
          </w:tcPr>
          <w:p>
            <w:pPr>
              <w:spacing w:after="0"/>
              <w:rPr>
                <w:sz w:val="20"/>
                <w:szCs w:val="20"/>
                <w:color w:val="auto"/>
              </w:rPr>
            </w:pPr>
          </w:p>
        </w:tc>
        <w:tc>
          <w:tcPr>
            <w:tcW w:w="1440" w:type="dxa"/>
            <w:vAlign w:val="bottom"/>
            <w:shd w:val="clear" w:color="auto" w:fill="CCECFF"/>
          </w:tcPr>
          <w:p>
            <w:pPr>
              <w:jc w:val="right"/>
              <w:ind w:right="32"/>
              <w:spacing w:after="0"/>
              <w:rPr>
                <w:sz w:val="20"/>
                <w:szCs w:val="20"/>
                <w:color w:val="auto"/>
              </w:rPr>
            </w:pPr>
            <w:r>
              <w:rPr>
                <w:rFonts w:ascii="Arial" w:cs="Arial" w:eastAsia="Arial" w:hAnsi="Arial"/>
                <w:sz w:val="18"/>
                <w:szCs w:val="18"/>
                <w:color w:val="auto"/>
              </w:rPr>
              <w:t>—</w:t>
            </w:r>
          </w:p>
        </w:tc>
      </w:tr>
      <w:tr>
        <w:trPr>
          <w:trHeight w:val="197"/>
        </w:trPr>
        <w:tc>
          <w:tcPr>
            <w:tcW w:w="7700" w:type="dxa"/>
            <w:vAlign w:val="bottom"/>
          </w:tcPr>
          <w:p>
            <w:pPr>
              <w:ind w:left="20"/>
              <w:spacing w:after="0" w:line="197" w:lineRule="exact"/>
              <w:rPr>
                <w:sz w:val="20"/>
                <w:szCs w:val="20"/>
                <w:color w:val="auto"/>
              </w:rPr>
            </w:pPr>
            <w:r>
              <w:rPr>
                <w:rFonts w:ascii="Arial" w:cs="Arial" w:eastAsia="Arial" w:hAnsi="Arial"/>
                <w:sz w:val="18"/>
                <w:szCs w:val="18"/>
                <w:color w:val="auto"/>
              </w:rPr>
              <w:t>Common stock, $0.0001 par value; 490,000,000 shares authorized as of December 31, 2023</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and December 31, 2022; 55,097,118 and 40,601,648 shares issued as of December 31, 2023</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and December 31, 2022, respectively; 54,992,784 and 40,287,097 shares outstanding as of</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5"/>
        </w:trPr>
        <w:tc>
          <w:tcPr>
            <w:tcW w:w="7700" w:type="dxa"/>
            <w:vAlign w:val="bottom"/>
          </w:tcPr>
          <w:p>
            <w:pPr>
              <w:ind w:left="20"/>
              <w:spacing w:after="0"/>
              <w:rPr>
                <w:sz w:val="20"/>
                <w:szCs w:val="20"/>
                <w:color w:val="auto"/>
              </w:rPr>
            </w:pPr>
            <w:r>
              <w:rPr>
                <w:rFonts w:ascii="Arial" w:cs="Arial" w:eastAsia="Arial" w:hAnsi="Arial"/>
                <w:sz w:val="18"/>
                <w:szCs w:val="18"/>
                <w:color w:val="auto"/>
              </w:rPr>
              <w:t>December 31, 2023 and December 31, 2022, respectively.</w:t>
            </w:r>
          </w:p>
        </w:tc>
        <w:tc>
          <w:tcPr>
            <w:tcW w:w="220" w:type="dxa"/>
            <w:vAlign w:val="bottom"/>
          </w:tcPr>
          <w:p>
            <w:pPr>
              <w:spacing w:after="0"/>
              <w:rPr>
                <w:sz w:val="20"/>
                <w:szCs w:val="20"/>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w:t>
            </w:r>
          </w:p>
        </w:tc>
      </w:tr>
      <w:tr>
        <w:trPr>
          <w:trHeight w:val="230"/>
        </w:trPr>
        <w:tc>
          <w:tcPr>
            <w:tcW w:w="77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CFF"/>
          </w:tcPr>
          <w:p>
            <w:pPr>
              <w:spacing w:after="0"/>
              <w:rPr>
                <w:sz w:val="19"/>
                <w:szCs w:val="19"/>
                <w:color w:val="auto"/>
              </w:rPr>
            </w:pPr>
          </w:p>
        </w:tc>
        <w:tc>
          <w:tcPr>
            <w:tcW w:w="1560" w:type="dxa"/>
            <w:vAlign w:val="bottom"/>
            <w:shd w:val="clear" w:color="auto" w:fill="CCECFF"/>
          </w:tcPr>
          <w:p>
            <w:pPr>
              <w:jc w:val="right"/>
              <w:ind w:right="132"/>
              <w:spacing w:after="0"/>
              <w:rPr>
                <w:sz w:val="20"/>
                <w:szCs w:val="20"/>
                <w:color w:val="auto"/>
              </w:rPr>
            </w:pPr>
            <w:r>
              <w:rPr>
                <w:rFonts w:ascii="Arial" w:cs="Arial" w:eastAsia="Arial" w:hAnsi="Arial"/>
                <w:sz w:val="18"/>
                <w:szCs w:val="18"/>
                <w:color w:val="auto"/>
              </w:rPr>
              <w:t>559,176</w:t>
            </w:r>
          </w:p>
        </w:tc>
        <w:tc>
          <w:tcPr>
            <w:tcW w:w="320" w:type="dxa"/>
            <w:vAlign w:val="bottom"/>
            <w:shd w:val="clear" w:color="auto" w:fill="CCECFF"/>
          </w:tcPr>
          <w:p>
            <w:pPr>
              <w:spacing w:after="0"/>
              <w:rPr>
                <w:sz w:val="19"/>
                <w:szCs w:val="19"/>
                <w:color w:val="auto"/>
              </w:rPr>
            </w:pPr>
          </w:p>
        </w:tc>
        <w:tc>
          <w:tcPr>
            <w:tcW w:w="1440" w:type="dxa"/>
            <w:vAlign w:val="bottom"/>
            <w:shd w:val="clear" w:color="auto" w:fill="CCECFF"/>
          </w:tcPr>
          <w:p>
            <w:pPr>
              <w:jc w:val="right"/>
              <w:ind w:right="32"/>
              <w:spacing w:after="0"/>
              <w:rPr>
                <w:sz w:val="20"/>
                <w:szCs w:val="20"/>
                <w:color w:val="auto"/>
              </w:rPr>
            </w:pPr>
            <w:r>
              <w:rPr>
                <w:rFonts w:ascii="Arial" w:cs="Arial" w:eastAsia="Arial" w:hAnsi="Arial"/>
                <w:sz w:val="18"/>
                <w:szCs w:val="18"/>
                <w:color w:val="auto"/>
              </w:rPr>
              <w:t>408,333</w:t>
            </w: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Accumulated other comprehensive gain (loss)</w:t>
            </w:r>
          </w:p>
        </w:tc>
        <w:tc>
          <w:tcPr>
            <w:tcW w:w="22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(1,813 )</w:t>
            </w:r>
          </w:p>
        </w:tc>
      </w:tr>
      <w:tr>
        <w:trPr>
          <w:trHeight w:val="230"/>
        </w:trPr>
        <w:tc>
          <w:tcPr>
            <w:tcW w:w="7700" w:type="dxa"/>
            <w:vAlign w:val="bottom"/>
            <w:tcBorders>
              <w:bottom w:val="single" w:sz="8" w:color="CCECFF"/>
            </w:tcBorders>
            <w:shd w:val="clear" w:color="auto" w:fill="CCECFF"/>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CFF"/>
          </w:tcPr>
          <w:p>
            <w:pPr>
              <w:spacing w:after="0"/>
              <w:rPr>
                <w:sz w:val="19"/>
                <w:szCs w:val="19"/>
                <w:color w:val="auto"/>
              </w:rPr>
            </w:pPr>
          </w:p>
        </w:tc>
        <w:tc>
          <w:tcPr>
            <w:tcW w:w="1560" w:type="dxa"/>
            <w:vAlign w:val="bottom"/>
            <w:tcBorders>
              <w:bottom w:val="single" w:sz="8" w:color="auto"/>
            </w:tcBorders>
            <w:shd w:val="clear" w:color="auto" w:fill="CCECFF"/>
          </w:tcPr>
          <w:p>
            <w:pPr>
              <w:jc w:val="right"/>
              <w:ind w:right="32"/>
              <w:spacing w:after="0"/>
              <w:rPr>
                <w:sz w:val="20"/>
                <w:szCs w:val="20"/>
                <w:color w:val="auto"/>
              </w:rPr>
            </w:pPr>
            <w:r>
              <w:rPr>
                <w:rFonts w:ascii="Arial" w:cs="Arial" w:eastAsia="Arial" w:hAnsi="Arial"/>
                <w:sz w:val="18"/>
                <w:szCs w:val="18"/>
                <w:color w:val="auto"/>
              </w:rPr>
              <w:t>(305,632 )</w:t>
            </w:r>
          </w:p>
        </w:tc>
        <w:tc>
          <w:tcPr>
            <w:tcW w:w="320" w:type="dxa"/>
            <w:vAlign w:val="bottom"/>
            <w:tcBorders>
              <w:bottom w:val="single" w:sz="8" w:color="auto"/>
            </w:tcBorders>
            <w:shd w:val="clear" w:color="auto" w:fill="CCECFF"/>
          </w:tcPr>
          <w:p>
            <w:pPr>
              <w:spacing w:after="0"/>
              <w:rPr>
                <w:sz w:val="19"/>
                <w:szCs w:val="19"/>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(208,977 )</w:t>
            </w:r>
          </w:p>
        </w:tc>
      </w:tr>
      <w:tr>
        <w:trPr>
          <w:trHeight w:val="223"/>
        </w:trPr>
        <w:tc>
          <w:tcPr>
            <w:tcW w:w="7700" w:type="dxa"/>
            <w:vAlign w:val="bottom"/>
          </w:tcPr>
          <w:p>
            <w:pPr>
              <w:ind w:left="5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253,895</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197,546</w:t>
            </w:r>
          </w:p>
        </w:tc>
      </w:tr>
      <w:tr>
        <w:trPr>
          <w:trHeight w:val="263"/>
        </w:trPr>
        <w:tc>
          <w:tcPr>
            <w:tcW w:w="7700" w:type="dxa"/>
            <w:vAlign w:val="bottom"/>
            <w:tcBorders>
              <w:bottom w:val="single" w:sz="8" w:color="auto"/>
            </w:tcBorders>
            <w:shd w:val="clear" w:color="auto" w:fill="CCECFF"/>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CFF"/>
          </w:tcPr>
          <w:p>
            <w:pPr>
              <w:jc w:val="right"/>
              <w:ind w:right="132"/>
              <w:spacing w:after="0"/>
              <w:rPr>
                <w:sz w:val="20"/>
                <w:szCs w:val="20"/>
                <w:color w:val="auto"/>
              </w:rPr>
            </w:pPr>
            <w:r>
              <w:rPr>
                <w:rFonts w:ascii="Arial" w:cs="Arial" w:eastAsia="Arial" w:hAnsi="Arial"/>
                <w:sz w:val="18"/>
                <w:szCs w:val="18"/>
                <w:color w:val="auto"/>
              </w:rPr>
              <w:t>276,945</w:t>
            </w:r>
          </w:p>
        </w:tc>
        <w:tc>
          <w:tcPr>
            <w:tcW w:w="320" w:type="dxa"/>
            <w:vAlign w:val="bottom"/>
            <w:tcBorders>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CFF"/>
          </w:tcPr>
          <w:p>
            <w:pPr>
              <w:jc w:val="right"/>
              <w:ind w:right="32"/>
              <w:spacing w:after="0"/>
              <w:rPr>
                <w:sz w:val="20"/>
                <w:szCs w:val="20"/>
                <w:color w:val="auto"/>
              </w:rPr>
            </w:pPr>
            <w:r>
              <w:rPr>
                <w:rFonts w:ascii="Arial" w:cs="Arial" w:eastAsia="Arial" w:hAnsi="Arial"/>
                <w:sz w:val="18"/>
                <w:szCs w:val="18"/>
                <w:color w:val="auto"/>
              </w:rPr>
              <w:t>215,645</w:t>
            </w:r>
          </w:p>
        </w:tc>
      </w:tr>
    </w:tbl>
    <w:p>
      <w:pPr>
        <w:spacing w:after="0" w:line="213" w:lineRule="exact"/>
        <w:rPr>
          <w:sz w:val="20"/>
          <w:szCs w:val="20"/>
          <w:color w:val="auto"/>
        </w:rPr>
      </w:pPr>
    </w:p>
    <w:p>
      <w:pPr>
        <w:ind w:left="33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for share and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3280" w:type="dxa"/>
            <w:vAlign w:val="bottom"/>
            <w:tcBorders>
              <w:top w:val="single" w:sz="8" w:color="auto"/>
              <w:bottom w:val="single" w:sz="8" w:color="auto"/>
            </w:tcBorders>
            <w:gridSpan w:val="3"/>
          </w:tcPr>
          <w:p>
            <w:pPr>
              <w:jc w:val="right"/>
              <w:ind w:right="932"/>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7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2022</w:t>
            </w:r>
          </w:p>
        </w:tc>
      </w:tr>
      <w:tr>
        <w:trPr>
          <w:trHeight w:val="223"/>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9"/>
        </w:trPr>
        <w:tc>
          <w:tcPr>
            <w:tcW w:w="74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86,140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82,274</w:t>
            </w:r>
          </w:p>
        </w:tc>
      </w:tr>
      <w:tr>
        <w:trPr>
          <w:trHeight w:val="230"/>
        </w:trPr>
        <w:tc>
          <w:tcPr>
            <w:tcW w:w="74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rPr>
              <w:t>18,821</w:t>
            </w:r>
          </w:p>
        </w:tc>
        <w:tc>
          <w:tcPr>
            <w:tcW w:w="5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24,714</w:t>
            </w:r>
          </w:p>
        </w:tc>
      </w:tr>
      <w:tr>
        <w:trPr>
          <w:trHeight w:val="223"/>
        </w:trPr>
        <w:tc>
          <w:tcPr>
            <w:tcW w:w="748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104,961</w:t>
            </w: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106,988</w:t>
            </w:r>
          </w:p>
        </w:tc>
      </w:tr>
      <w:tr>
        <w:trPr>
          <w:trHeight w:val="223"/>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(104,961 )</w:t>
            </w: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(106,988 )</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4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8,325</w:t>
            </w: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2,228</w:t>
            </w:r>
          </w:p>
        </w:tc>
      </w:tr>
      <w:tr>
        <w:trPr>
          <w:trHeight w:val="229"/>
        </w:trPr>
        <w:tc>
          <w:tcPr>
            <w:tcW w:w="748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(19 )</w:t>
            </w: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223"/>
        </w:trPr>
        <w:tc>
          <w:tcPr>
            <w:tcW w:w="74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other income</w:t>
            </w:r>
          </w:p>
        </w:tc>
        <w:tc>
          <w:tcPr>
            <w:tcW w:w="1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rPr>
              <w:t>8,306</w:t>
            </w:r>
          </w:p>
        </w:tc>
        <w:tc>
          <w:tcPr>
            <w:tcW w:w="5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2,201</w:t>
            </w:r>
          </w:p>
        </w:tc>
      </w:tr>
      <w:tr>
        <w:trPr>
          <w:trHeight w:val="223"/>
        </w:trPr>
        <w:tc>
          <w:tcPr>
            <w:tcW w:w="7480" w:type="dxa"/>
            <w:vAlign w:val="bottom"/>
          </w:tcPr>
          <w:p>
            <w:pPr>
              <w:ind w:left="40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(96,655 )</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(104,787 )</w:t>
            </w:r>
          </w:p>
        </w:tc>
      </w:tr>
      <w:tr>
        <w:trPr>
          <w:trHeight w:val="20"/>
        </w:trPr>
        <w:tc>
          <w:tcPr>
            <w:tcW w:w="7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0"/>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(2.14 )</w:t>
            </w:r>
          </w:p>
        </w:tc>
        <w:tc>
          <w:tcPr>
            <w:tcW w:w="50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(2.62 )</w:t>
            </w:r>
          </w:p>
        </w:tc>
      </w:tr>
      <w:tr>
        <w:trPr>
          <w:trHeight w:val="210"/>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shares used to compute net loss per share, basic and diluted</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45,247,098</w:t>
            </w: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39,995,460</w:t>
            </w:r>
          </w:p>
        </w:tc>
      </w:tr>
      <w:tr>
        <w:trPr>
          <w:trHeight w:val="20"/>
        </w:trPr>
        <w:tc>
          <w:tcPr>
            <w:tcW w:w="7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gridSpan w:val="3"/>
          </w:tcPr>
          <w:p>
            <w:pPr>
              <w:spacing w:after="0" w:line="20" w:lineRule="exact"/>
              <w:rPr>
                <w:sz w:val="1"/>
                <w:szCs w:val="1"/>
                <w:color w:val="auto"/>
              </w:rPr>
            </w:pPr>
          </w:p>
        </w:tc>
      </w:tr>
      <w:tr>
        <w:trPr>
          <w:trHeight w:val="224"/>
        </w:trPr>
        <w:tc>
          <w:tcPr>
            <w:tcW w:w="7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3"/>
          </w:tcPr>
          <w:p>
            <w:pPr>
              <w:spacing w:after="0"/>
              <w:rPr>
                <w:sz w:val="19"/>
                <w:szCs w:val="19"/>
                <w:color w:val="auto"/>
              </w:rPr>
            </w:pPr>
          </w:p>
        </w:tc>
      </w:tr>
      <w:tr>
        <w:trPr>
          <w:trHeight w:val="183"/>
        </w:trPr>
        <w:tc>
          <w:tcPr>
            <w:tcW w:w="7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tcPr>
          <w:p>
            <w:pPr>
              <w:jc w:val="right"/>
              <w:ind w:right="852"/>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7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r>
      <w:tr>
        <w:trPr>
          <w:trHeight w:val="223"/>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(96,655 )</w:t>
            </w:r>
          </w:p>
        </w:tc>
        <w:tc>
          <w:tcPr>
            <w:tcW w:w="5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(104,787 )</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4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unrealized gain (loss) on marketable securities</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2,160</w:t>
            </w:r>
          </w:p>
        </w:tc>
        <w:tc>
          <w:tcPr>
            <w:tcW w:w="5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(1,664 )</w:t>
            </w:r>
          </w:p>
        </w:tc>
      </w:tr>
      <w:tr>
        <w:trPr>
          <w:trHeight w:val="22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comprehensive loss</w:t>
            </w:r>
          </w:p>
        </w:tc>
        <w:tc>
          <w:tcPr>
            <w:tcW w:w="4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(94,495 )</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(106,451 )</w:t>
            </w:r>
          </w:p>
        </w:tc>
      </w:tr>
      <w:tr>
        <w:trPr>
          <w:trHeight w:val="20"/>
        </w:trPr>
        <w:tc>
          <w:tcPr>
            <w:tcW w:w="7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Accumulated</w:t>
            </w: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w w:val="99"/>
              </w:rPr>
              <w:t>Additional</w:t>
            </w:r>
          </w:p>
        </w:tc>
        <w:tc>
          <w:tcPr>
            <w:tcW w:w="280" w:type="dxa"/>
            <w:vAlign w:val="bottom"/>
          </w:tcPr>
          <w:p>
            <w:pPr>
              <w:spacing w:after="0"/>
              <w:rPr>
                <w:sz w:val="16"/>
                <w:szCs w:val="16"/>
                <w:color w:val="auto"/>
              </w:rPr>
            </w:pPr>
          </w:p>
        </w:tc>
        <w:tc>
          <w:tcPr>
            <w:tcW w:w="900" w:type="dxa"/>
            <w:vAlign w:val="bottom"/>
          </w:tcPr>
          <w:p>
            <w:pPr>
              <w:jc w:val="center"/>
              <w:ind w:right="248"/>
              <w:spacing w:after="0"/>
              <w:rPr>
                <w:sz w:val="20"/>
                <w:szCs w:val="20"/>
                <w:color w:val="auto"/>
              </w:rPr>
            </w:pPr>
            <w:r>
              <w:rPr>
                <w:rFonts w:ascii="Arial" w:cs="Arial" w:eastAsia="Arial" w:hAnsi="Arial"/>
                <w:sz w:val="14"/>
                <w:szCs w:val="14"/>
                <w:b w:val="1"/>
                <w:bCs w:val="1"/>
                <w:color w:val="auto"/>
              </w:rPr>
              <w:t>Other</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200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00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4"/>
                <w:szCs w:val="14"/>
                <w:color w:val="auto"/>
              </w:rPr>
            </w:pPr>
          </w:p>
        </w:tc>
        <w:tc>
          <w:tcPr>
            <w:tcW w:w="900" w:type="dxa"/>
            <w:vAlign w:val="bottom"/>
          </w:tcPr>
          <w:p>
            <w:pPr>
              <w:jc w:val="center"/>
              <w:ind w:right="268"/>
              <w:spacing w:after="0"/>
              <w:rPr>
                <w:sz w:val="20"/>
                <w:szCs w:val="20"/>
                <w:color w:val="auto"/>
              </w:rPr>
            </w:pPr>
            <w:r>
              <w:rPr>
                <w:rFonts w:ascii="Arial" w:cs="Arial" w:eastAsia="Arial" w:hAnsi="Arial"/>
                <w:sz w:val="14"/>
                <w:szCs w:val="14"/>
                <w:b w:val="1"/>
                <w:bCs w:val="1"/>
                <w:color w:val="auto"/>
              </w:rPr>
              <w:t>ive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4260" w:type="dxa"/>
            <w:vAlign w:val="bottom"/>
          </w:tcPr>
          <w:p>
            <w:pPr>
              <w:spacing w:after="0"/>
              <w:rPr>
                <w:sz w:val="15"/>
                <w:szCs w:val="15"/>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Capital</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(Loss) Gain</w:t>
            </w: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Deficit</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0"/>
        </w:trPr>
        <w:tc>
          <w:tcPr>
            <w:tcW w:w="426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color w:val="auto"/>
              </w:rPr>
              <w:t>Balances at December 31, 2021</w:t>
            </w:r>
          </w:p>
        </w:tc>
        <w:tc>
          <w:tcPr>
            <w:tcW w:w="1100" w:type="dxa"/>
            <w:vAlign w:val="bottom"/>
            <w:shd w:val="clear" w:color="auto" w:fill="CFF0FC"/>
          </w:tcPr>
          <w:p>
            <w:pPr>
              <w:jc w:val="right"/>
              <w:ind w:right="68"/>
              <w:spacing w:after="0" w:line="160" w:lineRule="exact"/>
              <w:rPr>
                <w:sz w:val="20"/>
                <w:szCs w:val="20"/>
                <w:color w:val="auto"/>
              </w:rPr>
            </w:pPr>
            <w:r>
              <w:rPr>
                <w:rFonts w:ascii="Arial" w:cs="Arial" w:eastAsia="Arial" w:hAnsi="Arial"/>
                <w:sz w:val="14"/>
                <w:szCs w:val="14"/>
                <w:color w:val="auto"/>
              </w:rPr>
              <w:t>39,797,26</w:t>
            </w:r>
          </w:p>
        </w:tc>
        <w:tc>
          <w:tcPr>
            <w:tcW w:w="9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6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w:t>
            </w:r>
          </w:p>
        </w:tc>
        <w:tc>
          <w:tcPr>
            <w:tcW w:w="90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388,904</w:t>
            </w:r>
          </w:p>
        </w:tc>
        <w:tc>
          <w:tcPr>
            <w:tcW w:w="2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(149 )</w:t>
            </w:r>
          </w:p>
        </w:tc>
        <w:tc>
          <w:tcPr>
            <w:tcW w:w="11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(104,190 )</w:t>
            </w:r>
          </w:p>
        </w:tc>
        <w:tc>
          <w:tcPr>
            <w:tcW w:w="2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284,568</w:t>
            </w:r>
          </w:p>
        </w:tc>
        <w:tc>
          <w:tcPr>
            <w:tcW w:w="0" w:type="dxa"/>
            <w:vAlign w:val="bottom"/>
          </w:tcPr>
          <w:p>
            <w:pPr>
              <w:spacing w:after="0"/>
              <w:rPr>
                <w:sz w:val="1"/>
                <w:szCs w:val="1"/>
                <w:color w:val="auto"/>
              </w:rPr>
            </w:pPr>
          </w:p>
        </w:tc>
      </w:tr>
      <w:tr>
        <w:trPr>
          <w:trHeight w:val="183"/>
        </w:trPr>
        <w:tc>
          <w:tcPr>
            <w:tcW w:w="42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18,453</w:t>
            </w:r>
          </w:p>
        </w:tc>
        <w:tc>
          <w:tcPr>
            <w:tcW w:w="28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18,453</w:t>
            </w: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Employee stock purchase plan expense</w:t>
            </w:r>
          </w:p>
        </w:tc>
        <w:tc>
          <w:tcPr>
            <w:tcW w:w="11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376</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4"/>
                <w:szCs w:val="14"/>
                <w:color w:val="auto"/>
              </w:rPr>
              <w:t>Issuance of shares under employee stock purchase plan</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177,112</w:t>
            </w:r>
          </w:p>
        </w:tc>
        <w:tc>
          <w:tcPr>
            <w:tcW w:w="90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330</w:t>
            </w:r>
          </w:p>
        </w:tc>
        <w:tc>
          <w:tcPr>
            <w:tcW w:w="2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1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87,490</w:t>
            </w: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146</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4"/>
                <w:szCs w:val="14"/>
                <w:color w:val="auto"/>
              </w:rPr>
              <w:t>Vesting of early exercised stock options</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27,958</w:t>
            </w:r>
          </w:p>
        </w:tc>
        <w:tc>
          <w:tcPr>
            <w:tcW w:w="90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124</w:t>
            </w:r>
          </w:p>
        </w:tc>
        <w:tc>
          <w:tcPr>
            <w:tcW w:w="2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awards</w:t>
            </w:r>
          </w:p>
        </w:tc>
        <w:tc>
          <w:tcPr>
            <w:tcW w:w="11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197,274</w:t>
            </w: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4"/>
                <w:szCs w:val="14"/>
                <w:color w:val="auto"/>
              </w:rPr>
              <w:t>Net unrealized loss on marketable securities</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(1,664 )</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(1,664 )</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(104,787 )</w:t>
            </w:r>
          </w:p>
        </w:tc>
        <w:tc>
          <w:tcPr>
            <w:tcW w:w="2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(104,787 )</w:t>
            </w:r>
          </w:p>
        </w:tc>
        <w:tc>
          <w:tcPr>
            <w:tcW w:w="0" w:type="dxa"/>
            <w:vAlign w:val="bottom"/>
          </w:tcPr>
          <w:p>
            <w:pPr>
              <w:spacing w:after="0"/>
              <w:rPr>
                <w:sz w:val="1"/>
                <w:szCs w:val="1"/>
                <w:color w:val="auto"/>
              </w:rPr>
            </w:pPr>
          </w:p>
        </w:tc>
      </w:tr>
      <w:tr>
        <w:trPr>
          <w:trHeight w:val="160"/>
        </w:trPr>
        <w:tc>
          <w:tcPr>
            <w:tcW w:w="4260" w:type="dxa"/>
            <w:vAlign w:val="bottom"/>
          </w:tcPr>
          <w:p>
            <w:pPr>
              <w:ind w:left="20"/>
              <w:spacing w:after="0" w:line="160" w:lineRule="exact"/>
              <w:rPr>
                <w:sz w:val="20"/>
                <w:szCs w:val="20"/>
                <w:color w:val="auto"/>
              </w:rPr>
            </w:pPr>
            <w:r>
              <w:rPr>
                <w:rFonts w:ascii="Arial" w:cs="Arial" w:eastAsia="Arial" w:hAnsi="Arial"/>
                <w:sz w:val="14"/>
                <w:szCs w:val="14"/>
                <w:color w:val="auto"/>
              </w:rPr>
              <w:t>Balances at December 31, 2022</w:t>
            </w:r>
          </w:p>
        </w:tc>
        <w:tc>
          <w:tcPr>
            <w:tcW w:w="1100" w:type="dxa"/>
            <w:vAlign w:val="bottom"/>
          </w:tcPr>
          <w:p>
            <w:pPr>
              <w:jc w:val="right"/>
              <w:ind w:right="68"/>
              <w:spacing w:after="0" w:line="160" w:lineRule="exact"/>
              <w:rPr>
                <w:sz w:val="20"/>
                <w:szCs w:val="20"/>
                <w:color w:val="auto"/>
              </w:rPr>
            </w:pPr>
            <w:r>
              <w:rPr>
                <w:rFonts w:ascii="Arial" w:cs="Arial" w:eastAsia="Arial" w:hAnsi="Arial"/>
                <w:sz w:val="14"/>
                <w:szCs w:val="14"/>
                <w:color w:val="auto"/>
              </w:rPr>
              <w:t>40,287,09</w:t>
            </w: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9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408,333</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(1,813 )</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(208,977 )</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197,546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26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Issuance of shares under equity private placement, net of</w:t>
            </w:r>
          </w:p>
        </w:tc>
        <w:tc>
          <w:tcPr>
            <w:tcW w:w="1100" w:type="dxa"/>
            <w:vAlign w:val="bottom"/>
            <w:shd w:val="clear" w:color="auto" w:fill="CFF0FC"/>
          </w:tcPr>
          <w:p>
            <w:pPr>
              <w:jc w:val="right"/>
              <w:ind w:right="68"/>
              <w:spacing w:after="0" w:line="147" w:lineRule="exact"/>
              <w:rPr>
                <w:sz w:val="20"/>
                <w:szCs w:val="20"/>
                <w:color w:val="auto"/>
              </w:rPr>
            </w:pPr>
            <w:r>
              <w:rPr>
                <w:rFonts w:ascii="Arial" w:cs="Arial" w:eastAsia="Arial" w:hAnsi="Arial"/>
                <w:sz w:val="14"/>
                <w:szCs w:val="14"/>
                <w:color w:val="auto"/>
              </w:rPr>
              <w:t>13,211,38</w:t>
            </w:r>
          </w:p>
        </w:tc>
        <w:tc>
          <w:tcPr>
            <w:tcW w:w="9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 of $264</w:t>
            </w:r>
          </w:p>
        </w:tc>
        <w:tc>
          <w:tcPr>
            <w:tcW w:w="11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129,735</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129,736</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16,804</w:t>
            </w:r>
          </w:p>
        </w:tc>
        <w:tc>
          <w:tcPr>
            <w:tcW w:w="2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16,804</w:t>
            </w: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11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733,867</w:t>
            </w: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2,722</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2,722</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4"/>
                <w:szCs w:val="14"/>
                <w:color w:val="auto"/>
              </w:rPr>
              <w:t>Issuance of shares under employee stock purchase plan</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333,503</w:t>
            </w:r>
          </w:p>
        </w:tc>
        <w:tc>
          <w:tcPr>
            <w:tcW w:w="90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1,050</w:t>
            </w:r>
          </w:p>
        </w:tc>
        <w:tc>
          <w:tcPr>
            <w:tcW w:w="2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Employee stock purchase plan expense</w:t>
            </w:r>
          </w:p>
        </w:tc>
        <w:tc>
          <w:tcPr>
            <w:tcW w:w="11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452</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4"/>
                <w:szCs w:val="14"/>
                <w:color w:val="auto"/>
              </w:rPr>
              <w:t>Vesting of early exercised stock options</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18,640</w:t>
            </w:r>
          </w:p>
        </w:tc>
        <w:tc>
          <w:tcPr>
            <w:tcW w:w="90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80</w:t>
            </w:r>
          </w:p>
        </w:tc>
        <w:tc>
          <w:tcPr>
            <w:tcW w:w="2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awards</w:t>
            </w:r>
          </w:p>
        </w:tc>
        <w:tc>
          <w:tcPr>
            <w:tcW w:w="11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191,296</w:t>
            </w: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4"/>
                <w:szCs w:val="14"/>
                <w:color w:val="auto"/>
              </w:rPr>
              <w:t>Vesting of performance-based restricted stock unit awards</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217,000</w:t>
            </w:r>
          </w:p>
        </w:tc>
        <w:tc>
          <w:tcPr>
            <w:tcW w:w="900" w:type="dxa"/>
            <w:vAlign w:val="bottom"/>
          </w:tcPr>
          <w:p>
            <w:pPr>
              <w:spacing w:after="0"/>
              <w:rPr>
                <w:sz w:val="16"/>
                <w:szCs w:val="16"/>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unrealized gain on marketable securities</w:t>
            </w:r>
          </w:p>
        </w:tc>
        <w:tc>
          <w:tcPr>
            <w:tcW w:w="11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2,160</w:t>
            </w: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189"/>
        </w:trPr>
        <w:tc>
          <w:tcPr>
            <w:tcW w:w="42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(96,655 )</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(96,655 )</w:t>
            </w:r>
          </w:p>
        </w:tc>
        <w:tc>
          <w:tcPr>
            <w:tcW w:w="0" w:type="dxa"/>
            <w:vAlign w:val="bottom"/>
          </w:tcPr>
          <w:p>
            <w:pPr>
              <w:spacing w:after="0"/>
              <w:rPr>
                <w:sz w:val="1"/>
                <w:szCs w:val="1"/>
                <w:color w:val="auto"/>
              </w:rPr>
            </w:pPr>
          </w:p>
        </w:tc>
      </w:tr>
      <w:tr>
        <w:trPr>
          <w:trHeight w:val="160"/>
        </w:trPr>
        <w:tc>
          <w:tcPr>
            <w:tcW w:w="426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color w:val="auto"/>
              </w:rPr>
              <w:t>Balances at December 31, 2023</w:t>
            </w:r>
          </w:p>
        </w:tc>
        <w:tc>
          <w:tcPr>
            <w:tcW w:w="1100" w:type="dxa"/>
            <w:vAlign w:val="bottom"/>
            <w:shd w:val="clear" w:color="auto" w:fill="CFF0FC"/>
          </w:tcPr>
          <w:p>
            <w:pPr>
              <w:jc w:val="right"/>
              <w:ind w:right="68"/>
              <w:spacing w:after="0" w:line="160" w:lineRule="exact"/>
              <w:rPr>
                <w:sz w:val="20"/>
                <w:szCs w:val="20"/>
                <w:color w:val="auto"/>
              </w:rPr>
            </w:pPr>
            <w:r>
              <w:rPr>
                <w:rFonts w:ascii="Arial" w:cs="Arial" w:eastAsia="Arial" w:hAnsi="Arial"/>
                <w:sz w:val="14"/>
                <w:szCs w:val="14"/>
                <w:color w:val="auto"/>
              </w:rPr>
              <w:t>54,992,78</w:t>
            </w:r>
          </w:p>
        </w:tc>
        <w:tc>
          <w:tcPr>
            <w:tcW w:w="9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w:t>
            </w:r>
          </w:p>
        </w:tc>
        <w:tc>
          <w:tcPr>
            <w:tcW w:w="900" w:type="dxa"/>
            <w:vAlign w:val="bottom"/>
            <w:tcBorders>
              <w:bottom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559,176</w:t>
            </w:r>
          </w:p>
        </w:tc>
        <w:tc>
          <w:tcPr>
            <w:tcW w:w="2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347</w:t>
            </w:r>
          </w:p>
        </w:tc>
        <w:tc>
          <w:tcPr>
            <w:tcW w:w="11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(305,632 )</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253,895</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3140" w:type="dxa"/>
            <w:vAlign w:val="bottom"/>
            <w:tcBorders>
              <w:top w:val="single" w:sz="8" w:color="auto"/>
              <w:bottom w:val="single" w:sz="8" w:color="auto"/>
            </w:tcBorders>
            <w:gridSpan w:val="3"/>
          </w:tcPr>
          <w:p>
            <w:pPr>
              <w:jc w:val="right"/>
              <w:ind w:right="791"/>
              <w:spacing w:after="0"/>
              <w:rPr>
                <w:sz w:val="20"/>
                <w:szCs w:val="20"/>
                <w:color w:val="auto"/>
              </w:rPr>
            </w:pPr>
            <w:r>
              <w:rPr>
                <w:rFonts w:ascii="Arial" w:cs="Arial" w:eastAsia="Arial" w:hAnsi="Arial"/>
                <w:sz w:val="14"/>
                <w:szCs w:val="14"/>
                <w:b w:val="1"/>
                <w:bCs w:val="1"/>
                <w:color w:val="auto"/>
              </w:rPr>
              <w:t>Years Ended December 31,</w:t>
            </w:r>
          </w:p>
        </w:tc>
      </w:tr>
      <w:tr>
        <w:trPr>
          <w:trHeight w:val="182"/>
        </w:trPr>
        <w:tc>
          <w:tcPr>
            <w:tcW w:w="7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(96,655 )</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(104,787 )</w:t>
            </w: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9"/>
        </w:trPr>
        <w:tc>
          <w:tcPr>
            <w:tcW w:w="7720" w:type="dxa"/>
            <w:vAlign w:val="bottom"/>
          </w:tcPr>
          <w:p>
            <w:pPr>
              <w:ind w:left="40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377</w:t>
            </w:r>
          </w:p>
        </w:tc>
        <w:tc>
          <w:tcPr>
            <w:tcW w:w="4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357</w:t>
            </w:r>
          </w:p>
        </w:tc>
      </w:tr>
      <w:tr>
        <w:trPr>
          <w:trHeight w:val="230"/>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Loss on sale of equipment</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111</w:t>
            </w: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400"/>
              <w:spacing w:after="0"/>
              <w:rPr>
                <w:sz w:val="20"/>
                <w:szCs w:val="20"/>
                <w:color w:val="auto"/>
              </w:rPr>
            </w:pPr>
            <w:r>
              <w:rPr>
                <w:rFonts w:ascii="Arial" w:cs="Arial" w:eastAsia="Arial" w:hAnsi="Arial"/>
                <w:sz w:val="18"/>
                <w:szCs w:val="18"/>
                <w:color w:val="auto"/>
              </w:rPr>
              <w:t>Non-cash lease expense</w:t>
            </w:r>
          </w:p>
        </w:tc>
        <w:tc>
          <w:tcPr>
            <w:tcW w:w="38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1,297</w:t>
            </w:r>
          </w:p>
        </w:tc>
        <w:tc>
          <w:tcPr>
            <w:tcW w:w="4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1,301</w:t>
            </w:r>
          </w:p>
        </w:tc>
      </w:tr>
      <w:tr>
        <w:trPr>
          <w:trHeight w:val="229"/>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Non-cash interest income on marketable securities</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(5,524 )</w:t>
            </w: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(787 )</w:t>
            </w:r>
          </w:p>
        </w:tc>
      </w:tr>
      <w:tr>
        <w:trPr>
          <w:trHeight w:val="230"/>
        </w:trPr>
        <w:tc>
          <w:tcPr>
            <w:tcW w:w="7720" w:type="dxa"/>
            <w:vAlign w:val="bottom"/>
          </w:tcPr>
          <w:p>
            <w:pPr>
              <w:ind w:left="400"/>
              <w:spacing w:after="0"/>
              <w:rPr>
                <w:sz w:val="20"/>
                <w:szCs w:val="20"/>
                <w:color w:val="auto"/>
              </w:rPr>
            </w:pPr>
            <w:r>
              <w:rPr>
                <w:rFonts w:ascii="Arial" w:cs="Arial" w:eastAsia="Arial" w:hAnsi="Arial"/>
                <w:sz w:val="18"/>
                <w:szCs w:val="18"/>
                <w:color w:val="auto"/>
              </w:rPr>
              <w:t>Stock-based compensation expense, including employee stock purchase plan expense</w:t>
            </w:r>
          </w:p>
        </w:tc>
        <w:tc>
          <w:tcPr>
            <w:tcW w:w="38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17,256</w:t>
            </w:r>
          </w:p>
        </w:tc>
        <w:tc>
          <w:tcPr>
            <w:tcW w:w="4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18,829</w:t>
            </w:r>
          </w:p>
        </w:tc>
      </w:tr>
      <w:tr>
        <w:trPr>
          <w:trHeight w:val="229"/>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694</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(1,959 )</w:t>
            </w:r>
          </w:p>
        </w:tc>
      </w:tr>
      <w:tr>
        <w:trPr>
          <w:trHeight w:val="230"/>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assets and long-term deposits</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(5,324 )</w:t>
            </w: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(1,114 )</w:t>
            </w: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2,324</w:t>
            </w:r>
          </w:p>
        </w:tc>
        <w:tc>
          <w:tcPr>
            <w:tcW w:w="4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351</w:t>
            </w:r>
          </w:p>
        </w:tc>
      </w:tr>
      <w:tr>
        <w:trPr>
          <w:trHeight w:val="230"/>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2,948</w:t>
            </w: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7,018</w:t>
            </w: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Operating lease liabilities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(1,231 )</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(1,274 )</w:t>
            </w:r>
          </w:p>
        </w:tc>
      </w:tr>
      <w:tr>
        <w:trPr>
          <w:trHeight w:val="223"/>
        </w:trPr>
        <w:tc>
          <w:tcPr>
            <w:tcW w:w="77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(83,727 )</w:t>
            </w:r>
          </w:p>
        </w:tc>
        <w:tc>
          <w:tcPr>
            <w:tcW w:w="4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(82,065 )</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equipment</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(363 )</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Maturities of marketable securities</w:t>
            </w:r>
          </w:p>
        </w:tc>
        <w:tc>
          <w:tcPr>
            <w:tcW w:w="38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250,760</w:t>
            </w:r>
          </w:p>
        </w:tc>
        <w:tc>
          <w:tcPr>
            <w:tcW w:w="4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305,502</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marketable securities</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(255,625 )</w:t>
            </w: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(213,660 )</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Disposal of fixed assets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Net cash (used in) provided by investing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(4,851 )</w:t>
            </w:r>
          </w:p>
        </w:tc>
        <w:tc>
          <w:tcPr>
            <w:tcW w:w="4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91,479</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equity private placement, net of issuance costs of $264</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129,736</w:t>
            </w: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2,629</w:t>
            </w:r>
          </w:p>
        </w:tc>
        <w:tc>
          <w:tcPr>
            <w:tcW w:w="4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146</w:t>
            </w:r>
          </w:p>
        </w:tc>
      </w:tr>
      <w:tr>
        <w:trPr>
          <w:trHeight w:val="23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under the ESPP plan</w:t>
            </w:r>
          </w:p>
        </w:tc>
        <w:tc>
          <w:tcPr>
            <w:tcW w:w="3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1,050</w:t>
            </w:r>
          </w:p>
        </w:tc>
        <w:tc>
          <w:tcPr>
            <w:tcW w:w="4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330</w:t>
            </w: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133,415</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476</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44,837</w:t>
            </w:r>
          </w:p>
        </w:tc>
        <w:tc>
          <w:tcPr>
            <w:tcW w:w="4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9,890</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23,702</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13,812</w:t>
            </w:r>
          </w:p>
        </w:tc>
      </w:tr>
      <w:tr>
        <w:trPr>
          <w:trHeight w:val="263"/>
        </w:trPr>
        <w:tc>
          <w:tcPr>
            <w:tcW w:w="77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68,539</w:t>
            </w:r>
          </w:p>
        </w:tc>
        <w:tc>
          <w:tcPr>
            <w:tcW w:w="4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23,702</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Olema Pharmaceuticals,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w:t>
      </w:r>
    </w:p>
    <w:p>
      <w:pPr>
        <w:spacing w:after="0" w:line="214"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Nature of the Business and Basis of Presentation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Olema Pharmaceuticals, Inc. (“Olema” or the “Company”) is a clinical-stage biopharmaceutical company focused on the discovery, development and commercialization of next-generation targeted therapies for women’s cancers. The Company is advancing a pipeline of novel therapies by leveraging its deep understanding of endocrine-driven cancers, nuclear receptors, and mechanisms of acquired resistance. The Company's wholly-owned, lead product candidate, palazestrant (OP-1250), is a novel, orally-available small molecule with dual activity as both a complete estrogen receptor ("ER") antagonist ("CERAN") and selective ER degrader ("SERD"). In addition to its lead product candidate, Olema is developing a potent KAT6 inhibitor (OP-3136).</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has operations in Cambridge, Massachusetts. Olema Oncology Australia Pty Ltd was incorporated on January 6, 2021, and is a wholly-owned subsidiary of the Company (collectively with Olema Pharmaceuticals, Inc., referred to as “Olema” or the “Company” herein). It operates in one business segment and therefore has only one 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discussed in further detail below, the ability to secure additional capital to fund operations and commercial success of its product candidates. Palazestrant, OP-3136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September 5, 2023, the Company entered into a securities purchase agreement with institutional and accredited investors for the private placement of 13,211,381 shares of the Company’s common stock (the “Private Placement”) at a price of $9.84 per share, resulting in gross proceeds of approximately $130.0 million. After deducting offering expenses related to the Private Placement of approximately $0.3 million, the net proceeds to the Company from the Private Placement were approximately $129.7 million. The Private Placement closed on September 12,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had $261.8 million of cash, cash equivalents and marketable securities at December 31, 2023, in addition to an available balance of $25.0 million under the Loan and Security Agreement (the “Loan Agreement”), by and between the Company, as borrower, and Silicon Valley Bank, a division of First-Citizens Bank &amp; Trust Company (the “Bank”). Management believes that the Company’s cash, cash equivalents, marketable securities, and the amounts available under the Loan Agreement will be sufficient to fund the Company’s current operating plan for at least the next 12 months from the filing date of these consolidated financial statements.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5, 2024, the Company entered into a sales agreement (the "Sales Agreement"), with Cowen and Company, LLC ("TD Cowen"), as sales agent, pursuant to which the Company may offer and sell, from time to time, shares of its common stock, having an aggregate offering price of up to $150.0 million (the "ATM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sales, if any, of the ATM Shares will be made by any method permitted that is deemed to be an “at-the-market” ("ATM") equity offering as defined in Rule 415(a)(4) promulgated under the Securities Act of 1933, as amended, including sales made directly on or through the Nasdaq Global Select Market. The Company has agreed to pay TD Cowen a commission of up to 3.0% of the aggregate gross proceeds from any ATM Shares sold by TD Cowen.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Geopolitical and Macroeconomic Events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Global economic and business activities continue to face widespread geopolitical and macroeconomic uncertainties, including labor shortages, inflation rates and the responses by central banking authorities to control such inflation, monetary supply shifts and related financial market risks and instability, recession risks, as well as potential disruptions from the Russia-Ukraine conflict and armed conflict between Israel and groups based in surrounding regions, all of which have resulted in volatility in the U.S. and global financial markets and which have led to, and may continue to lead to, additional disruptions to trade, commerce, pricing stability, credit availability and supply chain continuity globally.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geopolitical and macroeconomic factors on its results of operations, financial condition and cash flows.</w:t>
      </w:r>
    </w:p>
    <w:p>
      <w:pPr>
        <w:spacing w:after="0" w:line="180" w:lineRule="exact"/>
        <w:rPr>
          <w:sz w:val="20"/>
          <w:szCs w:val="20"/>
          <w:color w:val="auto"/>
        </w:rPr>
      </w:pPr>
    </w:p>
    <w:p>
      <w:pPr>
        <w:ind w:left="380" w:hanging="372"/>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(“GAAP”) and applicable rules and regulations of the Securities and Exchange Commission (the “SEC”) regarding financial reporting, and the instructions to Form 10-K and Article 10 of Regulation S-X. These consolidated financial statements include the accounts of Olema Pharmaceuticals, Inc. and its wholly owned subsidiary, Olema Oncology Australia Pty Ltd. All intercompany balances and transactions have been eliminated upon consolidation.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accompanying consolidated financial statements are prepared in accordance with GAAP. The preparation of the consolidated financial statements in conformity with GAAP requires management to make estimates and assumptions that affect the reported amounts of assets and liabilities at the date of the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and cash equivalents are defined as short-term, highly liquid investments with original maturities of 90 days or fewer at the date of purchase. Cash deposits are all in reputable financial institutions in the United States as of December 31, 2023 and 2022. Cash and cash equivalents consisted of cash on deposit with U.S. banks, including the Company’s bank account for its Australia subsidiary, denominated in U.S. dollars and Australian dollars and investments in interest bearing money market funds.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dependence on key individuals or sole-source suppliers, and geopolitical and macroeconomic factors.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Company adopted Accounting Standard Update (“ASU”) 2016-12, </w:t>
      </w:r>
      <w:r>
        <w:rPr>
          <w:rFonts w:ascii="Arial" w:cs="Arial" w:eastAsia="Arial" w:hAnsi="Arial"/>
          <w:sz w:val="18"/>
          <w:szCs w:val="18"/>
          <w:i w:val="1"/>
          <w:iCs w:val="1"/>
          <w:color w:val="auto"/>
        </w:rPr>
        <w:t>Leases</w:t>
      </w:r>
      <w:r>
        <w:rPr>
          <w:rFonts w:ascii="Arial" w:cs="Arial" w:eastAsia="Arial" w:hAnsi="Arial"/>
          <w:sz w:val="18"/>
          <w:szCs w:val="18"/>
          <w:color w:val="auto"/>
        </w:rPr>
        <w:t>, Topic 842, (“Topic 842”) as of January 1, 2021. Under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an asset that represents the lessee’s right to use, or control the use of, a specified asset for the lease term. Leases will be classified as finance or operating, with classification affecting the pattern and classification of expense recognition in the consolidated statements of operations and comprehensive loss.</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consolidated statements of operations and comprehensive loss.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elected to not apply the recognition requirements of Topic 842 to short-term leases with terms of 12 months or less. Additional information and disclosures required by Topic 842 are contained in Note 11 “Lease” in the Annual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to discover, research and develop product candidates. These costs are recorded within research and development expenses in the consolidated statements of operations and include personnel expenses, stock-based compensation expenses, allocated general and administrative expenses, and external costs including fees paid to consultants and contract research organizations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and other current assets. Such amounts are recognized as an expense as the goods are delivered or the related services are performed.</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Reimbursements of certain costs associated with research activities performed under the agreement with Novartis Institutes for BioMedical Research, Inc. (“Novartis”) are recorded as a reduction of research and development expenses and as a receivable due from Novartis, which is recorded under prepaid expenses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other current assets in the accompanying consolidated financial statements, as described in Note 12, Commitments and Contingencies – Clinical Collaboration and Supply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Contract Costs and Accruals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Property and equipment are stated at cost, net of accumulated depreciation. Depreciation is computed using the straight-line method over the estimated useful lives. The useful lives of equipment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0" w:type="dxa"/>
            <w:vAlign w:val="bottom"/>
            <w:tcBorders>
              <w:top w:val="single" w:sz="8" w:color="auto"/>
            </w:tcBorders>
          </w:tcPr>
          <w:p>
            <w:pPr>
              <w:spacing w:after="0"/>
              <w:rPr>
                <w:sz w:val="17"/>
                <w:szCs w:val="17"/>
                <w:color w:val="auto"/>
              </w:rPr>
            </w:pPr>
          </w:p>
        </w:tc>
        <w:tc>
          <w:tcPr>
            <w:tcW w:w="22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Estimated Useful Lives</w:t>
            </w:r>
          </w:p>
        </w:tc>
      </w:tr>
      <w:tr>
        <w:trPr>
          <w:trHeight w:val="223"/>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 equipment</w:t>
            </w:r>
          </w:p>
        </w:tc>
        <w:tc>
          <w:tcPr>
            <w:tcW w:w="2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 7 years</w:t>
            </w:r>
          </w:p>
        </w:tc>
      </w:tr>
      <w:tr>
        <w:trPr>
          <w:trHeight w:val="230"/>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Computer equipment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years</w:t>
            </w:r>
          </w:p>
        </w:tc>
      </w:tr>
      <w:tr>
        <w:trPr>
          <w:trHeight w:val="20"/>
        </w:trPr>
        <w:tc>
          <w:tcPr>
            <w:tcW w:w="90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When assets are sold or retired, the cost and related accumulated depreciation are removed from the balance sheets, with any resulting gain or loss recorded in operating expenses in the statements of operations and comprehensive loss. Costs of repairs and maintenance are expensed as incurred. Property and Equipment, net of accumulated depreciation are included in "Other assets and long-term deposits" in the accompanying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Income taxes are computed using the asset and liability approach that requires the recognition of deferred tax assets and liabilities for the expected future tax consequences of events that have been recognized in the Company’s consolidated financial statements. In estimating future tax consequences, the Company considers all expected future events other than enactment of changes in tax laws or rates. A valuation allowance is recorded, if necessary, to reduce net deferred tax assets to their realizable values if management does not believe it is more likely than not that the net deferred tax assets will be realized. As of December 31, 2023 and 2022, the Company has recorded full valuation allowance against its net deferred tax assets.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had no unrecognized tax benefits for the years ended December 31, 2023 and 2022, respectively. The Company may be subject to U.S. Federal, state, and local tax examinations by tax authorities for years before 2023, which may include adjustments to carry-forward attributes (see Note 9, “Income Taxes”).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Company’s policy is to recognize interest and penalties related to uncertain tax positions in the provision for income taxes. As of December 31, 2023 and 2022, the Company had no accrued interest or penalties related to uncertain tax positions.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1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Comprehensive loss includes net loss and other comprehensive loss for each period presented. Other comprehensive loss represents net unrealized loss on marketable securities.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Stock-based compensation cost, including grants of stock options and restricted stock awards issued under the Company’s equity incentive plans and ESPP, is measured at the grant date based on the estimated fair value of the award and is recognized as an expense on a straight-line basis over the requisite service period, which is generally the vesting period. Stock-based compensation cost for performance-based restricted stock unit awards issued under the Company’s equity incentive plan is measured at the grant date based on the estimated fair value of the award, which is based on the closing stock price on the grant date, and is recognized as an expense when the Company determines that it is probable that the performance goals will be achieved, which the Company assess on a quarterly basis. The Company recognizes stock compensation in accordance with ASC 718, Compensation — Stock Compensation (“ASC 718”). The Company’s determination of the fair value of stock options with time-based vesting on the date of grant utilizes the Black-Scholes option-pricing model. The Company estimates volatility using stock prices of peer companies and its historical data, risk-free rates using the implied yield currently available on U.S. Treasury zero-coupon issues with a remaining term equal to the expected term, and dividend yield using the Company’s expectations and historical data. The Company uses the simplified method to calculate the expected term of employee stock option grants. Under the simplified method, the expected term is estimated to be the mid-point between the vesting date and the contractual term of the option. For awards with graded vesting, in which specified tranches of the options vest on different dates, the Company uses a single weighted average expected life to value the entire award, which is equal to the average of the weighted average vesting period of the award and the contractual term of the award. Equity instruments issued to nonemployees are recorded at their fair value on the grant date and without subsequent remeasurement. The amount of stock-based compensation expense recognized during a period is based on the value of the portion of the awards that are ultimately expected to vest, including awards with graded vesting. As part of the requirements of ASC 718, the Company has elected to account for forfeitures of stock option grants as they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functional currency of Olema Oncology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on the consolidated statements of operations.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unvested performance-based restricted stock unit awards and contingently issuable common stock related to the 2020 Employee Stock Purchase Plan (the “ESPP”)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December 2023, the Financial Accounting Standards Board (“FASB”) issued a new income tax-related accounting guidance in Accounting Standard Update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The standard requires disaggregated information about a reporting entity’s effective tax rate reconciliation as well as information on income taxes paid. For public business entities, the new requirements will be effective for annual periods beginning after December 15, 2024. The guidance will be applied on a prospective basis with the option to apply the standard retrospectively. Early adoption is permitted. The Company did not early adopt this guidance as of December 31, 2023. The Company does not expect the adoption of ASU 2023-09 to have a material impact on its consolidated financial statements.</w:t>
      </w:r>
    </w:p>
    <w:p>
      <w:pPr>
        <w:spacing w:after="0" w:line="185" w:lineRule="exact"/>
        <w:rPr>
          <w:sz w:val="20"/>
          <w:szCs w:val="20"/>
          <w:color w:val="auto"/>
        </w:rPr>
      </w:pPr>
    </w:p>
    <w:p>
      <w:pPr>
        <w:ind w:left="380" w:hanging="372"/>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assesses the fair value of financial instruments based on the provisions of ASC 820,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76" w:lineRule="exact"/>
        <w:rPr>
          <w:sz w:val="20"/>
          <w:szCs w:val="20"/>
          <w:color w:val="auto"/>
        </w:rPr>
      </w:pPr>
    </w:p>
    <w:p>
      <w:pPr>
        <w:ind w:left="760" w:right="20" w:hanging="378"/>
        <w:spacing w:after="0" w:line="270" w:lineRule="auto"/>
        <w:tabs>
          <w:tab w:leader="none" w:pos="760" w:val="left"/>
        </w:tabs>
        <w:numPr>
          <w:ilvl w:val="0"/>
          <w:numId w:val="59"/>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1 — Inputs are unadjusted quoted prices in active markets for identical assets or liabilities accessible to the reporting entity at the measurement date.</w:t>
      </w:r>
    </w:p>
    <w:p>
      <w:pPr>
        <w:spacing w:after="0" w:line="154"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59"/>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0"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59"/>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December 31, 2023</w:t>
            </w:r>
          </w:p>
        </w:tc>
        <w:tc>
          <w:tcPr>
            <w:tcW w:w="5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Level 1</w:t>
            </w:r>
          </w:p>
        </w:tc>
        <w:tc>
          <w:tcPr>
            <w:tcW w:w="6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80"/>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3,570</w:t>
            </w:r>
          </w:p>
        </w:tc>
        <w:tc>
          <w:tcPr>
            <w:tcW w:w="60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59,280</w:t>
            </w:r>
          </w:p>
        </w:tc>
        <w:tc>
          <w:tcPr>
            <w:tcW w:w="6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59,280</w:t>
            </w:r>
          </w:p>
        </w:tc>
        <w:tc>
          <w:tcPr>
            <w:tcW w:w="0" w:type="dxa"/>
            <w:vAlign w:val="bottom"/>
          </w:tcPr>
          <w:p>
            <w:pPr>
              <w:spacing w:after="0"/>
              <w:rPr>
                <w:sz w:val="1"/>
                <w:szCs w:val="1"/>
                <w:color w:val="auto"/>
              </w:rPr>
            </w:pPr>
          </w:p>
        </w:tc>
      </w:tr>
      <w:tr>
        <w:trPr>
          <w:trHeight w:val="230"/>
        </w:trPr>
        <w:tc>
          <w:tcPr>
            <w:tcW w:w="484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105,017</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105,017</w:t>
            </w: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12,627</w:t>
            </w: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12,627</w:t>
            </w:r>
          </w:p>
        </w:tc>
        <w:tc>
          <w:tcPr>
            <w:tcW w:w="0" w:type="dxa"/>
            <w:vAlign w:val="bottom"/>
          </w:tcPr>
          <w:p>
            <w:pPr>
              <w:spacing w:after="0"/>
              <w:rPr>
                <w:sz w:val="1"/>
                <w:szCs w:val="1"/>
                <w:color w:val="auto"/>
              </w:rPr>
            </w:pPr>
          </w:p>
        </w:tc>
      </w:tr>
      <w:tr>
        <w:trPr>
          <w:trHeight w:val="229"/>
        </w:trPr>
        <w:tc>
          <w:tcPr>
            <w:tcW w:w="4840" w:type="dxa"/>
            <w:vAlign w:val="bottom"/>
          </w:tcPr>
          <w:p>
            <w:pPr>
              <w:ind w:left="280"/>
              <w:spacing w:after="0"/>
              <w:rPr>
                <w:sz w:val="20"/>
                <w:szCs w:val="20"/>
                <w:color w:val="auto"/>
              </w:rPr>
            </w:pPr>
            <w:r>
              <w:rPr>
                <w:rFonts w:ascii="Arial" w:cs="Arial" w:eastAsia="Arial" w:hAnsi="Arial"/>
                <w:sz w:val="18"/>
                <w:szCs w:val="18"/>
                <w:color w:val="auto"/>
              </w:rPr>
              <w:t>U.S. government treasury bills</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60,012</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60,012</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Government-sponsored enterprise securities</w:t>
            </w:r>
          </w:p>
        </w:tc>
        <w:tc>
          <w:tcPr>
            <w:tcW w:w="2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21,606</w:t>
            </w:r>
          </w:p>
        </w:tc>
        <w:tc>
          <w:tcPr>
            <w:tcW w:w="8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21,606</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122,862</w:t>
            </w: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139,250</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262,112</w:t>
            </w:r>
          </w:p>
        </w:tc>
        <w:tc>
          <w:tcPr>
            <w:tcW w:w="0" w:type="dxa"/>
            <w:vAlign w:val="bottom"/>
          </w:tcPr>
          <w:p>
            <w:pPr>
              <w:spacing w:after="0"/>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gridSpan w:val="4"/>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December 31, 2023</w:t>
            </w:r>
          </w:p>
        </w:tc>
        <w:tc>
          <w:tcPr>
            <w:tcW w:w="5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jc w:val="center"/>
              <w:ind w:left="62"/>
              <w:spacing w:after="0"/>
              <w:rPr>
                <w:sz w:val="20"/>
                <w:szCs w:val="20"/>
                <w:color w:val="auto"/>
              </w:rPr>
            </w:pPr>
            <w:r>
              <w:rPr>
                <w:rFonts w:ascii="Arial" w:cs="Arial" w:eastAsia="Arial" w:hAnsi="Arial"/>
                <w:sz w:val="14"/>
                <w:szCs w:val="14"/>
                <w:b w:val="1"/>
                <w:bCs w:val="1"/>
                <w:color w:val="auto"/>
              </w:rPr>
              <w:t>Gross</w:t>
            </w: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Gross</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2"/>
          </w:tcPr>
          <w:p>
            <w:pPr>
              <w:jc w:val="center"/>
              <w:ind w:right="374"/>
              <w:spacing w:after="0"/>
              <w:rPr>
                <w:sz w:val="20"/>
                <w:szCs w:val="20"/>
                <w:color w:val="auto"/>
              </w:rPr>
            </w:pPr>
            <w:r>
              <w:rPr>
                <w:rFonts w:ascii="Arial" w:cs="Arial" w:eastAsia="Arial" w:hAnsi="Arial"/>
                <w:sz w:val="14"/>
                <w:szCs w:val="14"/>
                <w:b w:val="1"/>
                <w:bCs w:val="1"/>
                <w:color w:val="auto"/>
              </w:rPr>
              <w:t>Unrealized</w:t>
            </w:r>
          </w:p>
        </w:tc>
        <w:tc>
          <w:tcPr>
            <w:tcW w:w="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Unrealized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354"/>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rPr>
              <w:t>Gains</w:t>
            </w: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Losses</w:t>
            </w: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68,844</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68,844</w:t>
            </w:r>
          </w:p>
        </w:tc>
        <w:tc>
          <w:tcPr>
            <w:tcW w:w="0" w:type="dxa"/>
            <w:vAlign w:val="bottom"/>
          </w:tcPr>
          <w:p>
            <w:pPr>
              <w:spacing w:after="0"/>
              <w:rPr>
                <w:sz w:val="1"/>
                <w:szCs w:val="1"/>
                <w:color w:val="auto"/>
              </w:rPr>
            </w:pPr>
          </w:p>
        </w:tc>
      </w:tr>
      <w:tr>
        <w:trPr>
          <w:trHeight w:val="197"/>
        </w:trPr>
        <w:tc>
          <w:tcPr>
            <w:tcW w:w="484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Short-term marketable securities (&lt;12 months to</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maturity)</w:t>
            </w:r>
          </w:p>
        </w:tc>
        <w:tc>
          <w:tcPr>
            <w:tcW w:w="220" w:type="dxa"/>
            <w:vAlign w:val="bottom"/>
            <w:shd w:val="clear" w:color="auto" w:fill="CFF0FC"/>
          </w:tcPr>
          <w:p>
            <w:pPr>
              <w:spacing w:after="0"/>
              <w:rPr>
                <w:sz w:val="20"/>
                <w:szCs w:val="20"/>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169,966</w:t>
            </w:r>
          </w:p>
        </w:tc>
        <w:tc>
          <w:tcPr>
            <w:tcW w:w="5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(8 )</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170,134</w:t>
            </w:r>
          </w:p>
        </w:tc>
        <w:tc>
          <w:tcPr>
            <w:tcW w:w="0" w:type="dxa"/>
            <w:vAlign w:val="bottom"/>
          </w:tcPr>
          <w:p>
            <w:pPr>
              <w:spacing w:after="0"/>
              <w:rPr>
                <w:sz w:val="1"/>
                <w:szCs w:val="1"/>
                <w:color w:val="auto"/>
              </w:rPr>
            </w:pPr>
          </w:p>
        </w:tc>
      </w:tr>
      <w:tr>
        <w:trPr>
          <w:trHeight w:val="197"/>
        </w:trPr>
        <w:tc>
          <w:tcPr>
            <w:tcW w:w="4840" w:type="dxa"/>
            <w:vAlign w:val="bottom"/>
          </w:tcPr>
          <w:p>
            <w:pPr>
              <w:ind w:left="280"/>
              <w:spacing w:after="0" w:line="197" w:lineRule="exact"/>
              <w:rPr>
                <w:sz w:val="20"/>
                <w:szCs w:val="20"/>
                <w:color w:val="auto"/>
              </w:rPr>
            </w:pPr>
            <w:r>
              <w:rPr>
                <w:rFonts w:ascii="Arial" w:cs="Arial" w:eastAsia="Arial" w:hAnsi="Arial"/>
                <w:sz w:val="18"/>
                <w:szCs w:val="18"/>
                <w:color w:val="auto"/>
              </w:rPr>
              <w:t>Long-term marketable securities (&gt;12 months to</w:t>
            </w:r>
          </w:p>
        </w:tc>
        <w:tc>
          <w:tcPr>
            <w:tcW w:w="220" w:type="dxa"/>
            <w:vAlign w:val="bottom"/>
          </w:tcPr>
          <w:p>
            <w:pPr>
              <w:spacing w:after="0"/>
              <w:rPr>
                <w:sz w:val="17"/>
                <w:szCs w:val="17"/>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8"/>
                <w:szCs w:val="18"/>
                <w:color w:val="auto"/>
              </w:rPr>
              <w:t>22,955</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vMerge w:val="restart"/>
          </w:tcPr>
          <w:p>
            <w:pPr>
              <w:jc w:val="right"/>
              <w:ind w:right="74"/>
              <w:spacing w:after="0"/>
              <w:rPr>
                <w:sz w:val="20"/>
                <w:szCs w:val="20"/>
                <w:color w:val="auto"/>
              </w:rPr>
            </w:pPr>
            <w:r>
              <w:rPr>
                <w:rFonts w:ascii="Arial" w:cs="Arial" w:eastAsia="Arial" w:hAnsi="Arial"/>
                <w:sz w:val="18"/>
                <w:szCs w:val="18"/>
                <w:color w:val="auto"/>
              </w:rPr>
              <w:t>179</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21"/>
        </w:trPr>
        <w:tc>
          <w:tcPr>
            <w:tcW w:w="4840" w:type="dxa"/>
            <w:vAlign w:val="bottom"/>
          </w:tcPr>
          <w:p>
            <w:pPr>
              <w:ind w:left="280"/>
              <w:spacing w:after="0"/>
              <w:rPr>
                <w:sz w:val="20"/>
                <w:szCs w:val="20"/>
                <w:color w:val="auto"/>
              </w:rPr>
            </w:pPr>
            <w:r>
              <w:rPr>
                <w:rFonts w:ascii="Arial" w:cs="Arial" w:eastAsia="Arial" w:hAnsi="Arial"/>
                <w:sz w:val="18"/>
                <w:szCs w:val="18"/>
                <w:color w:val="auto"/>
              </w:rPr>
              <w:t>maturity)</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4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261,765</w:t>
            </w:r>
          </w:p>
        </w:tc>
        <w:tc>
          <w:tcPr>
            <w:tcW w:w="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355</w:t>
            </w: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(8 )</w:t>
            </w:r>
          </w:p>
        </w:tc>
        <w:tc>
          <w:tcPr>
            <w:tcW w:w="3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262,112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gridSpan w:val="3"/>
          </w:tcPr>
          <w:p>
            <w:pPr>
              <w:jc w:val="right"/>
              <w:ind w:right="337"/>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Level 1</w:t>
            </w:r>
          </w:p>
        </w:tc>
        <w:tc>
          <w:tcPr>
            <w:tcW w:w="6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8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1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114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80"/>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7,273</w:t>
            </w:r>
          </w:p>
        </w:tc>
        <w:tc>
          <w:tcPr>
            <w:tcW w:w="60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77"/>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29"/>
        </w:trPr>
        <w:tc>
          <w:tcPr>
            <w:tcW w:w="4840" w:type="dxa"/>
            <w:vAlign w:val="bottom"/>
            <w:shd w:val="clear" w:color="auto" w:fill="CCECFF"/>
          </w:tcPr>
          <w:p>
            <w:pPr>
              <w:ind w:left="2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16,549</w:t>
            </w:r>
          </w:p>
        </w:tc>
        <w:tc>
          <w:tcPr>
            <w:tcW w:w="60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CFF"/>
          </w:tcPr>
          <w:p>
            <w:pPr>
              <w:spacing w:after="0"/>
              <w:rPr>
                <w:sz w:val="19"/>
                <w:szCs w:val="19"/>
                <w:color w:val="auto"/>
              </w:rPr>
            </w:pPr>
          </w:p>
        </w:tc>
        <w:tc>
          <w:tcPr>
            <w:tcW w:w="2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CFF"/>
          </w:tcPr>
          <w:p>
            <w:pPr>
              <w:spacing w:after="0"/>
              <w:rPr>
                <w:sz w:val="19"/>
                <w:szCs w:val="19"/>
                <w:color w:val="auto"/>
              </w:rPr>
            </w:pPr>
          </w:p>
        </w:tc>
        <w:tc>
          <w:tcPr>
            <w:tcW w:w="1140" w:type="dxa"/>
            <w:vAlign w:val="bottom"/>
            <w:shd w:val="clear" w:color="auto" w:fill="CCECFF"/>
          </w:tcPr>
          <w:p>
            <w:pPr>
              <w:jc w:val="right"/>
              <w:ind w:right="34"/>
              <w:spacing w:after="0"/>
              <w:rPr>
                <w:sz w:val="20"/>
                <w:szCs w:val="20"/>
                <w:color w:val="auto"/>
              </w:rPr>
            </w:pPr>
            <w:r>
              <w:rPr>
                <w:rFonts w:ascii="Arial" w:cs="Arial" w:eastAsia="Arial" w:hAnsi="Arial"/>
                <w:sz w:val="18"/>
                <w:szCs w:val="18"/>
                <w:color w:val="auto"/>
              </w:rPr>
              <w:t>16,549</w:t>
            </w:r>
          </w:p>
        </w:tc>
        <w:tc>
          <w:tcPr>
            <w:tcW w:w="0" w:type="dxa"/>
            <w:vAlign w:val="bottom"/>
          </w:tcPr>
          <w:p>
            <w:pPr>
              <w:spacing w:after="0"/>
              <w:rPr>
                <w:sz w:val="1"/>
                <w:szCs w:val="1"/>
                <w:color w:val="auto"/>
              </w:rPr>
            </w:pPr>
          </w:p>
        </w:tc>
      </w:tr>
      <w:tr>
        <w:trPr>
          <w:trHeight w:val="230"/>
        </w:trPr>
        <w:tc>
          <w:tcPr>
            <w:tcW w:w="484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83,188</w:t>
            </w:r>
          </w:p>
        </w:tc>
        <w:tc>
          <w:tcPr>
            <w:tcW w:w="11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83,188</w:t>
            </w:r>
          </w:p>
        </w:tc>
        <w:tc>
          <w:tcPr>
            <w:tcW w:w="0" w:type="dxa"/>
            <w:vAlign w:val="bottom"/>
          </w:tcPr>
          <w:p>
            <w:pPr>
              <w:spacing w:after="0"/>
              <w:rPr>
                <w:sz w:val="1"/>
                <w:szCs w:val="1"/>
                <w:color w:val="auto"/>
              </w:rPr>
            </w:pPr>
          </w:p>
        </w:tc>
      </w:tr>
      <w:tr>
        <w:trPr>
          <w:trHeight w:val="229"/>
        </w:trPr>
        <w:tc>
          <w:tcPr>
            <w:tcW w:w="4840" w:type="dxa"/>
            <w:vAlign w:val="bottom"/>
            <w:shd w:val="clear" w:color="auto" w:fill="CCECFF"/>
          </w:tcPr>
          <w:p>
            <w:pPr>
              <w:ind w:left="280"/>
              <w:spacing w:after="0"/>
              <w:rPr>
                <w:sz w:val="20"/>
                <w:szCs w:val="20"/>
                <w:color w:val="auto"/>
              </w:rPr>
            </w:pPr>
            <w:r>
              <w:rPr>
                <w:rFonts w:ascii="Arial" w:cs="Arial" w:eastAsia="Arial" w:hAnsi="Arial"/>
                <w:sz w:val="18"/>
                <w:szCs w:val="18"/>
                <w:color w:val="auto"/>
              </w:rPr>
              <w:t>U.S. government treasury bills</w:t>
            </w:r>
          </w:p>
        </w:tc>
        <w:tc>
          <w:tcPr>
            <w:tcW w:w="22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77,025</w:t>
            </w:r>
          </w:p>
        </w:tc>
        <w:tc>
          <w:tcPr>
            <w:tcW w:w="60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CFF"/>
          </w:tcPr>
          <w:p>
            <w:pPr>
              <w:spacing w:after="0"/>
              <w:rPr>
                <w:sz w:val="19"/>
                <w:szCs w:val="19"/>
                <w:color w:val="auto"/>
              </w:rPr>
            </w:pPr>
          </w:p>
        </w:tc>
        <w:tc>
          <w:tcPr>
            <w:tcW w:w="2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CFF"/>
          </w:tcPr>
          <w:p>
            <w:pPr>
              <w:spacing w:after="0"/>
              <w:rPr>
                <w:sz w:val="19"/>
                <w:szCs w:val="19"/>
                <w:color w:val="auto"/>
              </w:rPr>
            </w:pPr>
          </w:p>
        </w:tc>
        <w:tc>
          <w:tcPr>
            <w:tcW w:w="1140" w:type="dxa"/>
            <w:vAlign w:val="bottom"/>
            <w:shd w:val="clear" w:color="auto" w:fill="CCECFF"/>
          </w:tcPr>
          <w:p>
            <w:pPr>
              <w:jc w:val="right"/>
              <w:ind w:right="34"/>
              <w:spacing w:after="0"/>
              <w:rPr>
                <w:sz w:val="20"/>
                <w:szCs w:val="20"/>
                <w:color w:val="auto"/>
              </w:rPr>
            </w:pPr>
            <w:r>
              <w:rPr>
                <w:rFonts w:ascii="Arial" w:cs="Arial" w:eastAsia="Arial" w:hAnsi="Arial"/>
                <w:sz w:val="18"/>
                <w:szCs w:val="18"/>
                <w:color w:val="auto"/>
              </w:rPr>
              <w:t>77,025</w:t>
            </w:r>
          </w:p>
        </w:tc>
        <w:tc>
          <w:tcPr>
            <w:tcW w:w="0" w:type="dxa"/>
            <w:vAlign w:val="bottom"/>
          </w:tcPr>
          <w:p>
            <w:pPr>
              <w:spacing w:after="0"/>
              <w:rPr>
                <w:sz w:val="1"/>
                <w:szCs w:val="1"/>
                <w:color w:val="auto"/>
              </w:rPr>
            </w:pPr>
          </w:p>
        </w:tc>
      </w:tr>
      <w:tr>
        <w:trPr>
          <w:trHeight w:val="230"/>
        </w:trPr>
        <w:tc>
          <w:tcPr>
            <w:tcW w:w="4840" w:type="dxa"/>
            <w:vAlign w:val="bottom"/>
          </w:tcPr>
          <w:p>
            <w:pPr>
              <w:ind w:left="280"/>
              <w:spacing w:after="0"/>
              <w:rPr>
                <w:sz w:val="20"/>
                <w:szCs w:val="20"/>
                <w:color w:val="auto"/>
              </w:rPr>
            </w:pPr>
            <w:r>
              <w:rPr>
                <w:rFonts w:ascii="Arial" w:cs="Arial" w:eastAsia="Arial" w:hAnsi="Arial"/>
                <w:sz w:val="18"/>
                <w:szCs w:val="18"/>
                <w:color w:val="auto"/>
              </w:rPr>
              <w:t>Government-sponsored enterprise securities</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20,507</w:t>
            </w: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20,507</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auto"/>
            </w:tcBorders>
            <w:shd w:val="clear" w:color="auto" w:fill="CCEC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CFF"/>
          </w:tcPr>
          <w:p>
            <w:pPr>
              <w:spacing w:after="0"/>
              <w:rPr>
                <w:sz w:val="22"/>
                <w:szCs w:val="22"/>
                <w:color w:val="auto"/>
              </w:rPr>
            </w:pPr>
          </w:p>
        </w:tc>
        <w:tc>
          <w:tcPr>
            <w:tcW w:w="880" w:type="dxa"/>
            <w:vAlign w:val="bottom"/>
            <w:tcBorders>
              <w:bottom w:val="single" w:sz="8" w:color="auto"/>
            </w:tcBorders>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100,847</w:t>
            </w:r>
          </w:p>
        </w:tc>
        <w:tc>
          <w:tcPr>
            <w:tcW w:w="600" w:type="dxa"/>
            <w:vAlign w:val="bottom"/>
            <w:tcBorders>
              <w:bottom w:val="single" w:sz="8" w:color="auto"/>
            </w:tcBorders>
            <w:shd w:val="clear" w:color="auto" w:fill="CCECFF"/>
          </w:tcPr>
          <w:p>
            <w:pPr>
              <w:jc w:val="right"/>
              <w:ind w:right="14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103,695</w:t>
            </w:r>
          </w:p>
        </w:tc>
        <w:tc>
          <w:tcPr>
            <w:tcW w:w="1120" w:type="dxa"/>
            <w:vAlign w:val="bottom"/>
            <w:tcBorders>
              <w:bottom w:val="single" w:sz="8" w:color="auto"/>
            </w:tcBorders>
            <w:shd w:val="clear" w:color="auto" w:fill="CCECFF"/>
          </w:tcPr>
          <w:p>
            <w:pPr>
              <w:jc w:val="right"/>
              <w:ind w:right="77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CFF"/>
          </w:tcPr>
          <w:p>
            <w:pPr>
              <w:jc w:val="right"/>
              <w:ind w:right="34"/>
              <w:spacing w:after="0"/>
              <w:rPr>
                <w:sz w:val="20"/>
                <w:szCs w:val="20"/>
                <w:color w:val="auto"/>
              </w:rPr>
            </w:pPr>
            <w:r>
              <w:rPr>
                <w:rFonts w:ascii="Arial" w:cs="Arial" w:eastAsia="Arial" w:hAnsi="Arial"/>
                <w:sz w:val="18"/>
                <w:szCs w:val="18"/>
                <w:color w:val="auto"/>
              </w:rPr>
              <w:t>204,542</w:t>
            </w:r>
          </w:p>
        </w:tc>
        <w:tc>
          <w:tcPr>
            <w:tcW w:w="0" w:type="dxa"/>
            <w:vAlign w:val="bottom"/>
          </w:tcPr>
          <w:p>
            <w:pPr>
              <w:spacing w:after="0"/>
              <w:rPr>
                <w:sz w:val="1"/>
                <w:szCs w:val="1"/>
                <w:color w:val="auto"/>
              </w:rPr>
            </w:pPr>
          </w:p>
        </w:tc>
      </w:tr>
      <w:tr>
        <w:trPr>
          <w:trHeight w:val="237"/>
        </w:trPr>
        <w:tc>
          <w:tcPr>
            <w:tcW w:w="4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jc w:val="center"/>
              <w:ind w:left="62"/>
              <w:spacing w:after="0"/>
              <w:rPr>
                <w:sz w:val="20"/>
                <w:szCs w:val="20"/>
                <w:color w:val="auto"/>
              </w:rPr>
            </w:pPr>
            <w:r>
              <w:rPr>
                <w:rFonts w:ascii="Arial" w:cs="Arial" w:eastAsia="Arial" w:hAnsi="Arial"/>
                <w:sz w:val="14"/>
                <w:szCs w:val="14"/>
                <w:b w:val="1"/>
                <w:bCs w:val="1"/>
                <w:color w:val="auto"/>
              </w:rPr>
              <w:t>Gross</w:t>
            </w: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2"/>
          </w:tcPr>
          <w:p>
            <w:pPr>
              <w:jc w:val="center"/>
              <w:ind w:right="374"/>
              <w:spacing w:after="0"/>
              <w:rPr>
                <w:sz w:val="20"/>
                <w:szCs w:val="20"/>
                <w:color w:val="auto"/>
              </w:rPr>
            </w:pPr>
            <w:r>
              <w:rPr>
                <w:rFonts w:ascii="Arial" w:cs="Arial" w:eastAsia="Arial" w:hAnsi="Arial"/>
                <w:sz w:val="14"/>
                <w:szCs w:val="14"/>
                <w:b w:val="1"/>
                <w:bCs w:val="1"/>
                <w:color w:val="auto"/>
              </w:rPr>
              <w:t>Unrealized</w:t>
            </w:r>
          </w:p>
        </w:tc>
        <w:tc>
          <w:tcPr>
            <w:tcW w:w="36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354"/>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rPr>
              <w:t>Gains</w:t>
            </w: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Losses</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23,822</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23,822</w:t>
            </w:r>
          </w:p>
        </w:tc>
        <w:tc>
          <w:tcPr>
            <w:tcW w:w="0" w:type="dxa"/>
            <w:vAlign w:val="bottom"/>
          </w:tcPr>
          <w:p>
            <w:pPr>
              <w:spacing w:after="0"/>
              <w:rPr>
                <w:sz w:val="1"/>
                <w:szCs w:val="1"/>
                <w:color w:val="auto"/>
              </w:rPr>
            </w:pPr>
          </w:p>
        </w:tc>
      </w:tr>
      <w:tr>
        <w:trPr>
          <w:trHeight w:val="197"/>
        </w:trPr>
        <w:tc>
          <w:tcPr>
            <w:tcW w:w="484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Short-term marketable securities (&lt;12 months to</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maturity)</w:t>
            </w:r>
          </w:p>
        </w:tc>
        <w:tc>
          <w:tcPr>
            <w:tcW w:w="220" w:type="dxa"/>
            <w:vAlign w:val="bottom"/>
            <w:shd w:val="clear" w:color="auto" w:fill="CFF0FC"/>
          </w:tcPr>
          <w:p>
            <w:pPr>
              <w:spacing w:after="0"/>
              <w:rPr>
                <w:sz w:val="20"/>
                <w:szCs w:val="20"/>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182,533</w:t>
            </w:r>
          </w:p>
        </w:tc>
        <w:tc>
          <w:tcPr>
            <w:tcW w:w="5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(1,830 )</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180,720</w:t>
            </w:r>
          </w:p>
        </w:tc>
        <w:tc>
          <w:tcPr>
            <w:tcW w:w="0" w:type="dxa"/>
            <w:vAlign w:val="bottom"/>
          </w:tcPr>
          <w:p>
            <w:pPr>
              <w:spacing w:after="0"/>
              <w:rPr>
                <w:sz w:val="1"/>
                <w:szCs w:val="1"/>
                <w:color w:val="auto"/>
              </w:rPr>
            </w:pPr>
          </w:p>
        </w:tc>
      </w:tr>
      <w:tr>
        <w:trPr>
          <w:trHeight w:val="197"/>
        </w:trPr>
        <w:tc>
          <w:tcPr>
            <w:tcW w:w="4840" w:type="dxa"/>
            <w:vAlign w:val="bottom"/>
          </w:tcPr>
          <w:p>
            <w:pPr>
              <w:ind w:left="280"/>
              <w:spacing w:after="0" w:line="197" w:lineRule="exact"/>
              <w:rPr>
                <w:sz w:val="20"/>
                <w:szCs w:val="20"/>
                <w:color w:val="auto"/>
              </w:rPr>
            </w:pPr>
            <w:r>
              <w:rPr>
                <w:rFonts w:ascii="Arial" w:cs="Arial" w:eastAsia="Arial" w:hAnsi="Arial"/>
                <w:sz w:val="18"/>
                <w:szCs w:val="18"/>
                <w:color w:val="auto"/>
              </w:rPr>
              <w:t>Long-term marketable securities (&gt;12 months to</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vMerge w:val="restart"/>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840" w:type="dxa"/>
            <w:vAlign w:val="bottom"/>
          </w:tcPr>
          <w:p>
            <w:pPr>
              <w:ind w:left="280"/>
              <w:spacing w:after="0"/>
              <w:rPr>
                <w:sz w:val="20"/>
                <w:szCs w:val="20"/>
                <w:color w:val="auto"/>
              </w:rPr>
            </w:pPr>
            <w:r>
              <w:rPr>
                <w:rFonts w:ascii="Arial" w:cs="Arial" w:eastAsia="Arial" w:hAnsi="Arial"/>
                <w:sz w:val="18"/>
                <w:szCs w:val="18"/>
                <w:color w:val="auto"/>
              </w:rPr>
              <w:t>maturity)</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4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206,355</w:t>
            </w:r>
          </w:p>
        </w:tc>
        <w:tc>
          <w:tcPr>
            <w:tcW w:w="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(1,830 )</w:t>
            </w:r>
          </w:p>
        </w:tc>
        <w:tc>
          <w:tcPr>
            <w:tcW w:w="3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204,542</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marketable securities that have been in a consecutive loss position for more than 12 months as of December 31, 2023. During the year ended December 31, 2023, the Company did not recognize any other-than-temporary impairment loss. As of December 31, 2023, there was no allowance for losses on available-for-sale debt securities attributable to credit risk.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all of the Company’s cash and cash equivalents consisted of cash on deposit with U.S. banks denominated in U.</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 dollars and Australian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4.</w:t>
        <w:tab/>
        <w:t>Prepaid Expenses and Other Current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2"/>
          </w:tcPr>
          <w:p>
            <w:pPr>
              <w:jc w:val="center"/>
              <w:ind w:right="15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5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Borders>
              <w:bottom w:val="single" w:sz="8" w:color="auto"/>
            </w:tcBorders>
            <w:gridSpan w:val="2"/>
          </w:tcPr>
          <w:p>
            <w:pPr>
              <w:jc w:val="center"/>
              <w:ind w:left="548"/>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2022</w:t>
            </w:r>
          </w:p>
        </w:tc>
      </w:tr>
      <w:tr>
        <w:trPr>
          <w:trHeight w:val="223"/>
        </w:trPr>
        <w:tc>
          <w:tcPr>
            <w:tcW w:w="64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Reimbursable research and development costs from a collaboration partner</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1,491</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1,387</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1,239</w:t>
            </w:r>
          </w:p>
        </w:tc>
        <w:tc>
          <w:tcPr>
            <w:tcW w:w="360" w:type="dxa"/>
            <w:vAlign w:val="bottom"/>
          </w:tcPr>
          <w:p>
            <w:pPr>
              <w:spacing w:after="0"/>
              <w:rPr>
                <w:sz w:val="19"/>
                <w:szCs w:val="19"/>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1,738</w:t>
            </w:r>
          </w:p>
        </w:tc>
      </w:tr>
      <w:tr>
        <w:trPr>
          <w:trHeight w:val="22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clinical development costs</w:t>
            </w: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858</w:t>
            </w: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506</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673</w:t>
            </w:r>
          </w:p>
        </w:tc>
        <w:tc>
          <w:tcPr>
            <w:tcW w:w="360" w:type="dxa"/>
            <w:vAlign w:val="bottom"/>
          </w:tcPr>
          <w:p>
            <w:pPr>
              <w:spacing w:after="0"/>
              <w:rPr>
                <w:sz w:val="19"/>
                <w:szCs w:val="19"/>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319</w:t>
            </w:r>
          </w:p>
        </w:tc>
      </w:tr>
      <w:tr>
        <w:trPr>
          <w:trHeight w:val="22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subscriptions and licenses</w:t>
            </w: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255</w:t>
            </w: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399</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88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ind w:right="30"/>
              <w:spacing w:after="0"/>
              <w:rPr>
                <w:sz w:val="20"/>
                <w:szCs w:val="20"/>
                <w:color w:val="auto"/>
              </w:rPr>
            </w:pPr>
            <w:r>
              <w:rPr>
                <w:rFonts w:ascii="Arial" w:cs="Arial" w:eastAsia="Arial" w:hAnsi="Arial"/>
                <w:sz w:val="18"/>
                <w:szCs w:val="18"/>
                <w:color w:val="auto"/>
              </w:rPr>
              <w:t>190</w:t>
            </w:r>
          </w:p>
        </w:tc>
        <w:tc>
          <w:tcPr>
            <w:tcW w:w="360" w:type="dxa"/>
            <w:vAlign w:val="bottom"/>
            <w:tcBorders>
              <w:bottom w:val="single" w:sz="8" w:color="231F20"/>
            </w:tcBorders>
          </w:tcPr>
          <w:p>
            <w:pPr>
              <w:spacing w:after="0"/>
              <w:rPr>
                <w:sz w:val="19"/>
                <w:szCs w:val="19"/>
                <w:color w:val="auto"/>
              </w:rPr>
            </w:pPr>
          </w:p>
        </w:tc>
        <w:tc>
          <w:tcPr>
            <w:tcW w:w="1520" w:type="dxa"/>
            <w:vAlign w:val="bottom"/>
            <w:tcBorders>
              <w:bottom w:val="single" w:sz="8" w:color="231F20"/>
            </w:tcBorders>
          </w:tcPr>
          <w:p>
            <w:pPr>
              <w:jc w:val="right"/>
              <w:ind w:right="34"/>
              <w:spacing w:after="0"/>
              <w:rPr>
                <w:sz w:val="20"/>
                <w:szCs w:val="20"/>
                <w:color w:val="auto"/>
              </w:rPr>
            </w:pPr>
            <w:r>
              <w:rPr>
                <w:rFonts w:ascii="Arial" w:cs="Arial" w:eastAsia="Arial" w:hAnsi="Arial"/>
                <w:sz w:val="18"/>
                <w:szCs w:val="18"/>
                <w:color w:val="auto"/>
              </w:rPr>
              <w:t>129</w:t>
            </w:r>
          </w:p>
        </w:tc>
      </w:tr>
      <w:tr>
        <w:trPr>
          <w:trHeight w:val="263"/>
        </w:trPr>
        <w:tc>
          <w:tcPr>
            <w:tcW w:w="59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4,706</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4,478</w:t>
            </w:r>
          </w:p>
        </w:tc>
      </w:tr>
      <w:tr>
        <w:trPr>
          <w:trHeight w:val="443"/>
        </w:trPr>
        <w:tc>
          <w:tcPr>
            <w:tcW w:w="5980" w:type="dxa"/>
            <w:vAlign w:val="bottom"/>
          </w:tcPr>
          <w:p>
            <w:pPr>
              <w:spacing w:after="0"/>
              <w:rPr>
                <w:sz w:val="20"/>
                <w:szCs w:val="20"/>
                <w:color w:val="auto"/>
              </w:rPr>
            </w:pPr>
            <w:r>
              <w:rPr>
                <w:rFonts w:ascii="Arial" w:cs="Arial" w:eastAsia="Arial" w:hAnsi="Arial"/>
                <w:sz w:val="18"/>
                <w:szCs w:val="18"/>
                <w:color w:val="auto"/>
              </w:rPr>
              <w:t>5. Other Assets and Long-Term Deposits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9"/>
        </w:trPr>
        <w:tc>
          <w:tcPr>
            <w:tcW w:w="6460" w:type="dxa"/>
            <w:vAlign w:val="bottom"/>
            <w:gridSpan w:val="2"/>
          </w:tcPr>
          <w:p>
            <w:pPr>
              <w:spacing w:after="0"/>
              <w:rPr>
                <w:sz w:val="20"/>
                <w:szCs w:val="20"/>
                <w:color w:val="auto"/>
              </w:rPr>
            </w:pPr>
            <w:r>
              <w:rPr>
                <w:rFonts w:ascii="Arial" w:cs="Arial" w:eastAsia="Arial" w:hAnsi="Arial"/>
                <w:sz w:val="18"/>
                <w:szCs w:val="18"/>
                <w:color w:val="auto"/>
              </w:rPr>
              <w:t>Other assets and long-term deposits consisted of the following (in thousands):</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5"/>
        </w:trPr>
        <w:tc>
          <w:tcPr>
            <w:tcW w:w="5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spacing w:after="0"/>
              <w:rPr>
                <w:sz w:val="16"/>
                <w:szCs w:val="16"/>
                <w:color w:val="auto"/>
              </w:rPr>
            </w:pPr>
          </w:p>
        </w:tc>
      </w:tr>
      <w:tr>
        <w:trPr>
          <w:trHeight w:val="183"/>
        </w:trPr>
        <w:tc>
          <w:tcPr>
            <w:tcW w:w="59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center"/>
              <w:ind w:right="648"/>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734"/>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59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034"/>
              <w:spacing w:after="0"/>
              <w:rPr>
                <w:sz w:val="20"/>
                <w:szCs w:val="20"/>
                <w:color w:val="auto"/>
              </w:rPr>
            </w:pPr>
            <w:r>
              <w:rPr>
                <w:rFonts w:ascii="Arial" w:cs="Arial" w:eastAsia="Arial" w:hAnsi="Arial"/>
                <w:sz w:val="14"/>
                <w:szCs w:val="14"/>
                <w:b w:val="1"/>
                <w:bCs w:val="1"/>
                <w:color w:val="auto"/>
              </w:rPr>
              <w:t>2022</w:t>
            </w:r>
          </w:p>
        </w:tc>
      </w:tr>
      <w:tr>
        <w:trPr>
          <w:trHeight w:val="223"/>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Clinical development project deposits</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2180" w:type="dxa"/>
            <w:vAlign w:val="bottom"/>
            <w:gridSpan w:val="3"/>
            <w:shd w:val="clear" w:color="auto" w:fill="CFF0FC"/>
          </w:tcPr>
          <w:p>
            <w:pPr>
              <w:jc w:val="right"/>
              <w:ind w:right="188"/>
              <w:spacing w:after="0"/>
              <w:rPr>
                <w:sz w:val="20"/>
                <w:szCs w:val="20"/>
                <w:color w:val="auto"/>
              </w:rPr>
            </w:pPr>
            <w:r>
              <w:rPr>
                <w:rFonts w:ascii="Arial" w:cs="Arial" w:eastAsia="Arial" w:hAnsi="Arial"/>
                <w:sz w:val="18"/>
                <w:szCs w:val="18"/>
                <w:color w:val="auto"/>
              </w:rPr>
              <w:t>6,688</w:t>
            </w:r>
          </w:p>
        </w:tc>
        <w:tc>
          <w:tcPr>
            <w:tcW w:w="7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2,274</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9"/>
                <w:szCs w:val="19"/>
                <w:color w:val="auto"/>
              </w:rPr>
            </w:pPr>
          </w:p>
        </w:tc>
        <w:tc>
          <w:tcPr>
            <w:tcW w:w="2180" w:type="dxa"/>
            <w:vAlign w:val="bottom"/>
            <w:gridSpan w:val="3"/>
          </w:tcPr>
          <w:p>
            <w:pPr>
              <w:jc w:val="right"/>
              <w:ind w:right="188"/>
              <w:spacing w:after="0"/>
              <w:rPr>
                <w:sz w:val="20"/>
                <w:szCs w:val="20"/>
                <w:color w:val="auto"/>
              </w:rPr>
            </w:pPr>
            <w:r>
              <w:rPr>
                <w:rFonts w:ascii="Arial" w:cs="Arial" w:eastAsia="Arial" w:hAnsi="Arial"/>
                <w:sz w:val="18"/>
                <w:szCs w:val="18"/>
                <w:color w:val="auto"/>
              </w:rPr>
              <w:t>968</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1,480</w:t>
            </w:r>
          </w:p>
        </w:tc>
      </w:tr>
      <w:tr>
        <w:trPr>
          <w:trHeight w:val="230"/>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Security deposits</w:t>
            </w:r>
          </w:p>
        </w:tc>
        <w:tc>
          <w:tcPr>
            <w:tcW w:w="48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gridSpan w:val="3"/>
            <w:shd w:val="clear" w:color="auto" w:fill="CFF0FC"/>
          </w:tcPr>
          <w:p>
            <w:pPr>
              <w:jc w:val="right"/>
              <w:ind w:right="188"/>
              <w:spacing w:after="0"/>
              <w:rPr>
                <w:sz w:val="20"/>
                <w:szCs w:val="20"/>
                <w:color w:val="auto"/>
              </w:rPr>
            </w:pPr>
            <w:r>
              <w:rPr>
                <w:rFonts w:ascii="Arial" w:cs="Arial" w:eastAsia="Arial" w:hAnsi="Arial"/>
                <w:sz w:val="18"/>
                <w:szCs w:val="18"/>
                <w:color w:val="auto"/>
              </w:rPr>
              <w:t>485</w:t>
            </w:r>
          </w:p>
        </w:tc>
        <w:tc>
          <w:tcPr>
            <w:tcW w:w="7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497</w:t>
            </w:r>
          </w:p>
        </w:tc>
      </w:tr>
      <w:tr>
        <w:trPr>
          <w:trHeight w:val="22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8"/>
                <w:szCs w:val="18"/>
                <w:color w:val="auto"/>
              </w:rPr>
              <w:t>8,141</w:t>
            </w:r>
          </w:p>
        </w:tc>
        <w:tc>
          <w:tcPr>
            <w:tcW w:w="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4,251</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16"/>
        </w:trPr>
        <w:tc>
          <w:tcPr>
            <w:tcW w:w="5980" w:type="dxa"/>
            <w:vAlign w:val="bottom"/>
          </w:tcPr>
          <w:p>
            <w:pPr>
              <w:spacing w:after="0"/>
              <w:rPr>
                <w:sz w:val="20"/>
                <w:szCs w:val="20"/>
                <w:color w:val="auto"/>
              </w:rPr>
            </w:pPr>
            <w:r>
              <w:rPr>
                <w:rFonts w:ascii="Arial" w:cs="Arial" w:eastAsia="Arial" w:hAnsi="Arial"/>
                <w:sz w:val="18"/>
                <w:szCs w:val="18"/>
                <w:color w:val="auto"/>
              </w:rPr>
              <w:t>6.  Other Current Liabilities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9"/>
        </w:trPr>
        <w:tc>
          <w:tcPr>
            <w:tcW w:w="5980" w:type="dxa"/>
            <w:vAlign w:val="bottom"/>
          </w:tcPr>
          <w:p>
            <w:pPr>
              <w:spacing w:after="0"/>
              <w:rPr>
                <w:sz w:val="20"/>
                <w:szCs w:val="20"/>
                <w:color w:val="auto"/>
              </w:rPr>
            </w:pPr>
            <w:r>
              <w:rPr>
                <w:rFonts w:ascii="Arial" w:cs="Arial" w:eastAsia="Arial" w:hAnsi="Arial"/>
                <w:sz w:val="18"/>
                <w:szCs w:val="18"/>
                <w:color w:val="auto"/>
              </w:rPr>
              <w:t>Other current liabilities consisted of the following (in thousands):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5"/>
        </w:trPr>
        <w:tc>
          <w:tcPr>
            <w:tcW w:w="5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3"/>
        </w:trPr>
        <w:tc>
          <w:tcPr>
            <w:tcW w:w="5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5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Borders>
              <w:bottom w:val="single" w:sz="8" w:color="auto"/>
            </w:tcBorders>
            <w:gridSpan w:val="2"/>
          </w:tcPr>
          <w:p>
            <w:pPr>
              <w:jc w:val="center"/>
              <w:ind w:left="548"/>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2022</w:t>
            </w:r>
          </w:p>
        </w:tc>
      </w:tr>
      <w:tr>
        <w:trPr>
          <w:trHeight w:val="223"/>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related costs</w:t>
            </w:r>
          </w:p>
        </w:tc>
        <w:tc>
          <w:tcPr>
            <w:tcW w:w="4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11,322</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9,105</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Accrued employee bonuses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5,465</w:t>
            </w:r>
          </w:p>
        </w:tc>
        <w:tc>
          <w:tcPr>
            <w:tcW w:w="360" w:type="dxa"/>
            <w:vAlign w:val="bottom"/>
          </w:tcPr>
          <w:p>
            <w:pPr>
              <w:spacing w:after="0"/>
              <w:rPr>
                <w:sz w:val="19"/>
                <w:szCs w:val="19"/>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4,518</w:t>
            </w:r>
          </w:p>
        </w:tc>
      </w:tr>
      <w:tr>
        <w:trPr>
          <w:trHeight w:val="22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fees</w:t>
            </w: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903</w:t>
            </w: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1,091</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Accrued payroll related costs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19"/>
                <w:szCs w:val="19"/>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296</w:t>
            </w:r>
          </w:p>
        </w:tc>
      </w:tr>
      <w:tr>
        <w:trPr>
          <w:trHeight w:val="230"/>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taxes</w:t>
            </w: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68</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Early exercise of unvested stock options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231F20"/>
            </w:tcBorders>
          </w:tcPr>
          <w:p>
            <w:pPr>
              <w:spacing w:after="0"/>
              <w:rPr>
                <w:sz w:val="19"/>
                <w:szCs w:val="19"/>
                <w:color w:val="auto"/>
              </w:rPr>
            </w:pPr>
          </w:p>
        </w:tc>
        <w:tc>
          <w:tcPr>
            <w:tcW w:w="1520" w:type="dxa"/>
            <w:vAlign w:val="bottom"/>
            <w:tcBorders>
              <w:bottom w:val="single" w:sz="8" w:color="231F20"/>
            </w:tcBorders>
          </w:tcPr>
          <w:p>
            <w:pPr>
              <w:jc w:val="right"/>
              <w:ind w:right="34"/>
              <w:spacing w:after="0"/>
              <w:rPr>
                <w:sz w:val="20"/>
                <w:szCs w:val="20"/>
                <w:color w:val="auto"/>
              </w:rPr>
            </w:pPr>
            <w:r>
              <w:rPr>
                <w:rFonts w:ascii="Arial" w:cs="Arial" w:eastAsia="Arial" w:hAnsi="Arial"/>
                <w:sz w:val="18"/>
                <w:szCs w:val="18"/>
                <w:color w:val="auto"/>
              </w:rPr>
              <w:t>82</w:t>
            </w:r>
          </w:p>
        </w:tc>
      </w:tr>
      <w:tr>
        <w:trPr>
          <w:trHeight w:val="263"/>
        </w:trPr>
        <w:tc>
          <w:tcPr>
            <w:tcW w:w="59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17,935</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7.</w:t>
        <w:tab/>
        <w:t>Common Stock</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each of the balance sheet dates below, the Company had reserved shares of common stock for issuance in connection with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December 31,</w:t>
            </w:r>
          </w:p>
        </w:tc>
        <w:tc>
          <w:tcPr>
            <w:tcW w:w="174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480" w:type="dxa"/>
            <w:vAlign w:val="bottom"/>
          </w:tcPr>
          <w:p>
            <w:pPr>
              <w:spacing w:after="0"/>
              <w:rPr>
                <w:sz w:val="16"/>
                <w:szCs w:val="16"/>
                <w:color w:val="auto"/>
              </w:rPr>
            </w:pPr>
          </w:p>
        </w:tc>
        <w:tc>
          <w:tcPr>
            <w:tcW w:w="202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4"/>
                <w:szCs w:val="14"/>
                <w:b w:val="1"/>
                <w:bCs w:val="1"/>
                <w:color w:val="auto"/>
              </w:rPr>
              <w:t>2023</w:t>
            </w:r>
          </w:p>
        </w:tc>
        <w:tc>
          <w:tcPr>
            <w:tcW w:w="17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r>
      <w:tr>
        <w:trPr>
          <w:trHeight w:val="223"/>
        </w:trPr>
        <w:tc>
          <w:tcPr>
            <w:tcW w:w="7480" w:type="dxa"/>
            <w:vAlign w:val="bottom"/>
            <w:shd w:val="clear" w:color="auto" w:fill="CFF0FC"/>
          </w:tcPr>
          <w:p>
            <w:pPr>
              <w:ind w:left="20"/>
              <w:spacing w:after="0" w:line="222" w:lineRule="exact"/>
              <w:rPr>
                <w:sz w:val="20"/>
                <w:szCs w:val="20"/>
                <w:color w:val="auto"/>
              </w:rPr>
            </w:pPr>
            <w:r>
              <w:rPr>
                <w:rFonts w:ascii="Arial" w:cs="Arial" w:eastAsia="Arial" w:hAnsi="Arial"/>
                <w:sz w:val="18"/>
                <w:szCs w:val="18"/>
                <w:color w:val="auto"/>
              </w:rPr>
              <w:t xml:space="preserve">Options outstanding under the 2014 Stock Plan </w:t>
            </w:r>
            <w:r>
              <w:rPr>
                <w:rFonts w:ascii="Arial" w:cs="Arial" w:eastAsia="Arial" w:hAnsi="Arial"/>
                <w:sz w:val="24"/>
                <w:szCs w:val="24"/>
                <w:color w:val="auto"/>
                <w:vertAlign w:val="superscript"/>
              </w:rPr>
              <w:t>(1)</w:t>
            </w:r>
          </w:p>
        </w:tc>
        <w:tc>
          <w:tcPr>
            <w:tcW w:w="202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color w:val="auto"/>
              </w:rPr>
              <w:t>1,875,140</w:t>
            </w:r>
          </w:p>
        </w:tc>
        <w:tc>
          <w:tcPr>
            <w:tcW w:w="1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2,332,441</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Options outstanding under the 2020 Equity Incentive Plan</w:t>
            </w:r>
          </w:p>
        </w:tc>
        <w:tc>
          <w:tcPr>
            <w:tcW w:w="2020" w:type="dxa"/>
            <w:vAlign w:val="bottom"/>
            <w:gridSpan w:val="2"/>
          </w:tcPr>
          <w:p>
            <w:pPr>
              <w:jc w:val="right"/>
              <w:ind w:right="239"/>
              <w:spacing w:after="0"/>
              <w:rPr>
                <w:sz w:val="20"/>
                <w:szCs w:val="20"/>
                <w:color w:val="auto"/>
              </w:rPr>
            </w:pPr>
            <w:r>
              <w:rPr>
                <w:rFonts w:ascii="Arial" w:cs="Arial" w:eastAsia="Arial" w:hAnsi="Arial"/>
                <w:sz w:val="18"/>
                <w:szCs w:val="18"/>
                <w:color w:val="auto"/>
              </w:rPr>
              <w:t>5,669,961</w:t>
            </w: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5,332,617</w:t>
            </w:r>
          </w:p>
        </w:tc>
      </w:tr>
      <w:tr>
        <w:trPr>
          <w:trHeight w:val="230"/>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outstanding under the 2022 Inducement Plan</w:t>
            </w:r>
          </w:p>
        </w:tc>
        <w:tc>
          <w:tcPr>
            <w:tcW w:w="202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color w:val="auto"/>
              </w:rPr>
              <w:t>1,125,641</w:t>
            </w:r>
          </w:p>
        </w:tc>
        <w:tc>
          <w:tcPr>
            <w:tcW w:w="1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719,800</w:t>
            </w:r>
          </w:p>
        </w:tc>
      </w:tr>
      <w:tr>
        <w:trPr>
          <w:trHeight w:val="197"/>
        </w:trPr>
        <w:tc>
          <w:tcPr>
            <w:tcW w:w="7480" w:type="dxa"/>
            <w:vAlign w:val="bottom"/>
          </w:tcPr>
          <w:p>
            <w:pPr>
              <w:ind w:left="20"/>
              <w:spacing w:after="0" w:line="197" w:lineRule="exact"/>
              <w:rPr>
                <w:sz w:val="20"/>
                <w:szCs w:val="20"/>
                <w:color w:val="auto"/>
              </w:rPr>
            </w:pPr>
            <w:r>
              <w:rPr>
                <w:rFonts w:ascii="Arial" w:cs="Arial" w:eastAsia="Arial" w:hAnsi="Arial"/>
                <w:sz w:val="18"/>
                <w:szCs w:val="18"/>
                <w:color w:val="auto"/>
              </w:rPr>
              <w:t>Shares available for future grant under the 2020 Equity Incentive Plan and the 2022</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5"/>
        </w:trPr>
        <w:tc>
          <w:tcPr>
            <w:tcW w:w="7480" w:type="dxa"/>
            <w:vAlign w:val="bottom"/>
          </w:tcPr>
          <w:p>
            <w:pPr>
              <w:ind w:left="20"/>
              <w:spacing w:after="0"/>
              <w:rPr>
                <w:sz w:val="20"/>
                <w:szCs w:val="20"/>
                <w:color w:val="auto"/>
              </w:rPr>
            </w:pPr>
            <w:r>
              <w:rPr>
                <w:rFonts w:ascii="Arial" w:cs="Arial" w:eastAsia="Arial" w:hAnsi="Arial"/>
                <w:sz w:val="18"/>
                <w:szCs w:val="18"/>
                <w:color w:val="auto"/>
              </w:rPr>
              <w:t>Inducement Plan</w:t>
            </w:r>
          </w:p>
        </w:tc>
        <w:tc>
          <w:tcPr>
            <w:tcW w:w="2020" w:type="dxa"/>
            <w:vAlign w:val="bottom"/>
            <w:gridSpan w:val="2"/>
          </w:tcPr>
          <w:p>
            <w:pPr>
              <w:jc w:val="right"/>
              <w:ind w:right="239"/>
              <w:spacing w:after="0"/>
              <w:rPr>
                <w:sz w:val="20"/>
                <w:szCs w:val="20"/>
                <w:color w:val="auto"/>
              </w:rPr>
            </w:pPr>
            <w:r>
              <w:rPr>
                <w:rFonts w:ascii="Arial" w:cs="Arial" w:eastAsia="Arial" w:hAnsi="Arial"/>
                <w:sz w:val="18"/>
                <w:szCs w:val="18"/>
                <w:color w:val="auto"/>
              </w:rPr>
              <w:t>2,497,813</w:t>
            </w: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1,392,584</w:t>
            </w:r>
          </w:p>
        </w:tc>
      </w:tr>
      <w:tr>
        <w:trPr>
          <w:trHeight w:val="22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 for the 2020 Employee Stock Purchase Plan</w:t>
            </w:r>
          </w:p>
        </w:tc>
        <w:tc>
          <w:tcPr>
            <w:tcW w:w="202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color w:val="auto"/>
              </w:rPr>
              <w:t>684,497</w:t>
            </w:r>
          </w:p>
        </w:tc>
        <w:tc>
          <w:tcPr>
            <w:tcW w:w="1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1,018,000</w:t>
            </w:r>
          </w:p>
        </w:tc>
      </w:tr>
      <w:tr>
        <w:trPr>
          <w:trHeight w:val="197"/>
        </w:trPr>
        <w:tc>
          <w:tcPr>
            <w:tcW w:w="7480" w:type="dxa"/>
            <w:vAlign w:val="bottom"/>
          </w:tcPr>
          <w:p>
            <w:pPr>
              <w:ind w:left="20"/>
              <w:spacing w:after="0" w:line="197" w:lineRule="exact"/>
              <w:rPr>
                <w:sz w:val="20"/>
                <w:szCs w:val="20"/>
                <w:color w:val="auto"/>
              </w:rPr>
            </w:pPr>
            <w:r>
              <w:rPr>
                <w:rFonts w:ascii="Arial" w:cs="Arial" w:eastAsia="Arial" w:hAnsi="Arial"/>
                <w:sz w:val="18"/>
                <w:szCs w:val="18"/>
                <w:color w:val="auto"/>
              </w:rPr>
              <w:t>Unvested performance-based restricted stock unit awards outstanding under the 2020</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5"/>
        </w:trPr>
        <w:tc>
          <w:tcPr>
            <w:tcW w:w="748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2020" w:type="dxa"/>
            <w:vAlign w:val="bottom"/>
            <w:gridSpan w:val="2"/>
          </w:tcPr>
          <w:p>
            <w:pPr>
              <w:jc w:val="right"/>
              <w:ind w:right="239"/>
              <w:spacing w:after="0"/>
              <w:rPr>
                <w:sz w:val="20"/>
                <w:szCs w:val="20"/>
                <w:color w:val="auto"/>
              </w:rPr>
            </w:pPr>
            <w:r>
              <w:rPr>
                <w:rFonts w:ascii="Arial" w:cs="Arial" w:eastAsia="Arial" w:hAnsi="Arial"/>
                <w:sz w:val="18"/>
                <w:szCs w:val="18"/>
                <w:color w:val="auto"/>
              </w:rPr>
              <w:t>403,000</w:t>
            </w: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710,000</w:t>
            </w:r>
          </w:p>
        </w:tc>
      </w:tr>
      <w:tr>
        <w:trPr>
          <w:trHeight w:val="229"/>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stock awards outstanding under the 2014 Stock Plan</w:t>
            </w:r>
          </w:p>
        </w:tc>
        <w:tc>
          <w:tcPr>
            <w:tcW w:w="14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rPr>
              <w:t>80,703</w:t>
            </w:r>
          </w:p>
        </w:tc>
        <w:tc>
          <w:tcPr>
            <w:tcW w:w="1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295,911</w:t>
            </w:r>
          </w:p>
        </w:tc>
      </w:tr>
      <w:tr>
        <w:trPr>
          <w:trHeight w:val="223"/>
        </w:trPr>
        <w:tc>
          <w:tcPr>
            <w:tcW w:w="74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8"/>
                <w:szCs w:val="18"/>
                <w:color w:val="auto"/>
              </w:rPr>
              <w:t>12,336,755</w:t>
            </w:r>
          </w:p>
        </w:tc>
        <w:tc>
          <w:tcPr>
            <w:tcW w:w="1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11,801,353</w:t>
            </w:r>
          </w:p>
        </w:tc>
      </w:tr>
      <w:tr>
        <w:trPr>
          <w:trHeight w:val="20"/>
        </w:trPr>
        <w:tc>
          <w:tcPr>
            <w:tcW w:w="7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80" w:hanging="372"/>
        <w:spacing w:after="0"/>
        <w:tabs>
          <w:tab w:leader="none" w:pos="380" w:val="left"/>
        </w:tabs>
        <w:numPr>
          <w:ilvl w:val="0"/>
          <w:numId w:val="60"/>
        </w:numPr>
        <w:rPr>
          <w:rFonts w:ascii="Arial" w:cs="Arial" w:eastAsia="Arial" w:hAnsi="Arial"/>
          <w:sz w:val="14"/>
          <w:szCs w:val="14"/>
          <w:color w:val="231F20"/>
        </w:rPr>
      </w:pPr>
      <w:r>
        <w:rPr>
          <w:rFonts w:ascii="Arial" w:cs="Arial" w:eastAsia="Arial" w:hAnsi="Arial"/>
          <w:sz w:val="14"/>
          <w:szCs w:val="14"/>
          <w:color w:val="231F20"/>
        </w:rPr>
        <w:t>Balance as of December 31, 2022 includes 18,640 unvested early exercised stock options (see Note 8, “Stock-Based Compensation”).</w:t>
      </w:r>
    </w:p>
    <w:p>
      <w:pPr>
        <w:spacing w:after="0" w:line="20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8.</w:t>
        <w:tab/>
        <w:t>Stock-Based Compensation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2014, the Company’s Board of Directors (the “Board”)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 below, became effective, and since that date, no additional awards have been or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the Board and the Company’s stockholders approved and adopted the 2020 Plan. The 2020 Plan permits the grant of options, restricted stock awards, stock appreciation rights, restricted stock unit awards, performance awards, and other awards. The maximum number of shares of common stock that initially issuable under the 2020 Plan was a number not to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2014 Plan that, on or after the date on which the 2020 Plan became effective, terminated or expired prior to exercise or settlement; were not issued because the award was settled in cash; were forfeited because of the failure to vest; or were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Board no later than December 31 of the immediately preceding year.</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2022, the Board approved and adopted the Company’s 2022 Inducement Plan (the “2022 Inducement Plan”). Under the 2022 Inducement Plan, initially 2,000,000 shares of common stock were reserved for issuance. The 2022 Inducement Plan permits the grant of options, restricted stock awards, stock appreciation rights, restricted stock unit awards, performance awards, and other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60"/>
        <w:spacing w:after="0" w:line="244" w:lineRule="auto"/>
        <w:rPr>
          <w:sz w:val="20"/>
          <w:szCs w:val="20"/>
          <w:color w:val="auto"/>
        </w:rPr>
      </w:pPr>
      <w:r>
        <w:rPr>
          <w:rFonts w:ascii="Arial" w:cs="Arial" w:eastAsia="Arial" w:hAnsi="Arial"/>
          <w:sz w:val="18"/>
          <w:szCs w:val="18"/>
          <w:color w:val="auto"/>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 after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w:t>
      </w:r>
    </w:p>
    <w:p>
      <w:pPr>
        <w:spacing w:after="0" w:line="210"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spacing w:after="0" w:line="180"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The assumptions that the Company used to determine the estimated grant-date fair value of stock options granted to employees and directors under the 2020 Plan and the 2022 Inducement Plan were as follows, presented as a weighted average: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21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December 31,</w:t>
            </w:r>
          </w:p>
        </w:tc>
        <w:tc>
          <w:tcPr>
            <w:tcW w:w="16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80" w:type="dxa"/>
            <w:vAlign w:val="bottom"/>
            <w:vMerge w:val="restart"/>
          </w:tcPr>
          <w:p>
            <w:pPr>
              <w:ind w:left="20"/>
              <w:spacing w:after="0"/>
              <w:rPr>
                <w:sz w:val="20"/>
                <w:szCs w:val="20"/>
                <w:color w:val="auto"/>
              </w:rPr>
            </w:pPr>
            <w:r>
              <w:rPr>
                <w:rFonts w:ascii="Arial" w:cs="Arial" w:eastAsia="Arial" w:hAnsi="Arial"/>
                <w:sz w:val="18"/>
                <w:szCs w:val="18"/>
                <w:color w:val="auto"/>
              </w:rPr>
              <w:t>Risk-free interest rate</w:t>
            </w:r>
          </w:p>
        </w:tc>
        <w:tc>
          <w:tcPr>
            <w:tcW w:w="2120" w:type="dxa"/>
            <w:vAlign w:val="bottom"/>
            <w:tcBorders>
              <w:bottom w:val="single" w:sz="8" w:color="auto"/>
            </w:tcBorders>
          </w:tcPr>
          <w:p>
            <w:pPr>
              <w:jc w:val="right"/>
              <w:ind w:right="1016"/>
              <w:spacing w:after="0"/>
              <w:rPr>
                <w:sz w:val="20"/>
                <w:szCs w:val="20"/>
                <w:color w:val="auto"/>
              </w:rPr>
            </w:pPr>
            <w:r>
              <w:rPr>
                <w:rFonts w:ascii="Arial" w:cs="Arial" w:eastAsia="Arial" w:hAnsi="Arial"/>
                <w:sz w:val="14"/>
                <w:szCs w:val="14"/>
                <w:b w:val="1"/>
                <w:bCs w:val="1"/>
                <w:color w:val="auto"/>
              </w:rPr>
              <w:t>2023</w:t>
            </w:r>
          </w:p>
        </w:tc>
        <w:tc>
          <w:tcPr>
            <w:tcW w:w="16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80" w:type="dxa"/>
            <w:vAlign w:val="bottom"/>
            <w:vMerge w:val="continue"/>
          </w:tcPr>
          <w:p>
            <w:pPr>
              <w:spacing w:after="0"/>
              <w:rPr>
                <w:sz w:val="19"/>
                <w:szCs w:val="19"/>
                <w:color w:val="auto"/>
              </w:rPr>
            </w:pPr>
          </w:p>
        </w:tc>
        <w:tc>
          <w:tcPr>
            <w:tcW w:w="2120" w:type="dxa"/>
            <w:vAlign w:val="bottom"/>
          </w:tcPr>
          <w:p>
            <w:pPr>
              <w:jc w:val="right"/>
              <w:ind w:right="156"/>
              <w:spacing w:after="0"/>
              <w:rPr>
                <w:sz w:val="20"/>
                <w:szCs w:val="20"/>
                <w:color w:val="auto"/>
              </w:rPr>
            </w:pPr>
            <w:r>
              <w:rPr>
                <w:rFonts w:ascii="Arial" w:cs="Arial" w:eastAsia="Arial" w:hAnsi="Arial"/>
                <w:sz w:val="18"/>
                <w:szCs w:val="18"/>
                <w:color w:val="auto"/>
              </w:rPr>
              <w:t>3.64 %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120" w:type="dxa"/>
            <w:vAlign w:val="bottom"/>
          </w:tcPr>
          <w:p>
            <w:pPr>
              <w:jc w:val="right"/>
              <w:ind w:right="336"/>
              <w:spacing w:after="0"/>
              <w:rPr>
                <w:sz w:val="20"/>
                <w:szCs w:val="20"/>
                <w:color w:val="auto"/>
              </w:rPr>
            </w:pPr>
            <w:r>
              <w:rPr>
                <w:rFonts w:ascii="Arial" w:cs="Arial" w:eastAsia="Arial" w:hAnsi="Arial"/>
                <w:sz w:val="18"/>
                <w:szCs w:val="18"/>
                <w:color w:val="auto"/>
              </w:rPr>
              <w:t>6.02</w:t>
            </w: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120" w:type="dxa"/>
            <w:vAlign w:val="bottom"/>
          </w:tcPr>
          <w:p>
            <w:pPr>
              <w:jc w:val="right"/>
              <w:ind w:right="156"/>
              <w:spacing w:after="0"/>
              <w:rPr>
                <w:sz w:val="20"/>
                <w:szCs w:val="20"/>
                <w:color w:val="auto"/>
              </w:rPr>
            </w:pPr>
            <w:r>
              <w:rPr>
                <w:rFonts w:ascii="Arial" w:cs="Arial" w:eastAsia="Arial" w:hAnsi="Arial"/>
                <w:sz w:val="18"/>
                <w:szCs w:val="18"/>
                <w:color w:val="auto"/>
              </w:rPr>
              <w:t>86.35 %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79.71 %</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120" w:type="dxa"/>
            <w:vAlign w:val="bottom"/>
          </w:tcPr>
          <w:p>
            <w:pPr>
              <w:jc w:val="right"/>
              <w:ind w:right="33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under the 2014 Plan, the 2020 Plan and the 2022 Inducement Plan: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Weighted</w:t>
            </w: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189"/>
        </w:trPr>
        <w:tc>
          <w:tcPr>
            <w:tcW w:w="5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357"/>
              <w:spacing w:after="0"/>
              <w:rPr>
                <w:sz w:val="20"/>
                <w:szCs w:val="20"/>
                <w:color w:val="auto"/>
              </w:rPr>
            </w:pPr>
            <w:r>
              <w:rPr>
                <w:rFonts w:ascii="Arial" w:cs="Arial" w:eastAsia="Arial" w:hAnsi="Arial"/>
                <w:sz w:val="14"/>
                <w:szCs w:val="14"/>
                <w:b w:val="1"/>
                <w:bCs w:val="1"/>
                <w:color w:val="auto"/>
              </w:rPr>
              <w:t>Weighted</w:t>
            </w:r>
          </w:p>
        </w:tc>
        <w:tc>
          <w:tcPr>
            <w:tcW w:w="1420" w:type="dxa"/>
            <w:vAlign w:val="bottom"/>
          </w:tcPr>
          <w:p>
            <w:pPr>
              <w:jc w:val="center"/>
              <w:ind w:right="18"/>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5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357"/>
              <w:spacing w:after="0"/>
              <w:rPr>
                <w:sz w:val="20"/>
                <w:szCs w:val="20"/>
                <w:color w:val="auto"/>
              </w:rPr>
            </w:pPr>
            <w:r>
              <w:rPr>
                <w:rFonts w:ascii="Arial" w:cs="Arial" w:eastAsia="Arial" w:hAnsi="Arial"/>
                <w:sz w:val="14"/>
                <w:szCs w:val="14"/>
                <w:b w:val="1"/>
                <w:bCs w:val="1"/>
                <w:color w:val="auto"/>
              </w:rPr>
              <w:t>Average</w:t>
            </w:r>
          </w:p>
        </w:tc>
        <w:tc>
          <w:tcPr>
            <w:tcW w:w="1420" w:type="dxa"/>
            <w:vAlign w:val="bottom"/>
          </w:tcPr>
          <w:p>
            <w:pPr>
              <w:jc w:val="center"/>
              <w:ind w:right="38"/>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6"/>
                <w:szCs w:val="16"/>
                <w:color w:val="auto"/>
              </w:rPr>
            </w:pPr>
          </w:p>
        </w:tc>
        <w:tc>
          <w:tcPr>
            <w:tcW w:w="1300" w:type="dxa"/>
            <w:vAlign w:val="bottom"/>
          </w:tcPr>
          <w:p>
            <w:pPr>
              <w:jc w:val="center"/>
              <w:ind w:right="157"/>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5100" w:type="dxa"/>
            <w:vAlign w:val="bottom"/>
          </w:tcPr>
          <w:p>
            <w:pPr>
              <w:spacing w:after="0"/>
              <w:rPr>
                <w:sz w:val="16"/>
                <w:szCs w:val="16"/>
                <w:color w:val="auto"/>
              </w:rPr>
            </w:pPr>
          </w:p>
        </w:tc>
        <w:tc>
          <w:tcPr>
            <w:tcW w:w="1520" w:type="dxa"/>
            <w:vAlign w:val="bottom"/>
          </w:tcPr>
          <w:p>
            <w:pPr>
              <w:jc w:val="right"/>
              <w:ind w:right="414"/>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6"/>
                <w:szCs w:val="16"/>
                <w:color w:val="auto"/>
              </w:rPr>
            </w:pPr>
          </w:p>
        </w:tc>
        <w:tc>
          <w:tcPr>
            <w:tcW w:w="1320" w:type="dxa"/>
            <w:vAlign w:val="bottom"/>
          </w:tcPr>
          <w:p>
            <w:pPr>
              <w:jc w:val="center"/>
              <w:ind w:right="377"/>
              <w:spacing w:after="0"/>
              <w:rPr>
                <w:sz w:val="20"/>
                <w:szCs w:val="20"/>
                <w:color w:val="auto"/>
              </w:rPr>
            </w:pPr>
            <w:r>
              <w:rPr>
                <w:rFonts w:ascii="Arial" w:cs="Arial" w:eastAsia="Arial" w:hAnsi="Arial"/>
                <w:sz w:val="14"/>
                <w:szCs w:val="14"/>
                <w:b w:val="1"/>
                <w:bCs w:val="1"/>
                <w:color w:val="auto"/>
              </w:rPr>
              <w:t>Exercise</w:t>
            </w:r>
          </w:p>
        </w:tc>
        <w:tc>
          <w:tcPr>
            <w:tcW w:w="1420" w:type="dxa"/>
            <w:vAlign w:val="bottom"/>
          </w:tcPr>
          <w:p>
            <w:pPr>
              <w:jc w:val="center"/>
              <w:ind w:right="18"/>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6"/>
                <w:szCs w:val="16"/>
                <w:color w:val="auto"/>
              </w:rPr>
            </w:pPr>
          </w:p>
        </w:tc>
        <w:tc>
          <w:tcPr>
            <w:tcW w:w="1300" w:type="dxa"/>
            <w:vAlign w:val="bottom"/>
          </w:tcPr>
          <w:p>
            <w:pPr>
              <w:jc w:val="center"/>
              <w:ind w:right="137"/>
              <w:spacing w:after="0"/>
              <w:rPr>
                <w:sz w:val="20"/>
                <w:szCs w:val="20"/>
                <w:color w:val="auto"/>
              </w:rPr>
            </w:pPr>
            <w:r>
              <w:rPr>
                <w:rFonts w:ascii="Arial" w:cs="Arial" w:eastAsia="Arial" w:hAnsi="Arial"/>
                <w:sz w:val="14"/>
                <w:szCs w:val="14"/>
                <w:b w:val="1"/>
                <w:bCs w:val="1"/>
                <w:color w:val="auto"/>
              </w:rPr>
              <w:t>Intrinsic</w:t>
            </w:r>
          </w:p>
        </w:tc>
      </w:tr>
      <w:tr>
        <w:trPr>
          <w:trHeight w:val="185"/>
        </w:trPr>
        <w:tc>
          <w:tcPr>
            <w:tcW w:w="5100" w:type="dxa"/>
            <w:vAlign w:val="bottom"/>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77"/>
              <w:spacing w:after="0"/>
              <w:rPr>
                <w:sz w:val="20"/>
                <w:szCs w:val="20"/>
                <w:color w:val="auto"/>
              </w:rPr>
            </w:pPr>
            <w:r>
              <w:rPr>
                <w:rFonts w:ascii="Arial" w:cs="Arial" w:eastAsia="Arial" w:hAnsi="Arial"/>
                <w:sz w:val="14"/>
                <w:szCs w:val="14"/>
                <w:b w:val="1"/>
                <w:bCs w:val="1"/>
                <w:color w:val="auto"/>
                <w:w w:val="99"/>
              </w:rPr>
              <w:t>Price</w:t>
            </w:r>
          </w:p>
        </w:tc>
        <w:tc>
          <w:tcPr>
            <w:tcW w:w="14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Value</w:t>
            </w:r>
          </w:p>
        </w:tc>
      </w:tr>
      <w:tr>
        <w:trPr>
          <w:trHeight w:val="183"/>
        </w:trPr>
        <w:tc>
          <w:tcPr>
            <w:tcW w:w="5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tcPr>
          <w:p>
            <w:pPr>
              <w:jc w:val="center"/>
              <w:ind w:right="18"/>
              <w:spacing w:after="0"/>
              <w:rPr>
                <w:sz w:val="20"/>
                <w:szCs w:val="20"/>
                <w:color w:val="auto"/>
              </w:rPr>
            </w:pPr>
            <w:r>
              <w:rPr>
                <w:rFonts w:ascii="Arial" w:cs="Arial" w:eastAsia="Arial" w:hAnsi="Arial"/>
                <w:sz w:val="14"/>
                <w:szCs w:val="14"/>
                <w:b w:val="1"/>
                <w:bCs w:val="1"/>
                <w:color w:val="auto"/>
              </w:rPr>
              <w:t>(in years)</w:t>
            </w:r>
          </w:p>
        </w:tc>
        <w:tc>
          <w:tcPr>
            <w:tcW w:w="260" w:type="dxa"/>
            <w:vAlign w:val="bottom"/>
          </w:tcPr>
          <w:p>
            <w:pPr>
              <w:spacing w:after="0"/>
              <w:rPr>
                <w:sz w:val="15"/>
                <w:szCs w:val="15"/>
                <w:color w:val="auto"/>
              </w:rPr>
            </w:pPr>
          </w:p>
        </w:tc>
        <w:tc>
          <w:tcPr>
            <w:tcW w:w="1300" w:type="dxa"/>
            <w:vAlign w:val="bottom"/>
          </w:tcPr>
          <w:p>
            <w:pPr>
              <w:jc w:val="center"/>
              <w:ind w:right="157"/>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52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8,384,858</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8.59</w:t>
            </w:r>
          </w:p>
        </w:tc>
        <w:tc>
          <w:tcPr>
            <w:tcW w:w="14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8.30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262</w:t>
            </w:r>
          </w:p>
        </w:tc>
      </w:tr>
      <w:tr>
        <w:trPr>
          <w:trHeight w:val="230"/>
        </w:trPr>
        <w:tc>
          <w:tcPr>
            <w:tcW w:w="51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114"/>
              <w:spacing w:after="0"/>
              <w:rPr>
                <w:sz w:val="20"/>
                <w:szCs w:val="20"/>
                <w:color w:val="auto"/>
              </w:rPr>
            </w:pPr>
            <w:r>
              <w:rPr>
                <w:rFonts w:ascii="Arial" w:cs="Arial" w:eastAsia="Arial" w:hAnsi="Arial"/>
                <w:sz w:val="18"/>
                <w:szCs w:val="18"/>
                <w:color w:val="auto"/>
              </w:rPr>
              <w:t>2,569,485</w:t>
            </w:r>
          </w:p>
        </w:tc>
        <w:tc>
          <w:tcPr>
            <w:tcW w:w="320" w:type="dxa"/>
            <w:vAlign w:val="bottom"/>
          </w:tcPr>
          <w:p>
            <w:pPr>
              <w:spacing w:after="0"/>
              <w:rPr>
                <w:sz w:val="19"/>
                <w:szCs w:val="19"/>
                <w:color w:val="auto"/>
              </w:rPr>
            </w:pPr>
          </w:p>
        </w:tc>
        <w:tc>
          <w:tcPr>
            <w:tcW w:w="1320" w:type="dxa"/>
            <w:vAlign w:val="bottom"/>
          </w:tcPr>
          <w:p>
            <w:pPr>
              <w:jc w:val="right"/>
              <w:ind w:right="157"/>
              <w:spacing w:after="0"/>
              <w:rPr>
                <w:sz w:val="20"/>
                <w:szCs w:val="20"/>
                <w:color w:val="auto"/>
              </w:rPr>
            </w:pPr>
            <w:r>
              <w:rPr>
                <w:rFonts w:ascii="Arial" w:cs="Arial" w:eastAsia="Arial" w:hAnsi="Arial"/>
                <w:sz w:val="18"/>
                <w:szCs w:val="18"/>
                <w:color w:val="auto"/>
              </w:rPr>
              <w:t>5.92</w:t>
            </w: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Exercised(1)</w:t>
            </w:r>
          </w:p>
        </w:tc>
        <w:tc>
          <w:tcPr>
            <w:tcW w:w="15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(774,099 )</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3.88</w:t>
            </w:r>
          </w:p>
        </w:tc>
        <w:tc>
          <w:tcPr>
            <w:tcW w:w="14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(1,509,502 )</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6.86</w:t>
            </w:r>
          </w:p>
        </w:tc>
        <w:tc>
          <w:tcPr>
            <w:tcW w:w="14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r>
      <w:tr>
        <w:trPr>
          <w:trHeight w:val="263"/>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2023</w:t>
            </w:r>
          </w:p>
        </w:tc>
        <w:tc>
          <w:tcPr>
            <w:tcW w:w="152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8,670,742</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157"/>
              <w:spacing w:after="0"/>
              <w:rPr>
                <w:sz w:val="20"/>
                <w:szCs w:val="20"/>
                <w:color w:val="auto"/>
              </w:rPr>
            </w:pPr>
            <w:r>
              <w:rPr>
                <w:rFonts w:ascii="Arial" w:cs="Arial" w:eastAsia="Arial" w:hAnsi="Arial"/>
                <w:sz w:val="18"/>
                <w:szCs w:val="18"/>
                <w:color w:val="auto"/>
              </w:rPr>
              <w:t>8.52</w:t>
            </w:r>
          </w:p>
        </w:tc>
        <w:tc>
          <w:tcPr>
            <w:tcW w:w="14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7.60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61,749</w:t>
            </w:r>
          </w:p>
        </w:tc>
      </w:tr>
      <w:tr>
        <w:trPr>
          <w:trHeight w:val="440"/>
        </w:trPr>
        <w:tc>
          <w:tcPr>
            <w:tcW w:w="5100" w:type="dxa"/>
            <w:vAlign w:val="bottom"/>
          </w:tcPr>
          <w:p>
            <w:pPr>
              <w:ind w:left="20"/>
              <w:spacing w:after="0"/>
              <w:rPr>
                <w:sz w:val="20"/>
                <w:szCs w:val="20"/>
                <w:color w:val="auto"/>
              </w:rPr>
            </w:pPr>
            <w:r>
              <w:rPr>
                <w:rFonts w:ascii="Arial" w:cs="Arial" w:eastAsia="Arial" w:hAnsi="Arial"/>
                <w:sz w:val="18"/>
                <w:szCs w:val="18"/>
                <w:color w:val="auto"/>
              </w:rPr>
              <w:t>Options vested and exercisable as of December 31, 2023</w:t>
            </w:r>
          </w:p>
        </w:tc>
        <w:tc>
          <w:tcPr>
            <w:tcW w:w="1520" w:type="dxa"/>
            <w:vAlign w:val="bottom"/>
          </w:tcPr>
          <w:p>
            <w:pPr>
              <w:jc w:val="right"/>
              <w:ind w:right="114"/>
              <w:spacing w:after="0"/>
              <w:rPr>
                <w:sz w:val="20"/>
                <w:szCs w:val="20"/>
                <w:color w:val="auto"/>
              </w:rPr>
            </w:pPr>
            <w:r>
              <w:rPr>
                <w:rFonts w:ascii="Arial" w:cs="Arial" w:eastAsia="Arial" w:hAnsi="Arial"/>
                <w:sz w:val="18"/>
                <w:szCs w:val="18"/>
                <w:color w:val="auto"/>
              </w:rPr>
              <w:t>4,694,809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7"/>
              <w:spacing w:after="0"/>
              <w:rPr>
                <w:sz w:val="20"/>
                <w:szCs w:val="20"/>
                <w:color w:val="auto"/>
              </w:rPr>
            </w:pPr>
            <w:r>
              <w:rPr>
                <w:rFonts w:ascii="Arial" w:cs="Arial" w:eastAsia="Arial" w:hAnsi="Arial"/>
                <w:sz w:val="18"/>
                <w:szCs w:val="18"/>
                <w:color w:val="auto"/>
              </w:rPr>
              <w:t>9.88</w:t>
            </w: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6.83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30,976</w:t>
            </w:r>
          </w:p>
        </w:tc>
      </w:tr>
      <w:tr>
        <w:trPr>
          <w:trHeight w:val="270"/>
        </w:trPr>
        <w:tc>
          <w:tcPr>
            <w:tcW w:w="5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Options expected to vest as of December 31, 2023</w:t>
            </w:r>
          </w:p>
        </w:tc>
        <w:tc>
          <w:tcPr>
            <w:tcW w:w="152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3,975,933</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157"/>
              <w:spacing w:after="0"/>
              <w:rPr>
                <w:sz w:val="20"/>
                <w:szCs w:val="20"/>
                <w:color w:val="auto"/>
              </w:rPr>
            </w:pPr>
            <w:r>
              <w:rPr>
                <w:rFonts w:ascii="Arial" w:cs="Arial" w:eastAsia="Arial" w:hAnsi="Arial"/>
                <w:sz w:val="18"/>
                <w:szCs w:val="18"/>
                <w:color w:val="auto"/>
              </w:rPr>
              <w:t>6.92</w:t>
            </w:r>
          </w:p>
        </w:tc>
        <w:tc>
          <w:tcPr>
            <w:tcW w:w="14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8.51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30,773</w:t>
            </w:r>
          </w:p>
        </w:tc>
      </w:tr>
    </w:tbl>
    <w:p>
      <w:pPr>
        <w:spacing w:after="0" w:line="234"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4"/>
          <w:szCs w:val="14"/>
          <w:color w:val="231F20"/>
        </w:rPr>
      </w:pPr>
      <w:r>
        <w:rPr>
          <w:rFonts w:ascii="Arial" w:cs="Arial" w:eastAsia="Arial" w:hAnsi="Arial"/>
          <w:sz w:val="14"/>
          <w:szCs w:val="14"/>
          <w:color w:val="231F20"/>
        </w:rPr>
        <w:t>Exercised amount includes vesting of early-exercised options and shares returned for taxes withheld for exercise and net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14" w:right="2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weighted-average grant-date fair value per share of options granted during the years ended December 31, 2023 and 2022 was $4.37 and $3.83, respectively. For the years ended December 31, 2023 and 2022, there were 2,329,483 and 1,670,701 shares vested, respectively. The weighted-average grant date fair value per share of options vested during the years ended December 31, 2023 and 2022 was $6.97 and $6.76, respectively. The total fair value of options vested during the years ended December 31, 2023 and 2022 was $16.2 million and $11.3 million, respectively. The aggregate intrinsic value of options exercised during the years ended December 31, 2023 and 2022 was $3.5 million and $0.3 million, respectively.</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2023, the total unrecognized compensation expense related to unvested options was $20.8 million, which the Company expects to recognize over an estimated weighted average period of 2.42 years.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Stock Options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terms of the 2014 Plan permit certain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 are not deemed to be outstanding for accounting purposes until they vest and are therefore excluded from shares outstanding and from basic and diluted net loss per share until the repurchase right lapses and the shares are no longer subject to the repurchase feature. A liability is recognized related to the cash proceeds of the unvested options and is reclassified into common stock and additional paid-in capital as the shares vest and the repurchase right lapses. All early exercised options are vested as of December 31, 2023.</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activity under the 2014 Plan during the year ended December 31,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Number of Shares</w:t>
            </w:r>
          </w:p>
        </w:tc>
        <w:tc>
          <w:tcPr>
            <w:tcW w:w="18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Grant Date Fair Value</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as of December 31, 2022</w:t>
            </w:r>
          </w:p>
        </w:tc>
        <w:tc>
          <w:tcPr>
            <w:tcW w:w="16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295,911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(191,296 )</w:t>
            </w: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231F20"/>
            </w:tcBorders>
          </w:tcPr>
          <w:p>
            <w:pPr>
              <w:jc w:val="right"/>
              <w:ind w:right="33"/>
              <w:spacing w:after="0"/>
              <w:rPr>
                <w:sz w:val="20"/>
                <w:szCs w:val="20"/>
                <w:color w:val="auto"/>
              </w:rPr>
            </w:pPr>
            <w:r>
              <w:rPr>
                <w:rFonts w:ascii="Arial" w:cs="Arial" w:eastAsia="Arial" w:hAnsi="Arial"/>
                <w:sz w:val="18"/>
                <w:szCs w:val="18"/>
                <w:color w:val="auto"/>
              </w:rPr>
              <w:t>(23,912 )</w:t>
            </w:r>
          </w:p>
        </w:tc>
        <w:tc>
          <w:tcPr>
            <w:tcW w:w="220" w:type="dxa"/>
            <w:vAlign w:val="bottom"/>
            <w:tcBorders>
              <w:bottom w:val="single" w:sz="8" w:color="231F20"/>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w:t>
            </w:r>
          </w:p>
        </w:tc>
      </w:tr>
      <w:tr>
        <w:trPr>
          <w:trHeight w:val="263"/>
        </w:trPr>
        <w:tc>
          <w:tcPr>
            <w:tcW w:w="77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stock as of December 31, 2023</w:t>
            </w:r>
          </w:p>
        </w:tc>
        <w:tc>
          <w:tcPr>
            <w:tcW w:w="168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18"/>
                <w:szCs w:val="18"/>
                <w:color w:val="auto"/>
              </w:rPr>
              <w:t>80,703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r>
    </w:tbl>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total grant date fair value of the RSAs vested during the year ended December 31, 2023, was $0.5 million. As of December 31, 2023, the total unrecognized compensation expense related to unvested RSAs was $0.2 million, which the Company expects to recognize over an estimated weighted average period of 0.5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 Awards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November 2022, the Company granted to certain employees 710,000 shares of performance-based restricted stock unit awards (the “PSUs”) under the 2020 Plan as consideration for services subject to performance conditions with a fair value based on the closing price of the underlying common stock on the date of grant. Pursuant to the terms of the PSUs, 65% of each PSU vests upon certification by the Compensation Committee of the Company of achieving a pre-determined performance goal by June 30, 2024, and 35% of each PSU vests upon certification by the Compensation Committee of the Company of achieving a pre-determined performance goal by June 30, 2024.</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Expense recognition for PSUs commences when it is determined that attainment of the performance goal is met. As of December 31, 2023, one of the performance goals was met related to the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8"/>
        <w:spacing w:after="0" w:line="271" w:lineRule="auto"/>
        <w:tabs>
          <w:tab w:leader="none" w:pos="221"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 each PSU vesting, and therefore, the Company recorded $0.7 million stock-based compensation expense related to the PSUs for the year ended December 31, 2023.</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the performance-based restricted stock activity under the 2020 plan during the year ended December 31,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Number of Shares</w:t>
            </w:r>
          </w:p>
        </w:tc>
        <w:tc>
          <w:tcPr>
            <w:tcW w:w="18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Grant Date Fair Value</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performance-based restricted stock as of December 31, 2022</w:t>
            </w:r>
          </w:p>
        </w:tc>
        <w:tc>
          <w:tcPr>
            <w:tcW w:w="16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710,000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3.38</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(217,000 )</w:t>
            </w: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3.38</w:t>
            </w: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231F20"/>
            </w:tcBorders>
          </w:tcPr>
          <w:p>
            <w:pPr>
              <w:jc w:val="right"/>
              <w:ind w:right="33"/>
              <w:spacing w:after="0"/>
              <w:rPr>
                <w:sz w:val="20"/>
                <w:szCs w:val="20"/>
                <w:color w:val="auto"/>
              </w:rPr>
            </w:pPr>
            <w:r>
              <w:rPr>
                <w:rFonts w:ascii="Arial" w:cs="Arial" w:eastAsia="Arial" w:hAnsi="Arial"/>
                <w:sz w:val="18"/>
                <w:szCs w:val="18"/>
                <w:color w:val="auto"/>
              </w:rPr>
              <w:t>(90,000 )</w:t>
            </w:r>
          </w:p>
        </w:tc>
        <w:tc>
          <w:tcPr>
            <w:tcW w:w="220" w:type="dxa"/>
            <w:vAlign w:val="bottom"/>
            <w:tcBorders>
              <w:bottom w:val="single" w:sz="8" w:color="231F20"/>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w:t>
            </w:r>
          </w:p>
        </w:tc>
      </w:tr>
      <w:tr>
        <w:trPr>
          <w:trHeight w:val="263"/>
        </w:trPr>
        <w:tc>
          <w:tcPr>
            <w:tcW w:w="77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Unvested performance-based restricted stock as of December 31, 2023</w:t>
            </w:r>
          </w:p>
        </w:tc>
        <w:tc>
          <w:tcPr>
            <w:tcW w:w="168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18"/>
                <w:szCs w:val="18"/>
                <w:color w:val="auto"/>
              </w:rPr>
              <w:t>403,000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3.38</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Employee Stock Purchase Plan (“2020 ESPP”)</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the Board and the Company’s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Board in the offering. A total of 430,416 shares of common stock were initially reserved for issuance pursuant to the ESPP. Subsequently, the number of shares of the Company’s common stock reserved for issuance under the ESPP automatically increases on January 1 of each year for a period of up to ten years, commencing on January 1, 2021 and continuing through January 1, 2030, in amount equal to the lesser of (i) 1% of the total number of shares of the Company’s common stock outstanding on December 31 of the preceding calendar year, (ii) 860,832 shares of common stock, or (iii) a lesser number of shares determined by the Board no later than December 31 of the preceding calendar year.</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ESPP is a compensatory plan as defined by the authoritative guidance for stock-based compensation. The Company uses the Black-Scholes option-pricing model to estimate the fair value of stock offered under the ESPP. Stock-based compensation expense related to the ESPP was $0.5 million and $0.4 million for the years ended December 31, 2023 and 2022,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1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Stock-based compensation expense related to awards granted under the 2014 Plan, the 2020 Plan, the ESPP and the 2022 Inducement Plan was classified in the consolidated statements of operations and comprehensive loss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Borders>
              <w:top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300" w:type="dxa"/>
            <w:vAlign w:val="bottom"/>
            <w:tcBorders>
              <w:top w:val="single" w:sz="8" w:color="auto"/>
              <w:bottom w:val="single" w:sz="8" w:color="auto"/>
            </w:tcBorders>
          </w:tcPr>
          <w:p>
            <w:pPr>
              <w:spacing w:after="0"/>
              <w:rPr>
                <w:sz w:val="17"/>
                <w:szCs w:val="17"/>
                <w:color w:val="auto"/>
              </w:rPr>
            </w:pPr>
          </w:p>
        </w:tc>
      </w:tr>
      <w:tr>
        <w:trPr>
          <w:trHeight w:val="183"/>
        </w:trPr>
        <w:tc>
          <w:tcPr>
            <w:tcW w:w="684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2022</w:t>
            </w:r>
          </w:p>
        </w:tc>
      </w:tr>
      <w:tr>
        <w:trPr>
          <w:trHeight w:val="223"/>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FF0FC"/>
          </w:tcPr>
          <w:p>
            <w:pPr>
              <w:jc w:val="right"/>
              <w:ind w:right="956"/>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11,769</w:t>
            </w:r>
          </w:p>
        </w:tc>
        <w:tc>
          <w:tcPr>
            <w:tcW w:w="9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12,462</w:t>
            </w: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115"/>
              <w:spacing w:after="0"/>
              <w:rPr>
                <w:sz w:val="20"/>
                <w:szCs w:val="20"/>
                <w:color w:val="auto"/>
              </w:rPr>
            </w:pPr>
            <w:r>
              <w:rPr>
                <w:rFonts w:ascii="Arial" w:cs="Arial" w:eastAsia="Arial" w:hAnsi="Arial"/>
                <w:sz w:val="18"/>
                <w:szCs w:val="18"/>
                <w:color w:val="auto"/>
              </w:rPr>
              <w:t>5,487</w:t>
            </w:r>
          </w:p>
        </w:tc>
        <w:tc>
          <w:tcPr>
            <w:tcW w:w="920" w:type="dxa"/>
            <w:vAlign w:val="bottom"/>
            <w:tcBorders>
              <w:bottom w:val="single" w:sz="8" w:color="231F20"/>
            </w:tcBorders>
          </w:tcPr>
          <w:p>
            <w:pPr>
              <w:spacing w:after="0"/>
              <w:rPr>
                <w:sz w:val="19"/>
                <w:szCs w:val="19"/>
                <w:color w:val="auto"/>
              </w:rPr>
            </w:pPr>
          </w:p>
        </w:tc>
        <w:tc>
          <w:tcPr>
            <w:tcW w:w="1300" w:type="dxa"/>
            <w:vAlign w:val="bottom"/>
            <w:tcBorders>
              <w:bottom w:val="single" w:sz="8" w:color="231F20"/>
            </w:tcBorders>
          </w:tcPr>
          <w:p>
            <w:pPr>
              <w:jc w:val="right"/>
              <w:ind w:right="35"/>
              <w:spacing w:after="0"/>
              <w:rPr>
                <w:sz w:val="20"/>
                <w:szCs w:val="20"/>
                <w:color w:val="auto"/>
              </w:rPr>
            </w:pPr>
            <w:r>
              <w:rPr>
                <w:rFonts w:ascii="Arial" w:cs="Arial" w:eastAsia="Arial" w:hAnsi="Arial"/>
                <w:sz w:val="18"/>
                <w:szCs w:val="18"/>
                <w:color w:val="auto"/>
              </w:rPr>
              <w:t>6,367</w:t>
            </w:r>
          </w:p>
        </w:tc>
      </w:tr>
      <w:tr>
        <w:trPr>
          <w:trHeight w:val="263"/>
        </w:trPr>
        <w:tc>
          <w:tcPr>
            <w:tcW w:w="68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8"/>
                <w:szCs w:val="18"/>
                <w:color w:val="auto"/>
              </w:rPr>
              <w:t>17,256</w:t>
            </w:r>
          </w:p>
        </w:tc>
        <w:tc>
          <w:tcPr>
            <w:tcW w:w="9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18,829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reconciliation of the Federal statutory income tax (provision) benefit to the Company’s effective income tax provision is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2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7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2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statutory income tax</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20,060</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21,927</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State income taxes, net of federal tax benefit</w:t>
            </w:r>
          </w:p>
        </w:tc>
        <w:tc>
          <w:tcPr>
            <w:tcW w:w="36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6,133</w:t>
            </w:r>
          </w:p>
        </w:tc>
        <w:tc>
          <w:tcPr>
            <w:tcW w:w="4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6,684</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research and development tax credit</w:t>
            </w: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1,411</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624</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Permanent differences in non-tax-deductible executive compensation</w:t>
            </w:r>
          </w:p>
        </w:tc>
        <w:tc>
          <w:tcPr>
            <w:tcW w:w="3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(2,842 )</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(1,952 )</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Permanent differences in foreign jurisdiction</w:t>
            </w: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(1,013 )</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(450 )</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Permanent differences others</w:t>
            </w:r>
          </w:p>
        </w:tc>
        <w:tc>
          <w:tcPr>
            <w:tcW w:w="36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323</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(608 )</w:t>
            </w:r>
          </w:p>
        </w:tc>
      </w:tr>
      <w:tr>
        <w:trPr>
          <w:trHeight w:val="23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deferred items</w:t>
            </w: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750</w:t>
            </w:r>
          </w:p>
        </w:tc>
        <w:tc>
          <w:tcPr>
            <w:tcW w:w="4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(308 )</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Rate changes</w:t>
            </w:r>
          </w:p>
        </w:tc>
        <w:tc>
          <w:tcPr>
            <w:tcW w:w="3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(63 )</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(24,761 )</w:t>
            </w:r>
          </w:p>
        </w:tc>
        <w:tc>
          <w:tcPr>
            <w:tcW w:w="4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(25,890 )</w:t>
            </w: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expense for income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(2 )</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The Company’s deferred income tax assets and liabilities at December 31, 2023 and 2022 comprised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Borders>
              <w:top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top w:val="single" w:sz="8" w:color="auto"/>
              <w:bottom w:val="single" w:sz="8" w:color="auto"/>
            </w:tcBorders>
          </w:tcPr>
          <w:p>
            <w:pPr>
              <w:spacing w:after="0"/>
              <w:rPr>
                <w:sz w:val="17"/>
                <w:szCs w:val="17"/>
                <w:color w:val="auto"/>
              </w:rPr>
            </w:pPr>
          </w:p>
        </w:tc>
      </w:tr>
      <w:tr>
        <w:trPr>
          <w:trHeight w:val="183"/>
        </w:trPr>
        <w:tc>
          <w:tcPr>
            <w:tcW w:w="76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r>
      <w:tr>
        <w:trPr>
          <w:trHeight w:val="22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762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44,705</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27,449</w:t>
            </w:r>
          </w:p>
        </w:tc>
      </w:tr>
      <w:tr>
        <w:trPr>
          <w:trHeight w:val="230"/>
        </w:trPr>
        <w:tc>
          <w:tcPr>
            <w:tcW w:w="7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Capitalized research and development</w:t>
            </w:r>
          </w:p>
        </w:tc>
        <w:tc>
          <w:tcPr>
            <w:tcW w:w="10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20,562</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14,992</w:t>
            </w:r>
          </w:p>
        </w:tc>
      </w:tr>
      <w:tr>
        <w:trPr>
          <w:trHeight w:val="230"/>
        </w:trPr>
        <w:tc>
          <w:tcPr>
            <w:tcW w:w="762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10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5,105</w:t>
            </w:r>
          </w:p>
        </w:tc>
        <w:tc>
          <w:tcPr>
            <w:tcW w:w="6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4,786</w:t>
            </w:r>
          </w:p>
        </w:tc>
      </w:tr>
      <w:tr>
        <w:trPr>
          <w:trHeight w:val="230"/>
        </w:trPr>
        <w:tc>
          <w:tcPr>
            <w:tcW w:w="7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rPr>
              <w:t>1,488</w:t>
            </w:r>
          </w:p>
        </w:tc>
        <w:tc>
          <w:tcPr>
            <w:tcW w:w="6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541</w:t>
            </w:r>
          </w:p>
        </w:tc>
      </w:tr>
      <w:tr>
        <w:trPr>
          <w:trHeight w:val="223"/>
        </w:trPr>
        <w:tc>
          <w:tcPr>
            <w:tcW w:w="7620" w:type="dxa"/>
            <w:vAlign w:val="bottom"/>
          </w:tcPr>
          <w:p>
            <w:pPr>
              <w:ind w:left="520"/>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71,860</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47,768</w:t>
            </w:r>
          </w:p>
        </w:tc>
      </w:tr>
      <w:tr>
        <w:trPr>
          <w:trHeight w:val="20"/>
        </w:trPr>
        <w:tc>
          <w:tcPr>
            <w:tcW w:w="7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29"/>
        </w:trPr>
        <w:tc>
          <w:tcPr>
            <w:tcW w:w="7620" w:type="dxa"/>
            <w:vAlign w:val="bottom"/>
          </w:tcPr>
          <w:p>
            <w:pPr>
              <w:ind w:left="280"/>
              <w:spacing w:after="0"/>
              <w:rPr>
                <w:sz w:val="20"/>
                <w:szCs w:val="20"/>
                <w:color w:val="auto"/>
              </w:rPr>
            </w:pPr>
            <w:r>
              <w:rPr>
                <w:rFonts w:ascii="Arial" w:cs="Arial" w:eastAsia="Arial" w:hAnsi="Arial"/>
                <w:sz w:val="18"/>
                <w:szCs w:val="18"/>
                <w:color w:val="auto"/>
              </w:rPr>
              <w:t>Fixed assets</w:t>
            </w:r>
          </w:p>
        </w:tc>
        <w:tc>
          <w:tcPr>
            <w:tcW w:w="100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(281 )</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(341 )</w:t>
            </w:r>
          </w:p>
        </w:tc>
      </w:tr>
      <w:tr>
        <w:trPr>
          <w:trHeight w:val="223"/>
        </w:trPr>
        <w:tc>
          <w:tcPr>
            <w:tcW w:w="76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deferred tax liabilities</w:t>
            </w:r>
          </w:p>
        </w:tc>
        <w:tc>
          <w:tcPr>
            <w:tcW w:w="10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(281 )</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(341 )</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0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(71,579 )</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(47,427 )</w:t>
            </w:r>
          </w:p>
        </w:tc>
      </w:tr>
      <w:tr>
        <w:trPr>
          <w:trHeight w:val="263"/>
        </w:trPr>
        <w:tc>
          <w:tcPr>
            <w:tcW w:w="76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rPr>
              <w:t>Net deferred tax assets</w:t>
            </w:r>
          </w:p>
        </w:tc>
        <w:tc>
          <w:tcPr>
            <w:tcW w:w="100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bl>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on the level of historical operating results and the uncertainty of the economic conditions, the Company has recorded a valuation allowance of $71.6 million and $47.4 million at December 31, 2023 and 2022, respectively. The change in the valuation allowance for the year end December 31, 2023 was an increase of $24.2 million.</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At December 31, 2023 and 2022, the Company had Federal net operating losses (NOLs) of approximately $150.8 million and $115.0 million, and state NOLs of $187.0 million and $47.5 million, respectively. As a result of the Tax Act, as modified by the CARES Act, for U.S. income tax purposes, NOLs generated in tax years beginning before January 1, 2018 can still be carried forward for up to 20 years, but net operating losses generated for tax years beginning after December 31, 2017 carryforward indefinitely and can be used to offset taxable income, but the deductibility of such Federal NOLs may be limited to 80% of current year taxable income for tax years beginning on or after December 31, 2023. Of the total Federal net operating loss of $150.8 million,</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$3.3 million will begin to expire in 2032 and $147.5 million will not expire. The state NOL carryover of $187.0 million will begin to expire in 2032.</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restricted or eliminated. Further, the Company’s deferred tax assets associated with such tax attributes could be significantly reduced upon realization of an ownership change within the meaning of IRC Section 382 that has occurred or may occur in the future. Any adjustment to the Company’s tax attributes as a result of an ownership change will result in a corresponding decrease to the valuation allowance recorded against the Company’s deferred tax assets.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valuation allowance increased during the years ended December 31, 2023 and 2022 due primarily to the generation of net operating losses,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780" w:type="dxa"/>
            <w:vAlign w:val="bottom"/>
            <w:tcBorders>
              <w:top w:val="single" w:sz="8" w:color="auto"/>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top w:val="single" w:sz="8" w:color="auto"/>
              <w:bottom w:val="single" w:sz="8" w:color="auto"/>
            </w:tcBorders>
          </w:tcPr>
          <w:p>
            <w:pPr>
              <w:spacing w:after="0"/>
              <w:rPr>
                <w:sz w:val="17"/>
                <w:szCs w:val="17"/>
                <w:color w:val="auto"/>
              </w:rPr>
            </w:pPr>
          </w:p>
        </w:tc>
      </w:tr>
      <w:tr>
        <w:trPr>
          <w:trHeight w:val="183"/>
        </w:trPr>
        <w:tc>
          <w:tcPr>
            <w:tcW w:w="7620" w:type="dxa"/>
            <w:vAlign w:val="bottom"/>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r>
      <w:tr>
        <w:trPr>
          <w:trHeight w:val="22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 at beginning of year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47,427</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21,068</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Increase recorded to provision for income taxes</w:t>
            </w:r>
          </w:p>
        </w:tc>
        <w:tc>
          <w:tcPr>
            <w:tcW w:w="1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24,152</w:t>
            </w:r>
          </w:p>
        </w:tc>
        <w:tc>
          <w:tcPr>
            <w:tcW w:w="3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26,359</w:t>
            </w:r>
          </w:p>
        </w:tc>
      </w:tr>
      <w:tr>
        <w:trPr>
          <w:trHeight w:val="263"/>
        </w:trPr>
        <w:tc>
          <w:tcPr>
            <w:tcW w:w="76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Valuation allowance at end of year</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71,579</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47,427</w:t>
            </w:r>
          </w:p>
        </w:tc>
      </w:tr>
    </w:tbl>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not incurred any material interest or penalties as of the current reporting date with respect to income tax matters. The Company is subject to U.S. Federal and state income taxes. The Federal and state income tax returns for tax years prior to 2023 may remain open to examination as carry-forward attributes generated prior may be adjusted upon examination.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10.  Net Loss Per Common Share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common share was calculated as follows (in thousands, except share and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3220" w:type="dxa"/>
            <w:vAlign w:val="bottom"/>
            <w:tcBorders>
              <w:top w:val="single" w:sz="8" w:color="auto"/>
              <w:bottom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76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r>
      <w:tr>
        <w:trPr>
          <w:trHeight w:val="22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6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(96,655 )</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(104,787 )</w:t>
            </w:r>
          </w:p>
        </w:tc>
      </w:tr>
      <w:tr>
        <w:trPr>
          <w:trHeight w:val="24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43"/>
        </w:trPr>
        <w:tc>
          <w:tcPr>
            <w:tcW w:w="7620" w:type="dxa"/>
            <w:vAlign w:val="bottom"/>
          </w:tcPr>
          <w:p>
            <w:pPr>
              <w:ind w:left="280"/>
              <w:spacing w:after="0"/>
              <w:rPr>
                <w:sz w:val="20"/>
                <w:szCs w:val="20"/>
                <w:color w:val="auto"/>
              </w:rPr>
            </w:pPr>
            <w:r>
              <w:rPr>
                <w:rFonts w:ascii="Arial" w:cs="Arial" w:eastAsia="Arial" w:hAnsi="Arial"/>
                <w:sz w:val="18"/>
                <w:szCs w:val="18"/>
                <w:color w:val="auto"/>
              </w:rPr>
              <w:t>Weighted average shares used to compute net loss per share, basic and diluted</w:t>
            </w: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45,247,098</w:t>
            </w:r>
          </w:p>
        </w:tc>
        <w:tc>
          <w:tcPr>
            <w:tcW w:w="4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39,995,460</w:t>
            </w:r>
          </w:p>
        </w:tc>
      </w:tr>
      <w:tr>
        <w:trPr>
          <w:trHeight w:val="263"/>
        </w:trPr>
        <w:tc>
          <w:tcPr>
            <w:tcW w:w="76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(2.14 )</w:t>
            </w:r>
          </w:p>
        </w:tc>
        <w:tc>
          <w:tcPr>
            <w:tcW w:w="4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(2.62 )</w:t>
            </w:r>
          </w:p>
        </w:tc>
      </w:tr>
    </w:tbl>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potentially dilutive shares that were excluded from the calculation of diluted net loss per share because their effect would have been anti-dilutive for the periods presented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40" w:type="dxa"/>
            <w:vAlign w:val="bottom"/>
            <w:tcBorders>
              <w:top w:val="single" w:sz="8" w:color="auto"/>
            </w:tcBorders>
          </w:tcPr>
          <w:p>
            <w:pPr>
              <w:spacing w:after="0"/>
              <w:rPr>
                <w:sz w:val="17"/>
                <w:szCs w:val="17"/>
                <w:color w:val="auto"/>
              </w:rPr>
            </w:pPr>
          </w:p>
        </w:tc>
        <w:tc>
          <w:tcPr>
            <w:tcW w:w="3400" w:type="dxa"/>
            <w:vAlign w:val="bottom"/>
            <w:tcBorders>
              <w:top w:val="single" w:sz="8" w:color="auto"/>
              <w:bottom w:val="single" w:sz="8" w:color="auto"/>
            </w:tcBorders>
            <w:gridSpan w:val="2"/>
          </w:tcPr>
          <w:p>
            <w:pPr>
              <w:jc w:val="right"/>
              <w:ind w:right="753"/>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7840" w:type="dxa"/>
            <w:vAlign w:val="bottom"/>
          </w:tcPr>
          <w:p>
            <w:pPr>
              <w:spacing w:after="0"/>
              <w:rPr>
                <w:sz w:val="15"/>
                <w:szCs w:val="15"/>
                <w:color w:val="auto"/>
              </w:rPr>
            </w:pPr>
          </w:p>
        </w:tc>
        <w:tc>
          <w:tcPr>
            <w:tcW w:w="1940" w:type="dxa"/>
            <w:vAlign w:val="bottom"/>
            <w:tcBorders>
              <w:bottom w:val="single" w:sz="8" w:color="auto"/>
            </w:tcBorders>
          </w:tcPr>
          <w:p>
            <w:pPr>
              <w:jc w:val="right"/>
              <w:ind w:right="935"/>
              <w:spacing w:after="0"/>
              <w:rPr>
                <w:sz w:val="20"/>
                <w:szCs w:val="20"/>
                <w:color w:val="auto"/>
              </w:rPr>
            </w:pPr>
            <w:r>
              <w:rPr>
                <w:rFonts w:ascii="Arial" w:cs="Arial" w:eastAsia="Arial" w:hAnsi="Arial"/>
                <w:sz w:val="14"/>
                <w:szCs w:val="14"/>
                <w:b w:val="1"/>
                <w:bCs w:val="1"/>
                <w:color w:val="auto"/>
              </w:rPr>
              <w:t>2023</w:t>
            </w:r>
          </w:p>
        </w:tc>
        <w:tc>
          <w:tcPr>
            <w:tcW w:w="14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r>
      <w:tr>
        <w:trPr>
          <w:trHeight w:val="223"/>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common stock</w:t>
            </w:r>
          </w:p>
        </w:tc>
        <w:tc>
          <w:tcPr>
            <w:tcW w:w="194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80,703</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295,911</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940" w:type="dxa"/>
            <w:vAlign w:val="bottom"/>
          </w:tcPr>
          <w:p>
            <w:pPr>
              <w:jc w:val="right"/>
              <w:ind w:right="335"/>
              <w:spacing w:after="0"/>
              <w:rPr>
                <w:sz w:val="20"/>
                <w:szCs w:val="20"/>
                <w:color w:val="auto"/>
              </w:rPr>
            </w:pPr>
            <w:r>
              <w:rPr>
                <w:rFonts w:ascii="Arial" w:cs="Arial" w:eastAsia="Arial" w:hAnsi="Arial"/>
                <w:sz w:val="18"/>
                <w:szCs w:val="18"/>
                <w:color w:val="auto"/>
              </w:rPr>
              <w:t>403,000</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710,000</w:t>
            </w:r>
          </w:p>
        </w:tc>
      </w:tr>
      <w:tr>
        <w:trPr>
          <w:trHeight w:val="230"/>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94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8,670,742</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8,384,858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Employee stock purchase plan contingently issuable</w:t>
            </w:r>
          </w:p>
        </w:tc>
        <w:tc>
          <w:tcPr>
            <w:tcW w:w="19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13,988</w:t>
            </w: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79,153</w:t>
            </w:r>
          </w:p>
        </w:tc>
      </w:tr>
      <w:tr>
        <w:trPr>
          <w:trHeight w:val="263"/>
        </w:trPr>
        <w:tc>
          <w:tcPr>
            <w:tcW w:w="7840" w:type="dxa"/>
            <w:vAlign w:val="bottom"/>
            <w:tcBorders>
              <w:bottom w:val="single" w:sz="8" w:color="auto"/>
            </w:tcBorders>
            <w:shd w:val="clear" w:color="auto" w:fill="CFF0FC"/>
          </w:tcPr>
          <w:p>
            <w:pPr>
              <w:spacing w:after="0"/>
              <w:rPr>
                <w:sz w:val="22"/>
                <w:szCs w:val="22"/>
                <w:color w:val="auto"/>
              </w:rPr>
            </w:pPr>
          </w:p>
        </w:tc>
        <w:tc>
          <w:tcPr>
            <w:tcW w:w="1940" w:type="dxa"/>
            <w:vAlign w:val="bottom"/>
            <w:tcBorders>
              <w:bottom w:val="single" w:sz="8" w:color="auto"/>
            </w:tcBorders>
            <w:shd w:val="clear" w:color="auto" w:fill="CFF0FC"/>
          </w:tcPr>
          <w:p>
            <w:pPr>
              <w:jc w:val="right"/>
              <w:ind w:right="335"/>
              <w:spacing w:after="0"/>
              <w:rPr>
                <w:sz w:val="20"/>
                <w:szCs w:val="20"/>
                <w:color w:val="auto"/>
              </w:rPr>
            </w:pPr>
            <w:r>
              <w:rPr>
                <w:rFonts w:ascii="Arial" w:cs="Arial" w:eastAsia="Arial" w:hAnsi="Arial"/>
                <w:sz w:val="18"/>
                <w:szCs w:val="18"/>
                <w:color w:val="auto"/>
              </w:rPr>
              <w:t>9,168,433</w:t>
            </w: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9,469,922</w:t>
            </w:r>
          </w:p>
        </w:tc>
      </w:tr>
    </w:tbl>
    <w:p>
      <w:pPr>
        <w:spacing w:after="0" w:line="200" w:lineRule="exact"/>
        <w:rPr>
          <w:sz w:val="20"/>
          <w:szCs w:val="20"/>
          <w:color w:val="auto"/>
        </w:rPr>
      </w:pP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11.  Lease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certain of its facilities under non-cancellable operating leases expiring at various dates through 2026.</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June 1, 2013, the Company entered into a management services agreement with MandalMed, Inc. (the “MandalMed Services Agreement”) to have access to and use a portion of approximately 5,762 square feet of space for the use of laboratory benches, lab equipment, office space, and administrative and facilities services. The Company subsequently entered into six amendments to extend the agreement term to November 2023. As part of the sixth amendment, the Company gained access to use additional space of approximately 2,130 square feet for a three year period commencing on December 1, 2020 and ending on November 30, 2023. This lease was terminated during the fourth quarter of 2023. According to the terms of the MandalMed Services Agreement, the Company had previously paid a security deposit of less than $0.1 million and was required to pay monthly rent and common area charges. As of December 31, 2023, this security deposit had been returned to the Company.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August 27, 2020, the Company entered into a lease agreement with 512 2nd Street LLC to lease approximately 3,500 square feet of office space in San Francisco, California (the “Office Space Lease Agreement”). The Office Space Lease Agreement was for a period of two years commencing on September 1, 2020 and ending August 31, 2022. In April 2022, the Company extended the Office Space Lease Agreement up to August 31, 2023 and had one year renewal option to extend the term up to August 31, 2024. The Company decided not to exercise the one-year renewal option at the end of the lease term (i.e., August 31, 2023). According to the terms of the Office Space Lease Agreement, the Company had previously paid a $0.1 million security deposit and was required to pay monthly rent and common area charges. As of December 31, 2023, this security deposit had been returned to the Company.</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December 15, 2020, the Company entered into a lease agreement with Tennieh LLC to lease approximately 9,800 square feet of office and lab space in San Francisco, California (the “Laboratory Lease Agreement”). The Laboratory Lease Agreement is for a period of five years commencing approximately February 1, 2021 and ending January 31, 2026. According to the terms of the Laboratory Lease Agreement, the Company paid a $0.4 million security deposit and is required to pay monthly rent and common area charges.</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August 17, 2023, the Company entered into a sublease agreement with Dropbox, Inc. to sublease approximately 6,713 square feet of office space in San Francisco, California (the “Dropbox Sublease Agreement”). The Dropbox Sublease Agreement is for a period of two years commencing on September 5, 2023 and ending December 31, 2025. According to the terms of the Dropbox Sublease Agreement, the Company paid a $0.1 million security deposit and is required to pay monthly rent and common area charges. The sublease was accounted for under Topic 842 and the Company recorded ROU asset and lease liability of $0.2 million and $0.2 million, respectively, in the accompanying consolidated financial statements.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August 23, 2023, the Company entered into a lease agreement with The Cambridge Redevelopment Authority to lease approximately 4,020 square feet of office space in Cambridge, Massachusetts (the “Cambridge Lease Agreement”). The Cambridge Lease Agreement is for a period of three years commencing on September 15, 2023 and ending September 14, 2026. According to the terms of the Cambridge Lease Agreement, the Company paid a less than $0.1 million security deposit and is required to pay monthly rent and common area charges. The lease was accounted for under Topic 842 and the Company recorded ROU asset and lease liability of $0.7 million and $0.7 million, respectively,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lease expense during the years ended December 31, 2023 and 2022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Years Ended December 31,</w:t>
            </w:r>
          </w:p>
        </w:tc>
        <w:tc>
          <w:tcPr>
            <w:tcW w:w="1460" w:type="dxa"/>
            <w:vAlign w:val="bottom"/>
            <w:tcBorders>
              <w:top w:val="single" w:sz="8" w:color="auto"/>
            </w:tcBorders>
          </w:tcPr>
          <w:p>
            <w:pPr>
              <w:spacing w:after="0"/>
              <w:rPr>
                <w:sz w:val="17"/>
                <w:szCs w:val="17"/>
                <w:color w:val="auto"/>
              </w:rPr>
            </w:pPr>
          </w:p>
        </w:tc>
      </w:tr>
      <w:tr>
        <w:trPr>
          <w:trHeight w:val="183"/>
        </w:trPr>
        <w:tc>
          <w:tcPr>
            <w:tcW w:w="638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2022</w:t>
            </w:r>
          </w:p>
        </w:tc>
      </w:tr>
      <w:tr>
        <w:trPr>
          <w:trHeight w:val="223"/>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Straight-line operating lease expense</w:t>
            </w:r>
          </w:p>
        </w:tc>
        <w:tc>
          <w:tcPr>
            <w:tcW w:w="1360" w:type="dxa"/>
            <w:vAlign w:val="bottom"/>
            <w:shd w:val="clear" w:color="auto" w:fill="CFF0FC"/>
          </w:tcPr>
          <w:p>
            <w:pPr>
              <w:jc w:val="right"/>
              <w:ind w:right="115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1,297</w:t>
            </w:r>
          </w:p>
        </w:tc>
        <w:tc>
          <w:tcPr>
            <w:tcW w:w="106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1,301</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136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49</w:t>
            </w:r>
          </w:p>
        </w:tc>
      </w:tr>
      <w:tr>
        <w:trPr>
          <w:trHeight w:val="229"/>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Variable lease expense</w:t>
            </w:r>
          </w:p>
        </w:tc>
        <w:tc>
          <w:tcPr>
            <w:tcW w:w="1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248</w:t>
            </w:r>
          </w:p>
        </w:tc>
      </w:tr>
      <w:tr>
        <w:trPr>
          <w:trHeight w:val="223"/>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lease expense</w:t>
            </w:r>
          </w:p>
        </w:tc>
        <w:tc>
          <w:tcPr>
            <w:tcW w:w="1360" w:type="dxa"/>
            <w:vAlign w:val="bottom"/>
            <w:tcBorders>
              <w:bottom w:val="single" w:sz="8" w:color="auto"/>
            </w:tcBorders>
          </w:tcPr>
          <w:p>
            <w:pPr>
              <w:jc w:val="right"/>
              <w:ind w:right="115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1,601</w:t>
            </w:r>
          </w:p>
        </w:tc>
        <w:tc>
          <w:tcPr>
            <w:tcW w:w="106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1,598</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5521325</wp:posOffset>
            </wp:positionH>
            <wp:positionV relativeFrom="paragraph">
              <wp:posOffset>-766445</wp:posOffset>
            </wp:positionV>
            <wp:extent cx="170815" cy="162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0815" cy="1625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supplemental cash flow information during the year ended December 31, 2023 and 2022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180" w:type="dxa"/>
            <w:vAlign w:val="bottom"/>
            <w:tcBorders>
              <w:top w:val="single" w:sz="8" w:color="auto"/>
            </w:tcBorders>
          </w:tcPr>
          <w:p>
            <w:pPr>
              <w:spacing w:after="0"/>
              <w:rPr>
                <w:sz w:val="17"/>
                <w:szCs w:val="17"/>
                <w:color w:val="auto"/>
              </w:rPr>
            </w:pPr>
          </w:p>
        </w:tc>
      </w:tr>
      <w:tr>
        <w:trPr>
          <w:trHeight w:val="183"/>
        </w:trPr>
        <w:tc>
          <w:tcPr>
            <w:tcW w:w="716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w w:val="96"/>
              </w:rPr>
              <w:t>2022</w:t>
            </w:r>
          </w:p>
        </w:tc>
      </w:tr>
      <w:tr>
        <w:trPr>
          <w:trHeight w:val="223"/>
        </w:trPr>
        <w:tc>
          <w:tcPr>
            <w:tcW w:w="7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measurement of lease liabilities:</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29"/>
        </w:trPr>
        <w:tc>
          <w:tcPr>
            <w:tcW w:w="7160" w:type="dxa"/>
            <w:vAlign w:val="bottom"/>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9"/>
              <w:spacing w:after="0"/>
              <w:rPr>
                <w:sz w:val="20"/>
                <w:szCs w:val="20"/>
                <w:color w:val="auto"/>
              </w:rPr>
            </w:pPr>
            <w:r>
              <w:rPr>
                <w:rFonts w:ascii="Arial" w:cs="Arial" w:eastAsia="Arial" w:hAnsi="Arial"/>
                <w:sz w:val="18"/>
                <w:szCs w:val="18"/>
                <w:color w:val="auto"/>
              </w:rPr>
              <w:t>1,231</w:t>
            </w:r>
          </w:p>
        </w:tc>
        <w:tc>
          <w:tcPr>
            <w:tcW w:w="9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1,274</w:t>
            </w:r>
          </w:p>
        </w:tc>
      </w:tr>
      <w:tr>
        <w:trPr>
          <w:trHeight w:val="197"/>
        </w:trPr>
        <w:tc>
          <w:tcPr>
            <w:tcW w:w="716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Supplemental noncash information on lease liability arising from obtaining a right-use-</w:t>
            </w:r>
          </w:p>
        </w:tc>
        <w:tc>
          <w:tcPr>
            <w:tcW w:w="4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75"/>
        </w:trPr>
        <w:tc>
          <w:tcPr>
            <w:tcW w:w="7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asset</w:t>
            </w:r>
          </w:p>
        </w:tc>
        <w:tc>
          <w:tcPr>
            <w:tcW w:w="440" w:type="dxa"/>
            <w:vAlign w:val="bottom"/>
            <w:tcBorders>
              <w:bottom w:val="single" w:sz="8" w:color="auto"/>
            </w:tcBorders>
            <w:shd w:val="clear" w:color="auto" w:fill="CFF0FC"/>
          </w:tcPr>
          <w:p>
            <w:pPr>
              <w:spacing w:after="0"/>
              <w:rPr>
                <w:sz w:val="23"/>
                <w:szCs w:val="23"/>
                <w:color w:val="auto"/>
              </w:rPr>
            </w:pP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896</w:t>
            </w:r>
          </w:p>
        </w:tc>
        <w:tc>
          <w:tcPr>
            <w:tcW w:w="18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5787390</wp:posOffset>
            </wp:positionH>
            <wp:positionV relativeFrom="paragraph">
              <wp:posOffset>-741045</wp:posOffset>
            </wp:positionV>
            <wp:extent cx="145415" cy="162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5415" cy="162560"/>
                    </a:xfrm>
                    <a:prstGeom prst="rect">
                      <a:avLst/>
                    </a:prstGeom>
                    <a:noFill/>
                  </pic:spPr>
                </pic:pic>
              </a:graphicData>
            </a:graphic>
          </wp:anchor>
        </w:drawing>
      </w:r>
    </w:p>
    <w:p>
      <w:pPr>
        <w:spacing w:after="0" w:line="2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following table summarizes the Company’s future minimum lease payments and reconciliation of lease liabilities as of December 31,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1,162</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1,245</w:t>
            </w:r>
          </w:p>
        </w:tc>
      </w:tr>
      <w:tr>
        <w:trPr>
          <w:trHeight w:val="229"/>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263</w:t>
            </w:r>
          </w:p>
        </w:tc>
      </w:tr>
      <w:tr>
        <w:trPr>
          <w:trHeight w:val="223"/>
        </w:trPr>
        <w:tc>
          <w:tcPr>
            <w:tcW w:w="918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2,670</w:t>
            </w:r>
          </w:p>
        </w:tc>
      </w:tr>
      <w:tr>
        <w:trPr>
          <w:trHeight w:val="229"/>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(253 )</w:t>
            </w:r>
          </w:p>
        </w:tc>
      </w:tr>
      <w:tr>
        <w:trPr>
          <w:trHeight w:val="223"/>
        </w:trPr>
        <w:tc>
          <w:tcPr>
            <w:tcW w:w="9180" w:type="dxa"/>
            <w:vAlign w:val="bottom"/>
          </w:tcPr>
          <w:p>
            <w:pPr>
              <w:ind w:left="20"/>
              <w:spacing w:after="0"/>
              <w:rPr>
                <w:sz w:val="20"/>
                <w:szCs w:val="20"/>
                <w:color w:val="auto"/>
              </w:rPr>
            </w:pPr>
            <w:r>
              <w:rPr>
                <w:rFonts w:ascii="Arial" w:cs="Arial" w:eastAsia="Arial" w:hAnsi="Arial"/>
                <w:sz w:val="18"/>
                <w:szCs w:val="18"/>
                <w:color w:val="auto"/>
              </w:rPr>
              <w:t>Total lease liabilities at present value</w:t>
            </w:r>
          </w:p>
        </w:tc>
        <w:tc>
          <w:tcPr>
            <w:tcW w:w="16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2,417</w:t>
            </w:r>
          </w:p>
        </w:tc>
      </w:tr>
      <w:tr>
        <w:trPr>
          <w:trHeight w:val="257"/>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liabilities, current</w:t>
            </w:r>
          </w:p>
        </w:tc>
        <w:tc>
          <w:tcPr>
            <w:tcW w:w="160" w:type="dxa"/>
            <w:vAlign w:val="bottom"/>
            <w:tcBorders>
              <w:bottom w:val="single" w:sz="8" w:color="CFF0FC"/>
            </w:tcBorders>
            <w:shd w:val="clear" w:color="auto" w:fill="CFF0FC"/>
          </w:tcPr>
          <w:p>
            <w:pPr>
              <w:spacing w:after="0"/>
              <w:rPr>
                <w:sz w:val="22"/>
                <w:szCs w:val="22"/>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988</w:t>
            </w:r>
          </w:p>
        </w:tc>
      </w:tr>
      <w:tr>
        <w:trPr>
          <w:trHeight w:val="263"/>
        </w:trPr>
        <w:tc>
          <w:tcPr>
            <w:tcW w:w="9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Lease liabilities, non-current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1,429</w:t>
            </w:r>
          </w:p>
        </w:tc>
      </w:tr>
      <w:tr>
        <w:trPr>
          <w:trHeight w:val="20"/>
        </w:trPr>
        <w:tc>
          <w:tcPr>
            <w:tcW w:w="9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lease term and discount rate as of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00" w:type="dxa"/>
            <w:vAlign w:val="bottom"/>
          </w:tcPr>
          <w:p>
            <w:pPr>
              <w:spacing w:after="0"/>
              <w:rPr>
                <w:sz w:val="15"/>
                <w:szCs w:val="15"/>
                <w:color w:val="auto"/>
              </w:rPr>
            </w:pPr>
          </w:p>
        </w:tc>
        <w:tc>
          <w:tcPr>
            <w:tcW w:w="13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8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r>
      <w:tr>
        <w:trPr>
          <w:trHeight w:val="223"/>
        </w:trPr>
        <w:tc>
          <w:tcPr>
            <w:tcW w:w="8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FF0FC"/>
          </w:tcPr>
          <w:p>
            <w:pPr>
              <w:spacing w:after="0"/>
              <w:rPr>
                <w:sz w:val="19"/>
                <w:szCs w:val="19"/>
                <w:color w:val="auto"/>
              </w:rPr>
            </w:pPr>
          </w:p>
        </w:tc>
        <w:tc>
          <w:tcPr>
            <w:tcW w:w="2080" w:type="dxa"/>
            <w:vAlign w:val="bottom"/>
            <w:shd w:val="clear" w:color="auto" w:fill="CFF0FC"/>
          </w:tcPr>
          <w:p>
            <w:pPr>
              <w:ind w:left="1600"/>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r>
      <w:tr>
        <w:trPr>
          <w:trHeight w:val="229"/>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9.00 %</w:t>
            </w:r>
          </w:p>
        </w:tc>
        <w:tc>
          <w:tcPr>
            <w:tcW w:w="2140" w:type="dxa"/>
            <w:vAlign w:val="bottom"/>
            <w:gridSpan w:val="2"/>
          </w:tcPr>
          <w:p>
            <w:pPr>
              <w:ind w:left="1600"/>
              <w:spacing w:after="0"/>
              <w:rPr>
                <w:sz w:val="20"/>
                <w:szCs w:val="20"/>
                <w:color w:val="auto"/>
              </w:rPr>
            </w:pPr>
            <w:r>
              <w:rPr>
                <w:rFonts w:ascii="Arial" w:cs="Arial" w:eastAsia="Arial" w:hAnsi="Arial"/>
                <w:sz w:val="18"/>
                <w:szCs w:val="18"/>
                <w:color w:val="auto"/>
                <w:w w:val="92"/>
              </w:rPr>
              <w:t>8.70 %</w:t>
            </w:r>
          </w:p>
        </w:tc>
      </w:tr>
      <w:tr>
        <w:trPr>
          <w:trHeight w:val="20"/>
        </w:trPr>
        <w:tc>
          <w:tcPr>
            <w:tcW w:w="6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12.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10" w:lineRule="exact"/>
        <w:rPr>
          <w:sz w:val="20"/>
          <w:szCs w:val="20"/>
          <w:color w:val="auto"/>
        </w:rPr>
      </w:pPr>
    </w:p>
    <w:p>
      <w:pPr>
        <w:jc w:val="both"/>
        <w:ind w:right="60"/>
        <w:spacing w:after="0" w:line="244" w:lineRule="auto"/>
        <w:rPr>
          <w:sz w:val="20"/>
          <w:szCs w:val="20"/>
          <w:color w:val="auto"/>
        </w:rPr>
      </w:pPr>
      <w:r>
        <w:rPr>
          <w:rFonts w:ascii="Arial" w:cs="Arial" w:eastAsia="Arial" w:hAnsi="Arial"/>
          <w:sz w:val="18"/>
          <w:szCs w:val="18"/>
          <w:color w:val="auto"/>
        </w:rPr>
        <w:t>On September 5, 2023, the Company entered into the Loan Agreement by and between the Company and the Bank. The Loan Agreement provides for a four-year senior secured credit facility in an aggregate principal amount of up to $50.0 million (the “Credit Facility”), of which $25.0 million became available upon the closing of the Private Placement, and the remaining $25.0 million may be made available upon approval of the Bank in its discretion. The Credit Facility will mature on August 1, 2027 (the “Maturity Date”). As of December 31, 2023, the Company had not drawn down from the Credit Facility.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under the Loan Agreement are secured by substantially all of the assets of the Company, subject to limited exceptions.</w:t>
      </w:r>
    </w:p>
    <w:p>
      <w:pPr>
        <w:sectPr>
          <w:pgSz w:w="11900" w:h="16838" w:orient="portrait"/>
          <w:cols w:equalWidth="0" w:num="1">
            <w:col w:w="11300"/>
          </w:cols>
          <w:pgMar w:left="320" w:top="41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14" w:right="27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term of the Credit Facility, interest will accrue on any outstanding balance due under the Credit Facility at a floating rate per annum equal to the higher of (i) 8.0% and (ii) the prime rate. During an event of default, any outstanding amount under the Credit Facility will bear interest at a rate of 3.0% in excess of the otherwise applicable rate of interest. The Company will pay certain fees with respect to the Credit Facility, including a prepayment fee on any amount advanced under the Credit Facility to the extent paid prior to the Maturity Date, a final payment fee on the amount advanced under the Credit Facility, and an unused commitment fee of 1.5% on the portion of Credit Facility that remains undrawn as of June 30, 2024, as well as certain other fees and expenses of the Bank.</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Loan Agreement contains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Loan Agreement also contains a number of customary representations, warranties and covenants that, among other things, limit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its capital stock; amend certain material documents; redeem or repurchase certain debt; make payments on subordinated debt; and engage in certain transactions with affiliates.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Collaboration and Supply Agreement</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22, 2020, the Company entered into a non-exclusive clinical collaboration and supply agreement with Novartis Institutes for BioMedical Research, Inc. (“Novartis”). On January 13, 2022, the Company entered into an amended and restated clinical collaboration and supply agreement with Novartis, and on October 9, 2023, the Company and Novartis entered into the amendment no. 1 (the “Novartis Amendment”) to the amended and restated clinical collaboration and supply agreement (as amended, the “Novartis Agreement”). The collaboration is focused on the evaluation of the safety, tolerability and efficacy of palazestrant in combination with Novartis’ proprietary CDK4/6 inhibitor Kisqali® (ribociclib) and/or Novartis’ proprietary phosphatidylinositol 3-kinase (“PI3K</w:t>
      </w:r>
      <w:r>
        <w:rPr>
          <w:rFonts w:ascii="Times New Roman" w:cs="Times New Roman" w:eastAsia="Times New Roman" w:hAnsi="Times New Roman"/>
          <w:sz w:val="18"/>
          <w:szCs w:val="18"/>
          <w:color w:val="auto"/>
        </w:rPr>
        <w:t>a</w:t>
      </w:r>
      <w:r>
        <w:rPr>
          <w:rFonts w:ascii="Arial" w:cs="Arial" w:eastAsia="Arial" w:hAnsi="Arial"/>
          <w:sz w:val="18"/>
          <w:szCs w:val="18"/>
          <w:color w:val="auto"/>
        </w:rPr>
        <w:t>”) Inhibitor Piqray® (alpelisib) (collectively the “Novartis Study Drugs”) as part of the Company’s Phase 1b/2 clinical study of palazestrant in patients with metastatic estrogen receptor-positive breast cancer. The Novartis Amendment, among other things, expanded the Company's clinical collaboration with Novartis, increasing the size of the ongoing Phase 1/2 clinical study testing palazestrant in combination with ribociclib to approximately 60 patients. The Company will be responsible for the conduct of the clinical trials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is responsible for manufacturing, packaging and labeling palazestrant,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of subjects enrolled in the clinical trials for the combined therapies due to the existence of a material safety issue, or in certain circumstances for an unresolved clinical hold with respect to either the Novartis Study Drugs or palazestrant.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Costs associated with research activities performed under the agreement are included in research and development expenses in the accompanying consolidated financial statements, with any reimbursable costs from Novartis reflected as a reduction of such expenses. For the years ended December 31, 2023 and 2022, costs reimbursable from Novartis were $2.0 million and $1.4 million, respectively. As of December 31, 2023, the Company had incurred the full agreed-upon reimbursement amount. The receivable due from Novartis was $1.5 million, which is recorded under prepaid expenses and other current assets in the accompanying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Agreement</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November 2020, the Company entered into a non-exclusive clinical trial agreement with Pfizer Inc. (“Pfizer”) (the “Pfizer Agreement”), to evaluate the safety and tolerability of palazestrant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responsible for manufacturing, packaging and labeling palazestrant, and for packaging and labeling all drugs used in the clinical trials for the combined therapies (other than IBRANCE®). Pfizer is responsible for manufacturing and delivering to us IBRANCE® in such quantities as reasonably needed for the clinical trials for the combined therapies.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accompanying consolidated statements of operations and comprehensive loss for the years ended December 31, 2023, and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21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terms of the Aurigene Agreement, Aurigene will provide to the Company an exclusive license to its portfolio of novel small molecule inhibitors of the target. Financial terms of the Aurigene Agreement include a $8.0 million upfront payment for rights to a pre-existing Aurigene program and potential future milestone payments of up to $60.0 million in clinical development and regulatory milestones, and up to $370.0 million in commercial milestones. Aurigene is also eligible to receive mid-single digits to the low double digits royalties as percentages of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 The Company and Aurigene jointly own collaboration compounds and rights to any inventions made during the research term.</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$8.0 million upfront payment was incurred in June 2022 and recorded as research and development expense in the accompanying consolidated statements of operations and comprehensive loss.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As of December 31, 2023, it was determined that it is not probable to achieve any of the milestone targets, and therefore, the Company recorded zero expense related to the milestone for the year ended December 31,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Services Agreements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December 31, 2023, the Company did not have material contractual commitments with respect to these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December 31, 2023 and 2022, the Company had not incurred any material costs as a result of such 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spacing w:after="0" w:line="208" w:lineRule="exact"/>
        <w:rPr>
          <w:sz w:val="20"/>
          <w:szCs w:val="20"/>
          <w:color w:val="auto"/>
        </w:rPr>
      </w:pPr>
      <w:r>
        <w:rPr>
          <w:rFonts w:ascii="Arial" w:cs="Arial" w:eastAsia="Arial" w:hAnsi="Arial"/>
          <w:sz w:val="18"/>
          <w:szCs w:val="18"/>
          <w:color w:val="auto"/>
        </w:rPr>
        <w:t>As of December 31, 2023, management, with the participation of our Chief Executive Officer and Chief Financial Officer, performed an evaluation of the effectiveness of the design and operation of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2023, the design and operation of our disclosure controls and procedures were effective at a reasonable assurance level.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our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jc w:val="both"/>
        <w:ind w:firstLine="8"/>
        <w:spacing w:after="0"/>
        <w:tabs>
          <w:tab w:leader="none" w:pos="2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Operating and Financial Officer (principal financial officer), assessed the effectiveness of our internal control over financial reporting as of December 31, 2023. In making this assessment, our management used the criteria set forth in the Internal Control—Integrated Framework (2013) issued by the Committee of Sponsoring Organizations of the Treadway Commission. Based on its assessment, management concluded that our internal control over financial reporting was effective as of December 31, 2023 based on those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fourth quarter ended December 31, 2023 that has materially affected, or is reasonably likely to materially affect,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PART III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Information required by this item regarding directors and director nominees, executive officers, the board of directors and its committees, and certain corporate governance matters is incorporated by reference to the information set forth under the captions “Proposal No. 1—Election of Directors,” “Corporate Governance and Board of Directors Matters” and “Executive Officers” in our Proxy Statement for our 2024 Annual Meeting of Stockholders. Information required by this item regarding compliance with Section 16(a) of the Exchange Act, if applicable, is incorporated by reference to the information set forth under the caption “Delinquent Section 16(a) Reports” in our Proxy Statement.</w:t>
      </w:r>
    </w:p>
    <w:p>
      <w:pPr>
        <w:spacing w:after="0" w:line="176"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Our written code of business conduct and ethics (the “Code of Conduct”) applies to all of our employees, officers and directors, including our principal executive officer, principal financial officer and principal accounting officer or controller. The Code of Conduct is available on our corporate website at https://www.olema.com/ in the Investors &amp; Media section under “Corporate Governance.” If we make any substantive amendments to our Code of Conduct or grant any of our directors or executive officers any waiver, including any implicit waiver, from a provision of our Code of Conduct, we will disclose the nature of the amendment or waiver on our website or in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Information contained in, or that can be accessed through, our website is not incorporated by reference herein, and you should not consider information on our website to be part of this Annual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Information required by this item regarding executive compensation is incorporated by reference to the information set forth under the captions “Executive Compensation” and “Director Compensation” in our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required by this item regarding security ownership of certain beneficial owners and management is incorporated by reference to the information set forth under the caption “Security Ownership of Certain Beneficial Owners and Management” and “Equity Compensation Plan Information” in our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required by this item regarding certain relationships, related transactions and director independence is incorporated by reference to the information set forth under the caption “Transactions with Related Persons and Indemnification” and “Corporate Governance and Board Matters” in our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Information required by this item regarding principal accounting fees and services is incorporated by reference to the information set forth under the caption “Proposal No. 4—Ratification of Selection of Independent Registered Public Accounting Firm”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IV</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12" w:lineRule="exact"/>
        <w:rPr>
          <w:sz w:val="20"/>
          <w:szCs w:val="20"/>
          <w:color w:val="auto"/>
        </w:rPr>
      </w:pPr>
    </w:p>
    <w:p>
      <w:pPr>
        <w:ind w:left="380" w:hanging="372"/>
        <w:spacing w:after="0"/>
        <w:tabs>
          <w:tab w:leader="none" w:pos="380" w:val="left"/>
        </w:tabs>
        <w:numPr>
          <w:ilvl w:val="0"/>
          <w:numId w:val="65"/>
        </w:numPr>
        <w:rPr>
          <w:rFonts w:ascii="Arial" w:cs="Arial" w:eastAsia="Arial" w:hAnsi="Arial"/>
          <w:sz w:val="16"/>
          <w:szCs w:val="16"/>
          <w:color w:val="auto"/>
        </w:rPr>
      </w:pPr>
      <w:r>
        <w:rPr>
          <w:rFonts w:ascii="Arial" w:cs="Arial" w:eastAsia="Arial" w:hAnsi="Arial"/>
          <w:sz w:val="18"/>
          <w:szCs w:val="18"/>
          <w:color w:val="auto"/>
        </w:rPr>
        <w:t>The following documents are filed as part of this Annual Report:</w:t>
      </w:r>
    </w:p>
    <w:p>
      <w:pPr>
        <w:spacing w:after="0" w:line="211" w:lineRule="exact"/>
        <w:rPr>
          <w:rFonts w:ascii="Arial" w:cs="Arial" w:eastAsia="Arial" w:hAnsi="Arial"/>
          <w:sz w:val="16"/>
          <w:szCs w:val="16"/>
          <w:color w:val="auto"/>
        </w:rPr>
      </w:pPr>
    </w:p>
    <w:p>
      <w:pPr>
        <w:ind w:left="760" w:hanging="378"/>
        <w:spacing w:after="0"/>
        <w:tabs>
          <w:tab w:leader="none" w:pos="760" w:val="left"/>
        </w:tabs>
        <w:numPr>
          <w:ilvl w:val="1"/>
          <w:numId w:val="65"/>
        </w:numPr>
        <w:rPr>
          <w:rFonts w:ascii="Arial" w:cs="Arial" w:eastAsia="Arial" w:hAnsi="Arial"/>
          <w:sz w:val="16"/>
          <w:szCs w:val="16"/>
          <w:color w:val="auto"/>
        </w:rPr>
      </w:pP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See Index to Consolidated Financial Statements in Part II Item 8 of this Annual Report.</w:t>
      </w:r>
    </w:p>
    <w:p>
      <w:pPr>
        <w:spacing w:after="0" w:line="211" w:lineRule="exact"/>
        <w:rPr>
          <w:rFonts w:ascii="Arial" w:cs="Arial" w:eastAsia="Arial" w:hAnsi="Arial"/>
          <w:sz w:val="16"/>
          <w:szCs w:val="16"/>
          <w:color w:val="auto"/>
        </w:rPr>
      </w:pPr>
    </w:p>
    <w:p>
      <w:pPr>
        <w:ind w:left="760" w:hanging="378"/>
        <w:spacing w:after="0" w:line="271" w:lineRule="auto"/>
        <w:tabs>
          <w:tab w:leader="none" w:pos="760" w:val="left"/>
        </w:tabs>
        <w:numPr>
          <w:ilvl w:val="1"/>
          <w:numId w:val="65"/>
        </w:numPr>
        <w:rPr>
          <w:rFonts w:ascii="Arial" w:cs="Arial" w:eastAsia="Arial" w:hAnsi="Arial"/>
          <w:sz w:val="16"/>
          <w:szCs w:val="16"/>
          <w:color w:val="auto"/>
        </w:rPr>
      </w:pPr>
      <w:r>
        <w:rPr>
          <w:rFonts w:ascii="Arial" w:cs="Arial" w:eastAsia="Arial" w:hAnsi="Arial"/>
          <w:sz w:val="18"/>
          <w:szCs w:val="18"/>
          <w:i w:val="1"/>
          <w:iCs w:val="1"/>
          <w:color w:val="auto"/>
        </w:rPr>
        <w:t>Consolidated Financial Statement Schedules</w:t>
      </w:r>
      <w:r>
        <w:rPr>
          <w:rFonts w:ascii="Arial" w:cs="Arial" w:eastAsia="Arial" w:hAnsi="Arial"/>
          <w:sz w:val="18"/>
          <w:szCs w:val="18"/>
          <w:color w:val="auto"/>
        </w:rPr>
        <w:t>. None. All financial statement schedules are omitted because they are not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not required under the instructions, or the requested information is included in the financial statements or notes thereto.</w:t>
      </w:r>
    </w:p>
    <w:p>
      <w:pPr>
        <w:spacing w:after="0" w:line="153" w:lineRule="exact"/>
        <w:rPr>
          <w:rFonts w:ascii="Arial" w:cs="Arial" w:eastAsia="Arial" w:hAnsi="Arial"/>
          <w:sz w:val="16"/>
          <w:szCs w:val="16"/>
          <w:color w:val="auto"/>
        </w:rPr>
      </w:pPr>
    </w:p>
    <w:p>
      <w:pPr>
        <w:ind w:left="760" w:hanging="378"/>
        <w:spacing w:after="0"/>
        <w:tabs>
          <w:tab w:leader="none" w:pos="760" w:val="left"/>
        </w:tabs>
        <w:numPr>
          <w:ilvl w:val="1"/>
          <w:numId w:val="65"/>
        </w:numPr>
        <w:rPr>
          <w:rFonts w:ascii="Arial" w:cs="Arial" w:eastAsia="Arial" w:hAnsi="Arial"/>
          <w:sz w:val="16"/>
          <w:szCs w:val="16"/>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is a list of exhibits filed with this Annual Report or incorporated herein by reference: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2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19"/>
            <w:vMerge w:val="restart"/>
          </w:tcPr>
          <w:p>
            <w:pPr>
              <w:jc w:val="center"/>
              <w:ind w:right="1160"/>
              <w:spacing w:after="0"/>
              <w:rPr>
                <w:sz w:val="20"/>
                <w:szCs w:val="20"/>
                <w:color w:val="auto"/>
              </w:rPr>
            </w:pPr>
            <w:r>
              <w:rPr>
                <w:rFonts w:ascii="Arial" w:cs="Arial" w:eastAsia="Arial" w:hAnsi="Arial"/>
                <w:sz w:val="18"/>
                <w:szCs w:val="18"/>
                <w:b w:val="1"/>
                <w:bCs w:val="1"/>
                <w:color w:val="auto"/>
                <w:w w:val="99"/>
              </w:rPr>
              <w:t>Exhibit</w:t>
            </w:r>
          </w:p>
        </w:tc>
        <w:tc>
          <w:tcPr>
            <w:tcW w:w="10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9"/>
              </w:rPr>
              <w:t>Incorporation by Reference</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19"/>
            <w:vMerge w:val="continue"/>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Filing</w:t>
            </w:r>
          </w:p>
        </w:tc>
        <w:tc>
          <w:tcPr>
            <w:tcW w:w="1120" w:type="dxa"/>
            <w:vAlign w:val="bottom"/>
          </w:tcPr>
          <w:p>
            <w:pPr>
              <w:jc w:val="center"/>
              <w:ind w:left="10"/>
              <w:spacing w:after="0" w:line="191"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35"/>
        </w:trPr>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19"/>
          </w:tcPr>
          <w:p>
            <w:pPr>
              <w:jc w:val="center"/>
              <w:ind w:right="1140"/>
              <w:spacing w:after="0"/>
              <w:rPr>
                <w:sz w:val="20"/>
                <w:szCs w:val="20"/>
                <w:color w:val="auto"/>
              </w:rPr>
            </w:pPr>
            <w:r>
              <w:rPr>
                <w:rFonts w:ascii="Arial" w:cs="Arial" w:eastAsia="Arial" w:hAnsi="Arial"/>
                <w:sz w:val="18"/>
                <w:szCs w:val="18"/>
                <w:b w:val="1"/>
                <w:bCs w:val="1"/>
                <w:color w:val="auto"/>
                <w:w w:val="98"/>
              </w:rPr>
              <w:t>Description</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File No.</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412"/>
        </w:trPr>
        <w:tc>
          <w:tcPr>
            <w:tcW w:w="1200" w:type="dxa"/>
            <w:vAlign w:val="bottom"/>
            <w:vMerge w:val="restart"/>
          </w:tcPr>
          <w:p>
            <w:pPr>
              <w:ind w:left="20"/>
              <w:spacing w:after="0"/>
              <w:rPr>
                <w:sz w:val="20"/>
                <w:szCs w:val="20"/>
                <w:color w:val="auto"/>
              </w:rPr>
            </w:pPr>
            <w:r>
              <w:rPr>
                <w:rFonts w:ascii="Arial" w:cs="Arial" w:eastAsia="Arial" w:hAnsi="Arial"/>
                <w:sz w:val="18"/>
                <w:szCs w:val="18"/>
                <w:color w:val="auto"/>
              </w:rPr>
              <w:t>1.1</w:t>
            </w:r>
          </w:p>
        </w:tc>
        <w:tc>
          <w:tcPr>
            <w:tcW w:w="4100" w:type="dxa"/>
            <w:vAlign w:val="bottom"/>
            <w:gridSpan w:val="23"/>
          </w:tcPr>
          <w:p>
            <w:pPr>
              <w:spacing w:after="0"/>
              <w:rPr>
                <w:rFonts w:ascii="Arial" w:cs="Arial" w:eastAsia="Arial" w:hAnsi="Arial"/>
                <w:sz w:val="18"/>
                <w:szCs w:val="18"/>
                <w:color w:val="0000FF"/>
              </w:rPr>
            </w:pPr>
            <w:hyperlink r:id="rId183">
              <w:r>
                <w:rPr>
                  <w:rFonts w:ascii="Arial" w:cs="Arial" w:eastAsia="Arial" w:hAnsi="Arial"/>
                  <w:sz w:val="18"/>
                  <w:szCs w:val="18"/>
                  <w:color w:val="0000FF"/>
                </w:rPr>
                <w:t>Sales Agreement by and between Registrant and</w:t>
              </w:r>
            </w:hyperlink>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5"/>
              </w:rPr>
              <w:t>1.1</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1/5/2024</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396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7"/>
              </w:rPr>
            </w:pPr>
            <w:hyperlink r:id="rId183">
              <w:r>
                <w:rPr>
                  <w:rFonts w:ascii="Arial" w:cs="Arial" w:eastAsia="Arial" w:hAnsi="Arial"/>
                  <w:sz w:val="18"/>
                  <w:szCs w:val="18"/>
                  <w:color w:val="0000FF"/>
                  <w:w w:val="97"/>
                </w:rPr>
                <w:t>Cowen and Company, LLC, dated January 5, 2024</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1200" w:type="dxa"/>
            <w:vAlign w:val="bottom"/>
          </w:tcPr>
          <w:p>
            <w:pPr>
              <w:ind w:left="20"/>
              <w:spacing w:after="0"/>
              <w:rPr>
                <w:sz w:val="20"/>
                <w:szCs w:val="20"/>
                <w:color w:val="auto"/>
              </w:rPr>
            </w:pPr>
            <w:r>
              <w:rPr>
                <w:rFonts w:ascii="Arial" w:cs="Arial" w:eastAsia="Arial" w:hAnsi="Arial"/>
                <w:sz w:val="18"/>
                <w:szCs w:val="18"/>
                <w:color w:val="auto"/>
              </w:rPr>
              <w:t>3.1</w:t>
            </w:r>
          </w:p>
        </w:tc>
        <w:tc>
          <w:tcPr>
            <w:tcW w:w="4100" w:type="dxa"/>
            <w:vAlign w:val="bottom"/>
            <w:gridSpan w:val="23"/>
          </w:tcPr>
          <w:p>
            <w:pPr>
              <w:spacing w:after="0"/>
              <w:rPr>
                <w:rFonts w:ascii="Arial" w:cs="Arial" w:eastAsia="Arial" w:hAnsi="Arial"/>
                <w:sz w:val="18"/>
                <w:szCs w:val="18"/>
                <w:color w:val="0000FF"/>
              </w:rPr>
            </w:pPr>
            <w:hyperlink r:id="rId184">
              <w:r>
                <w:rPr>
                  <w:rFonts w:ascii="Arial" w:cs="Arial" w:eastAsia="Arial" w:hAnsi="Arial"/>
                  <w:sz w:val="18"/>
                  <w:szCs w:val="18"/>
                  <w:color w:val="0000FF"/>
                </w:rPr>
                <w:t>Amended and Restated Certificate of</w:t>
              </w:r>
            </w:hyperlink>
          </w:p>
        </w:tc>
        <w:tc>
          <w:tcPr>
            <w:tcW w:w="10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7"/>
              </w:rPr>
              <w:t>11/23/2020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2980" w:type="dxa"/>
            <w:vAlign w:val="bottom"/>
            <w:gridSpan w:val="9"/>
          </w:tcPr>
          <w:p>
            <w:pPr>
              <w:spacing w:after="0" w:line="182" w:lineRule="exact"/>
              <w:rPr>
                <w:rFonts w:ascii="Arial" w:cs="Arial" w:eastAsia="Arial" w:hAnsi="Arial"/>
                <w:sz w:val="18"/>
                <w:szCs w:val="18"/>
                <w:color w:val="0000FF"/>
              </w:rPr>
            </w:pPr>
            <w:hyperlink r:id="rId184">
              <w:r>
                <w:rPr>
                  <w:rFonts w:ascii="Arial" w:cs="Arial" w:eastAsia="Arial" w:hAnsi="Arial"/>
                  <w:sz w:val="18"/>
                  <w:szCs w:val="18"/>
                  <w:color w:val="0000FF"/>
                </w:rPr>
                <w:t>Incorporation.</w:t>
              </w:r>
            </w:hyperlink>
          </w:p>
        </w:tc>
        <w:tc>
          <w:tcPr>
            <w:tcW w:w="1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3.2</w:t>
            </w:r>
          </w:p>
        </w:tc>
        <w:tc>
          <w:tcPr>
            <w:tcW w:w="4100" w:type="dxa"/>
            <w:vAlign w:val="bottom"/>
            <w:gridSpan w:val="23"/>
          </w:tcPr>
          <w:p>
            <w:pPr>
              <w:spacing w:after="0"/>
              <w:rPr>
                <w:rFonts w:ascii="Arial" w:cs="Arial" w:eastAsia="Arial" w:hAnsi="Arial"/>
                <w:sz w:val="18"/>
                <w:szCs w:val="18"/>
                <w:color w:val="0000FF"/>
              </w:rPr>
            </w:pPr>
            <w:hyperlink r:id="rId185">
              <w:r>
                <w:rPr>
                  <w:rFonts w:ascii="Arial" w:cs="Arial" w:eastAsia="Arial" w:hAnsi="Arial"/>
                  <w:sz w:val="18"/>
                  <w:szCs w:val="18"/>
                  <w:color w:val="0000FF"/>
                </w:rPr>
                <w:t>Amended and Restated Certificate of Bylaws.</w:t>
              </w:r>
            </w:hyperlink>
          </w:p>
        </w:tc>
        <w:tc>
          <w:tcPr>
            <w:tcW w:w="10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12/16/2022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4.1</w:t>
            </w:r>
          </w:p>
        </w:tc>
        <w:tc>
          <w:tcPr>
            <w:tcW w:w="4100" w:type="dxa"/>
            <w:vAlign w:val="bottom"/>
            <w:gridSpan w:val="23"/>
          </w:tcPr>
          <w:p>
            <w:pPr>
              <w:spacing w:after="0"/>
              <w:rPr>
                <w:rFonts w:ascii="Arial" w:cs="Arial" w:eastAsia="Arial" w:hAnsi="Arial"/>
                <w:sz w:val="18"/>
                <w:szCs w:val="18"/>
                <w:color w:val="0000FF"/>
              </w:rPr>
            </w:pPr>
            <w:hyperlink r:id="rId186">
              <w:r>
                <w:rPr>
                  <w:rFonts w:ascii="Arial" w:cs="Arial" w:eastAsia="Arial" w:hAnsi="Arial"/>
                  <w:sz w:val="18"/>
                  <w:szCs w:val="18"/>
                  <w:color w:val="0000FF"/>
                </w:rPr>
                <w:t>Form of Common Stock Certificate.</w:t>
              </w:r>
            </w:hyperlink>
          </w:p>
        </w:tc>
        <w:tc>
          <w:tcPr>
            <w:tcW w:w="10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10/30/2020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4.2</w:t>
            </w:r>
          </w:p>
        </w:tc>
        <w:tc>
          <w:tcPr>
            <w:tcW w:w="4100" w:type="dxa"/>
            <w:vAlign w:val="bottom"/>
            <w:gridSpan w:val="23"/>
          </w:tcPr>
          <w:p>
            <w:pPr>
              <w:spacing w:after="0"/>
              <w:rPr>
                <w:rFonts w:ascii="Arial" w:cs="Arial" w:eastAsia="Arial" w:hAnsi="Arial"/>
                <w:sz w:val="18"/>
                <w:szCs w:val="18"/>
                <w:color w:val="0000FF"/>
              </w:rPr>
            </w:pPr>
            <w:hyperlink r:id="rId187">
              <w:r>
                <w:rPr>
                  <w:rFonts w:ascii="Arial" w:cs="Arial" w:eastAsia="Arial" w:hAnsi="Arial"/>
                  <w:sz w:val="18"/>
                  <w:szCs w:val="18"/>
                  <w:color w:val="0000FF"/>
                </w:rPr>
                <w:t>Description of Capital Stock.</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40" w:type="dxa"/>
            <w:vAlign w:val="bottom"/>
            <w:vMerge w:val="continue"/>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3/17/2021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10.1#</w:t>
            </w:r>
          </w:p>
        </w:tc>
        <w:tc>
          <w:tcPr>
            <w:tcW w:w="4100" w:type="dxa"/>
            <w:vAlign w:val="bottom"/>
            <w:gridSpan w:val="23"/>
          </w:tcPr>
          <w:p>
            <w:pPr>
              <w:spacing w:after="0"/>
              <w:rPr>
                <w:rFonts w:ascii="Arial" w:cs="Arial" w:eastAsia="Arial" w:hAnsi="Arial"/>
                <w:sz w:val="18"/>
                <w:szCs w:val="18"/>
                <w:color w:val="0000FF"/>
              </w:rPr>
            </w:pPr>
            <w:hyperlink r:id="rId188">
              <w:r>
                <w:rPr>
                  <w:rFonts w:ascii="Arial" w:cs="Arial" w:eastAsia="Arial" w:hAnsi="Arial"/>
                  <w:sz w:val="18"/>
                  <w:szCs w:val="18"/>
                  <w:color w:val="0000FF"/>
                </w:rPr>
                <w:t>Olema Pharmaceuticals, Inc. 2014 Stock Plan, as</w:t>
              </w:r>
            </w:hyperlink>
          </w:p>
        </w:tc>
        <w:tc>
          <w:tcPr>
            <w:tcW w:w="10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40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88">
              <w:r>
                <w:rPr>
                  <w:rFonts w:ascii="Arial" w:cs="Arial" w:eastAsia="Arial" w:hAnsi="Arial"/>
                  <w:sz w:val="18"/>
                  <w:szCs w:val="18"/>
                  <w:color w:val="0000FF"/>
                </w:rPr>
                <w:t>amended.</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10.2#</w:t>
            </w:r>
          </w:p>
        </w:tc>
        <w:tc>
          <w:tcPr>
            <w:tcW w:w="4100" w:type="dxa"/>
            <w:vAlign w:val="bottom"/>
            <w:gridSpan w:val="23"/>
          </w:tcPr>
          <w:p>
            <w:pPr>
              <w:spacing w:after="0"/>
              <w:rPr>
                <w:rFonts w:ascii="Arial" w:cs="Arial" w:eastAsia="Arial" w:hAnsi="Arial"/>
                <w:sz w:val="18"/>
                <w:szCs w:val="18"/>
                <w:color w:val="0000FF"/>
              </w:rPr>
            </w:pPr>
            <w:hyperlink r:id="rId189">
              <w:r>
                <w:rPr>
                  <w:rFonts w:ascii="Arial" w:cs="Arial" w:eastAsia="Arial" w:hAnsi="Arial"/>
                  <w:sz w:val="18"/>
                  <w:szCs w:val="18"/>
                  <w:color w:val="0000FF"/>
                </w:rPr>
                <w:t>Forms of Stock Option Grant Notice, Stock Option</w:t>
              </w:r>
            </w:hyperlink>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8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189">
              <w:r>
                <w:rPr>
                  <w:rFonts w:ascii="Arial" w:cs="Arial" w:eastAsia="Arial" w:hAnsi="Arial"/>
                  <w:sz w:val="18"/>
                  <w:szCs w:val="18"/>
                  <w:color w:val="0000FF"/>
                </w:rPr>
                <w:t>Agreement, Early Exercise Stock Purchase</w:t>
              </w:r>
            </w:hyperlink>
          </w:p>
        </w:tc>
        <w:tc>
          <w:tcPr>
            <w:tcW w:w="540" w:type="dxa"/>
            <w:vAlign w:val="bottom"/>
            <w:tcBorders>
              <w:top w:val="single" w:sz="8" w:color="0000FF"/>
            </w:tcBorders>
            <w:gridSpan w:val="8"/>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4100" w:type="dxa"/>
            <w:vAlign w:val="bottom"/>
            <w:gridSpan w:val="23"/>
          </w:tcPr>
          <w:p>
            <w:pPr>
              <w:spacing w:after="0" w:line="182" w:lineRule="exact"/>
              <w:rPr>
                <w:rFonts w:ascii="Arial" w:cs="Arial" w:eastAsia="Arial" w:hAnsi="Arial"/>
                <w:sz w:val="18"/>
                <w:szCs w:val="18"/>
                <w:color w:val="0000FF"/>
              </w:rPr>
            </w:pPr>
            <w:hyperlink r:id="rId189">
              <w:r>
                <w:rPr>
                  <w:rFonts w:ascii="Arial" w:cs="Arial" w:eastAsia="Arial" w:hAnsi="Arial"/>
                  <w:sz w:val="18"/>
                  <w:szCs w:val="18"/>
                  <w:color w:val="0000FF"/>
                </w:rPr>
                <w:t>Agreement and Notice of Exercise and Restricted</w:t>
              </w:r>
            </w:hyperlink>
          </w:p>
        </w:tc>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r:id="rId189">
              <w:r>
                <w:rPr>
                  <w:rFonts w:ascii="Arial" w:cs="Arial" w:eastAsia="Arial" w:hAnsi="Arial"/>
                  <w:sz w:val="18"/>
                  <w:szCs w:val="18"/>
                  <w:color w:val="0000FF"/>
                  <w:w w:val="99"/>
                </w:rPr>
                <w:t>Stock Award Grant Notice and Restricted Stock</w:t>
              </w:r>
            </w:hyperlink>
          </w:p>
        </w:tc>
        <w:tc>
          <w:tcPr>
            <w:tcW w:w="180" w:type="dxa"/>
            <w:vAlign w:val="bottom"/>
            <w:tcBorders>
              <w:top w:val="single" w:sz="8" w:color="0000FF"/>
            </w:tcBorders>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800" w:type="dxa"/>
            <w:vAlign w:val="bottom"/>
            <w:gridSpan w:val="15"/>
          </w:tcPr>
          <w:p>
            <w:pPr>
              <w:spacing w:after="0" w:line="182" w:lineRule="exact"/>
              <w:rPr>
                <w:rFonts w:ascii="Arial" w:cs="Arial" w:eastAsia="Arial" w:hAnsi="Arial"/>
                <w:sz w:val="18"/>
                <w:szCs w:val="18"/>
                <w:color w:val="0000FF"/>
              </w:rPr>
            </w:pPr>
            <w:hyperlink r:id="rId189">
              <w:r>
                <w:rPr>
                  <w:rFonts w:ascii="Arial" w:cs="Arial" w:eastAsia="Arial" w:hAnsi="Arial"/>
                  <w:sz w:val="18"/>
                  <w:szCs w:val="18"/>
                  <w:color w:val="0000FF"/>
                </w:rPr>
                <w:t>Award Agreement under the Olema</w:t>
              </w:r>
            </w:hyperlink>
          </w:p>
        </w:tc>
        <w:tc>
          <w:tcPr>
            <w:tcW w:w="14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10.2</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3120" w:type="dxa"/>
            <w:vAlign w:val="bottom"/>
            <w:tcBorders>
              <w:bottom w:val="single" w:sz="8" w:color="0000FF"/>
            </w:tcBorders>
            <w:gridSpan w:val="10"/>
          </w:tcPr>
          <w:p>
            <w:pPr>
              <w:spacing w:after="0" w:line="182" w:lineRule="exact"/>
              <w:rPr>
                <w:rFonts w:ascii="Arial" w:cs="Arial" w:eastAsia="Arial" w:hAnsi="Arial"/>
                <w:sz w:val="18"/>
                <w:szCs w:val="18"/>
                <w:color w:val="0000FF"/>
                <w:w w:val="98"/>
              </w:rPr>
            </w:pPr>
            <w:hyperlink r:id="rId189">
              <w:r>
                <w:rPr>
                  <w:rFonts w:ascii="Arial" w:cs="Arial" w:eastAsia="Arial" w:hAnsi="Arial"/>
                  <w:sz w:val="18"/>
                  <w:szCs w:val="18"/>
                  <w:color w:val="0000FF"/>
                  <w:w w:val="98"/>
                </w:rPr>
                <w:t>Pharmaceuticals, Inc. 2014 Stock Plan.</w:t>
              </w:r>
            </w:hyperlink>
          </w:p>
        </w:tc>
        <w:tc>
          <w:tcPr>
            <w:tcW w:w="20" w:type="dxa"/>
            <w:vAlign w:val="bottom"/>
            <w:tcBorders>
              <w:bottom w:val="single" w:sz="8" w:color="0000EE"/>
            </w:tcBorders>
          </w:tcPr>
          <w:p>
            <w:pPr>
              <w:spacing w:after="0"/>
              <w:rPr>
                <w:sz w:val="15"/>
                <w:szCs w:val="15"/>
                <w:color w:val="auto"/>
              </w:rPr>
            </w:pPr>
          </w:p>
        </w:tc>
        <w:tc>
          <w:tcPr>
            <w:tcW w:w="960" w:type="dxa"/>
            <w:vAlign w:val="bottom"/>
            <w:gridSpan w:val="12"/>
          </w:tcPr>
          <w:p>
            <w:pPr>
              <w:spacing w:after="0"/>
              <w:rPr>
                <w:sz w:val="15"/>
                <w:szCs w:val="15"/>
                <w:color w:val="auto"/>
              </w:rPr>
            </w:pPr>
          </w:p>
        </w:tc>
        <w:tc>
          <w:tcPr>
            <w:tcW w:w="10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10.3#</w:t>
            </w:r>
          </w:p>
        </w:tc>
        <w:tc>
          <w:tcPr>
            <w:tcW w:w="4100" w:type="dxa"/>
            <w:vAlign w:val="bottom"/>
            <w:gridSpan w:val="23"/>
          </w:tcPr>
          <w:p>
            <w:pPr>
              <w:spacing w:after="0"/>
              <w:rPr>
                <w:rFonts w:ascii="Arial" w:cs="Arial" w:eastAsia="Arial" w:hAnsi="Arial"/>
                <w:sz w:val="18"/>
                <w:szCs w:val="18"/>
                <w:color w:val="0000FF"/>
              </w:rPr>
            </w:pPr>
            <w:hyperlink r:id="rId190">
              <w:r>
                <w:rPr>
                  <w:rFonts w:ascii="Arial" w:cs="Arial" w:eastAsia="Arial" w:hAnsi="Arial"/>
                  <w:sz w:val="18"/>
                  <w:szCs w:val="18"/>
                  <w:color w:val="0000FF"/>
                </w:rPr>
                <w:t>Olema Pharmaceuticals, Inc. 2020 Equity Incentive</w:t>
              </w:r>
            </w:hyperlink>
          </w:p>
        </w:tc>
        <w:tc>
          <w:tcPr>
            <w:tcW w:w="10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10.3</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7"/>
              </w:rPr>
              <w:t>11/16/2020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2"/>
              </w:rPr>
            </w:pPr>
            <w:hyperlink r:id="rId190">
              <w:r>
                <w:rPr>
                  <w:rFonts w:ascii="Arial" w:cs="Arial" w:eastAsia="Arial" w:hAnsi="Arial"/>
                  <w:sz w:val="18"/>
                  <w:szCs w:val="18"/>
                  <w:color w:val="0000FF"/>
                  <w:w w:val="92"/>
                </w:rPr>
                <w:t>Plan.</w:t>
              </w:r>
            </w:hyperlink>
          </w:p>
        </w:tc>
        <w:tc>
          <w:tcPr>
            <w:tcW w:w="20" w:type="dxa"/>
            <w:vAlign w:val="bottom"/>
            <w:tcBorders>
              <w:top w:val="single" w:sz="8" w:color="0000FF"/>
              <w:bottom w:val="single" w:sz="8" w:color="0000EE"/>
            </w:tcBorders>
          </w:tcPr>
          <w:p>
            <w:pPr>
              <w:spacing w:after="0"/>
              <w:rPr>
                <w:sz w:val="15"/>
                <w:szCs w:val="15"/>
                <w:color w:val="auto"/>
              </w:rPr>
            </w:pPr>
          </w:p>
        </w:tc>
        <w:tc>
          <w:tcPr>
            <w:tcW w:w="3660" w:type="dxa"/>
            <w:vAlign w:val="bottom"/>
            <w:tcBorders>
              <w:top w:val="single" w:sz="8" w:color="0000FF"/>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4100" w:type="dxa"/>
            <w:vAlign w:val="bottom"/>
            <w:gridSpan w:val="23"/>
          </w:tcPr>
          <w:p>
            <w:pPr>
              <w:spacing w:after="0"/>
              <w:rPr>
                <w:rFonts w:ascii="Arial" w:cs="Arial" w:eastAsia="Arial" w:hAnsi="Arial"/>
                <w:sz w:val="18"/>
                <w:szCs w:val="18"/>
                <w:color w:val="0000FF"/>
              </w:rPr>
            </w:pPr>
            <w:hyperlink r:id="rId191">
              <w:r>
                <w:rPr>
                  <w:rFonts w:ascii="Arial" w:cs="Arial" w:eastAsia="Arial" w:hAnsi="Arial"/>
                  <w:sz w:val="18"/>
                  <w:szCs w:val="18"/>
                  <w:color w:val="0000FF"/>
                </w:rPr>
                <w:t>Forms of Stock Option Grant Notice and Stock</w:t>
              </w:r>
            </w:hyperlink>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374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Option Agreement under the Olema</w:t>
              </w:r>
            </w:hyperlink>
          </w:p>
        </w:tc>
        <w:tc>
          <w:tcPr>
            <w:tcW w:w="200" w:type="dxa"/>
            <w:vAlign w:val="bottom"/>
            <w:gridSpan w:val="2"/>
          </w:tcPr>
          <w:p>
            <w:pPr>
              <w:spacing w:after="0"/>
              <w:rPr>
                <w:sz w:val="15"/>
                <w:szCs w:val="15"/>
                <w:color w:val="auto"/>
              </w:rPr>
            </w:pPr>
          </w:p>
        </w:tc>
        <w:tc>
          <w:tcPr>
            <w:tcW w:w="160" w:type="dxa"/>
            <w:vAlign w:val="bottom"/>
            <w:gridSpan w:val="7"/>
          </w:tcPr>
          <w:p>
            <w:pPr>
              <w:spacing w:after="0"/>
              <w:rPr>
                <w:sz w:val="15"/>
                <w:szCs w:val="15"/>
                <w:color w:val="auto"/>
              </w:rPr>
            </w:pPr>
          </w:p>
        </w:tc>
        <w:tc>
          <w:tcPr>
            <w:tcW w:w="100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10.4</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Pharmaceuticals, Inc. 2020 Equity</w:t>
              </w:r>
            </w:hyperlink>
          </w:p>
        </w:tc>
        <w:tc>
          <w:tcPr>
            <w:tcW w:w="1060" w:type="dxa"/>
            <w:vAlign w:val="bottom"/>
            <w:tcBorders>
              <w:bottom w:val="single" w:sz="8" w:color="0000FF"/>
            </w:tcBorders>
            <w:gridSpan w:val="8"/>
          </w:tcPr>
          <w:p>
            <w:pPr>
              <w:spacing w:after="0" w:line="182" w:lineRule="exact"/>
              <w:rPr>
                <w:rFonts w:ascii="Arial" w:cs="Arial" w:eastAsia="Arial" w:hAnsi="Arial"/>
                <w:sz w:val="18"/>
                <w:szCs w:val="18"/>
                <w:color w:val="0000FF"/>
                <w:w w:val="88"/>
              </w:rPr>
            </w:pPr>
            <w:hyperlink r:id="rId191">
              <w:r>
                <w:rPr>
                  <w:rFonts w:ascii="Arial" w:cs="Arial" w:eastAsia="Arial" w:hAnsi="Arial"/>
                  <w:sz w:val="18"/>
                  <w:szCs w:val="18"/>
                  <w:color w:val="0000FF"/>
                  <w:w w:val="88"/>
                </w:rPr>
                <w:t>Incentive Plan.</w:t>
              </w:r>
            </w:hyperlink>
          </w:p>
        </w:tc>
        <w:tc>
          <w:tcPr>
            <w:tcW w:w="160" w:type="dxa"/>
            <w:vAlign w:val="bottom"/>
            <w:gridSpan w:val="7"/>
          </w:tcPr>
          <w:p>
            <w:pPr>
              <w:spacing w:after="0"/>
              <w:rPr>
                <w:sz w:val="15"/>
                <w:szCs w:val="15"/>
                <w:color w:val="auto"/>
              </w:rPr>
            </w:pPr>
          </w:p>
        </w:tc>
        <w:tc>
          <w:tcPr>
            <w:tcW w:w="10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2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2"/>
            <w:vMerge w:val="restart"/>
          </w:tcPr>
          <w:p>
            <w:pPr>
              <w:jc w:val="center"/>
              <w:ind w:right="1820"/>
              <w:spacing w:after="0"/>
              <w:rPr>
                <w:sz w:val="20"/>
                <w:szCs w:val="20"/>
                <w:color w:val="auto"/>
              </w:rPr>
            </w:pPr>
            <w:r>
              <w:rPr>
                <w:rFonts w:ascii="Arial" w:cs="Arial" w:eastAsia="Arial" w:hAnsi="Arial"/>
                <w:sz w:val="18"/>
                <w:szCs w:val="18"/>
                <w:b w:val="1"/>
                <w:bCs w:val="1"/>
                <w:color w:val="auto"/>
                <w:w w:val="99"/>
              </w:rPr>
              <w:t>Exhibit</w:t>
            </w:r>
          </w:p>
        </w:tc>
        <w:tc>
          <w:tcPr>
            <w:tcW w:w="9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9"/>
              </w:rPr>
              <w:t>Incorporation by Reference</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22"/>
            <w:vMerge w:val="continue"/>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Filing</w:t>
            </w:r>
          </w:p>
        </w:tc>
        <w:tc>
          <w:tcPr>
            <w:tcW w:w="1120" w:type="dxa"/>
            <w:vAlign w:val="bottom"/>
          </w:tcPr>
          <w:p>
            <w:pPr>
              <w:jc w:val="center"/>
              <w:ind w:left="10"/>
              <w:spacing w:after="0" w:line="191"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35"/>
        </w:trPr>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4"/>
          </w:tcPr>
          <w:p>
            <w:pPr>
              <w:jc w:val="center"/>
              <w:ind w:right="1520"/>
              <w:spacing w:after="0"/>
              <w:rPr>
                <w:sz w:val="20"/>
                <w:szCs w:val="20"/>
                <w:color w:val="auto"/>
              </w:rPr>
            </w:pPr>
            <w:r>
              <w:rPr>
                <w:rFonts w:ascii="Arial" w:cs="Arial" w:eastAsia="Arial" w:hAnsi="Arial"/>
                <w:sz w:val="18"/>
                <w:szCs w:val="18"/>
                <w:b w:val="1"/>
                <w:bCs w:val="1"/>
                <w:color w:val="auto"/>
                <w:w w:val="98"/>
              </w:rPr>
              <w:t>Description</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File No.</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412"/>
        </w:trPr>
        <w:tc>
          <w:tcPr>
            <w:tcW w:w="1200" w:type="dxa"/>
            <w:vAlign w:val="bottom"/>
          </w:tcPr>
          <w:p>
            <w:pPr>
              <w:ind w:left="20"/>
              <w:spacing w:after="0"/>
              <w:rPr>
                <w:sz w:val="20"/>
                <w:szCs w:val="20"/>
                <w:color w:val="auto"/>
              </w:rPr>
            </w:pPr>
            <w:r>
              <w:rPr>
                <w:rFonts w:ascii="Arial" w:cs="Arial" w:eastAsia="Arial" w:hAnsi="Arial"/>
                <w:sz w:val="18"/>
                <w:szCs w:val="18"/>
                <w:color w:val="auto"/>
              </w:rPr>
              <w:t>10.5#</w:t>
            </w:r>
          </w:p>
        </w:tc>
        <w:tc>
          <w:tcPr>
            <w:tcW w:w="4140" w:type="dxa"/>
            <w:vAlign w:val="bottom"/>
            <w:gridSpan w:val="31"/>
          </w:tcPr>
          <w:p>
            <w:pPr>
              <w:spacing w:after="0"/>
              <w:rPr>
                <w:rFonts w:ascii="Arial" w:cs="Arial" w:eastAsia="Arial" w:hAnsi="Arial"/>
                <w:sz w:val="18"/>
                <w:szCs w:val="18"/>
                <w:color w:val="0000FF"/>
              </w:rPr>
            </w:pPr>
            <w:hyperlink r:id="rId193">
              <w:r>
                <w:rPr>
                  <w:rFonts w:ascii="Arial" w:cs="Arial" w:eastAsia="Arial" w:hAnsi="Arial"/>
                  <w:sz w:val="18"/>
                  <w:szCs w:val="18"/>
                  <w:color w:val="0000FF"/>
                </w:rPr>
                <w:t>Forms of Restricted Stock Unit Grant Notice and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4140" w:type="dxa"/>
            <w:vAlign w:val="bottom"/>
            <w:gridSpan w:val="31"/>
          </w:tcPr>
          <w:p>
            <w:pPr>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Restricted Stock Unit Award Agreement under the</w:t>
              </w:r>
            </w:hyperlink>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w w:val="98"/>
              </w:rPr>
            </w:pPr>
            <w:hyperlink r:id="rId193">
              <w:r>
                <w:rPr>
                  <w:rFonts w:ascii="Arial" w:cs="Arial" w:eastAsia="Arial" w:hAnsi="Arial"/>
                  <w:sz w:val="18"/>
                  <w:szCs w:val="18"/>
                  <w:color w:val="0000FF"/>
                  <w:w w:val="98"/>
                </w:rPr>
                <w:t>Olema Pharmaceuticals, Inc. 2020 Equity Incentive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10.5</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400" w:type="dxa"/>
            <w:vAlign w:val="bottom"/>
            <w:tcBorders>
              <w:bottom w:val="single" w:sz="8" w:color="0000FF"/>
            </w:tcBorders>
            <w:gridSpan w:val="2"/>
          </w:tcPr>
          <w:p>
            <w:pPr>
              <w:spacing w:after="0" w:line="182" w:lineRule="exact"/>
              <w:rPr>
                <w:rFonts w:ascii="Arial" w:cs="Arial" w:eastAsia="Arial" w:hAnsi="Arial"/>
                <w:sz w:val="18"/>
                <w:szCs w:val="18"/>
                <w:color w:val="0000FF"/>
                <w:w w:val="92"/>
              </w:rPr>
            </w:pPr>
            <w:hyperlink r:id="rId193">
              <w:r>
                <w:rPr>
                  <w:rFonts w:ascii="Arial" w:cs="Arial" w:eastAsia="Arial" w:hAnsi="Arial"/>
                  <w:sz w:val="18"/>
                  <w:szCs w:val="18"/>
                  <w:color w:val="0000FF"/>
                  <w:w w:val="92"/>
                </w:rPr>
                <w:t>Plan.</w:t>
              </w:r>
            </w:hyperlink>
          </w:p>
        </w:tc>
        <w:tc>
          <w:tcPr>
            <w:tcW w:w="20" w:type="dxa"/>
            <w:vAlign w:val="bottom"/>
            <w:tcBorders>
              <w:bottom w:val="single" w:sz="8" w:color="0000EE"/>
            </w:tcBorders>
          </w:tcPr>
          <w:p>
            <w:pPr>
              <w:spacing w:after="0"/>
              <w:rPr>
                <w:sz w:val="15"/>
                <w:szCs w:val="15"/>
                <w:color w:val="auto"/>
              </w:rPr>
            </w:pPr>
          </w:p>
        </w:tc>
        <w:tc>
          <w:tcPr>
            <w:tcW w:w="3700" w:type="dxa"/>
            <w:vAlign w:val="bottom"/>
            <w:gridSpan w:val="27"/>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10.6#</w:t>
            </w:r>
          </w:p>
        </w:tc>
        <w:tc>
          <w:tcPr>
            <w:tcW w:w="4140" w:type="dxa"/>
            <w:vAlign w:val="bottom"/>
            <w:gridSpan w:val="31"/>
          </w:tcPr>
          <w:p>
            <w:pPr>
              <w:spacing w:after="0"/>
              <w:rPr>
                <w:rFonts w:ascii="Arial" w:cs="Arial" w:eastAsia="Arial" w:hAnsi="Arial"/>
                <w:sz w:val="18"/>
                <w:szCs w:val="18"/>
                <w:color w:val="0000FF"/>
              </w:rPr>
            </w:pPr>
            <w:hyperlink r:id="rId194">
              <w:r>
                <w:rPr>
                  <w:rFonts w:ascii="Arial" w:cs="Arial" w:eastAsia="Arial" w:hAnsi="Arial"/>
                  <w:sz w:val="18"/>
                  <w:szCs w:val="18"/>
                  <w:color w:val="0000FF"/>
                </w:rPr>
                <w:t>Olema Pharmaceuticals, Inc. 2020 Employee</w:t>
              </w:r>
            </w:hyperlink>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10.6</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7"/>
              </w:rPr>
              <w:t>11/16/2020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6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Stock Purchase Plan.</w:t>
              </w:r>
            </w:hyperlink>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10.7#</w:t>
            </w:r>
          </w:p>
        </w:tc>
        <w:tc>
          <w:tcPr>
            <w:tcW w:w="4140" w:type="dxa"/>
            <w:vAlign w:val="bottom"/>
            <w:gridSpan w:val="31"/>
          </w:tcPr>
          <w:p>
            <w:pPr>
              <w:spacing w:after="0"/>
              <w:rPr>
                <w:rFonts w:ascii="Arial" w:cs="Arial" w:eastAsia="Arial" w:hAnsi="Arial"/>
                <w:sz w:val="18"/>
                <w:szCs w:val="18"/>
                <w:color w:val="0000FF"/>
              </w:rPr>
            </w:pPr>
            <w:hyperlink r:id="rId195">
              <w:r>
                <w:rPr>
                  <w:rFonts w:ascii="Arial" w:cs="Arial" w:eastAsia="Arial" w:hAnsi="Arial"/>
                  <w:sz w:val="18"/>
                  <w:szCs w:val="18"/>
                  <w:color w:val="0000FF"/>
                </w:rPr>
                <w:t>Olema Pharmaceuticals, Inc. 2020 Non-Employee</w:t>
              </w:r>
            </w:hyperlink>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10.7</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7"/>
              </w:rPr>
              <w:t>11/16/2020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408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195">
              <w:r>
                <w:rPr>
                  <w:rFonts w:ascii="Arial" w:cs="Arial" w:eastAsia="Arial" w:hAnsi="Arial"/>
                  <w:sz w:val="18"/>
                  <w:szCs w:val="18"/>
                  <w:color w:val="0000FF"/>
                </w:rPr>
                <w:t>Director Compensation Policy.</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10.8#</w:t>
            </w:r>
          </w:p>
        </w:tc>
        <w:tc>
          <w:tcPr>
            <w:tcW w:w="4140" w:type="dxa"/>
            <w:vAlign w:val="bottom"/>
            <w:gridSpan w:val="31"/>
          </w:tcPr>
          <w:p>
            <w:pPr>
              <w:spacing w:after="0"/>
              <w:rPr>
                <w:rFonts w:ascii="Arial" w:cs="Arial" w:eastAsia="Arial" w:hAnsi="Arial"/>
                <w:sz w:val="18"/>
                <w:szCs w:val="18"/>
                <w:color w:val="0000FF"/>
              </w:rPr>
            </w:pPr>
            <w:hyperlink r:id="rId196">
              <w:r>
                <w:rPr>
                  <w:rFonts w:ascii="Arial" w:cs="Arial" w:eastAsia="Arial" w:hAnsi="Arial"/>
                  <w:sz w:val="18"/>
                  <w:szCs w:val="18"/>
                  <w:color w:val="0000FF"/>
                </w:rPr>
                <w:t>Form of Indemnification Agreement by and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4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7"/>
              </w:rPr>
            </w:pPr>
            <w:hyperlink r:id="rId196">
              <w:r>
                <w:rPr>
                  <w:rFonts w:ascii="Arial" w:cs="Arial" w:eastAsia="Arial" w:hAnsi="Arial"/>
                  <w:sz w:val="18"/>
                  <w:szCs w:val="18"/>
                  <w:color w:val="0000FF"/>
                  <w:w w:val="97"/>
                </w:rPr>
                <w:t>between the Registrant and its directors and</w:t>
              </w:r>
            </w:hyperlink>
          </w:p>
        </w:tc>
        <w:tc>
          <w:tcPr>
            <w:tcW w:w="2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10.8</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420" w:type="dxa"/>
            <w:vAlign w:val="bottom"/>
            <w:tcBorders>
              <w:bottom w:val="single" w:sz="8" w:color="0000FF"/>
            </w:tcBorders>
            <w:gridSpan w:val="6"/>
          </w:tcPr>
          <w:p>
            <w:pPr>
              <w:spacing w:after="0" w:line="182" w:lineRule="exact"/>
              <w:rPr>
                <w:rFonts w:ascii="Arial" w:cs="Arial" w:eastAsia="Arial" w:hAnsi="Arial"/>
                <w:sz w:val="18"/>
                <w:szCs w:val="18"/>
                <w:color w:val="0000FF"/>
                <w:w w:val="97"/>
              </w:rPr>
            </w:pPr>
            <w:hyperlink r:id="rId196">
              <w:r>
                <w:rPr>
                  <w:rFonts w:ascii="Arial" w:cs="Arial" w:eastAsia="Arial" w:hAnsi="Arial"/>
                  <w:sz w:val="18"/>
                  <w:szCs w:val="18"/>
                  <w:color w:val="0000FF"/>
                  <w:w w:val="97"/>
                </w:rPr>
                <w:t>executive officers.</w:t>
              </w:r>
            </w:hyperlink>
          </w:p>
        </w:tc>
        <w:tc>
          <w:tcPr>
            <w:tcW w:w="20" w:type="dxa"/>
            <w:vAlign w:val="bottom"/>
            <w:tcBorders>
              <w:bottom w:val="single" w:sz="8" w:color="0000EE"/>
            </w:tcBorders>
          </w:tcPr>
          <w:p>
            <w:pPr>
              <w:spacing w:after="0"/>
              <w:rPr>
                <w:sz w:val="15"/>
                <w:szCs w:val="15"/>
                <w:color w:val="auto"/>
              </w:rPr>
            </w:pPr>
          </w:p>
        </w:tc>
        <w:tc>
          <w:tcPr>
            <w:tcW w:w="2120" w:type="dxa"/>
            <w:vAlign w:val="bottom"/>
            <w:gridSpan w:val="9"/>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10.9#</w:t>
            </w:r>
          </w:p>
        </w:tc>
        <w:tc>
          <w:tcPr>
            <w:tcW w:w="4140" w:type="dxa"/>
            <w:vAlign w:val="bottom"/>
            <w:gridSpan w:val="31"/>
          </w:tcPr>
          <w:p>
            <w:pPr>
              <w:spacing w:after="0"/>
              <w:rPr>
                <w:rFonts w:ascii="Arial" w:cs="Arial" w:eastAsia="Arial" w:hAnsi="Arial"/>
                <w:sz w:val="18"/>
                <w:szCs w:val="18"/>
                <w:color w:val="0000FF"/>
              </w:rPr>
            </w:pPr>
            <w:hyperlink r:id="rId197">
              <w:r>
                <w:rPr>
                  <w:rFonts w:ascii="Arial" w:cs="Arial" w:eastAsia="Arial" w:hAnsi="Arial"/>
                  <w:sz w:val="18"/>
                  <w:szCs w:val="18"/>
                  <w:color w:val="0000FF"/>
                </w:rPr>
                <w:t>Amended and Restated Offer Letter by and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4140" w:type="dxa"/>
            <w:vAlign w:val="bottom"/>
            <w:gridSpan w:val="31"/>
          </w:tcPr>
          <w:p>
            <w:pPr>
              <w:spacing w:after="0" w:line="182" w:lineRule="exact"/>
              <w:rPr>
                <w:rFonts w:ascii="Arial" w:cs="Arial" w:eastAsia="Arial" w:hAnsi="Arial"/>
                <w:sz w:val="18"/>
                <w:szCs w:val="18"/>
                <w:color w:val="0000FF"/>
              </w:rPr>
            </w:pPr>
            <w:hyperlink r:id="rId197">
              <w:r>
                <w:rPr>
                  <w:rFonts w:ascii="Arial" w:cs="Arial" w:eastAsia="Arial" w:hAnsi="Arial"/>
                  <w:sz w:val="18"/>
                  <w:szCs w:val="18"/>
                  <w:color w:val="0000FF"/>
                </w:rPr>
                <w:t>between the Registrant and Sean Bohen, dated</w:t>
              </w:r>
            </w:hyperlink>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10.9</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7"/>
              </w:rPr>
              <w:t>11/16/2020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62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8"/>
              </w:rPr>
            </w:pPr>
            <w:hyperlink r:id="rId197">
              <w:r>
                <w:rPr>
                  <w:rFonts w:ascii="Arial" w:cs="Arial" w:eastAsia="Arial" w:hAnsi="Arial"/>
                  <w:sz w:val="18"/>
                  <w:szCs w:val="18"/>
                  <w:color w:val="0000FF"/>
                  <w:w w:val="98"/>
                </w:rPr>
                <w:t>November 13, 2020.</w:t>
              </w:r>
            </w:hyperlink>
          </w:p>
        </w:tc>
        <w:tc>
          <w:tcPr>
            <w:tcW w:w="222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10.10#</w:t>
            </w:r>
          </w:p>
        </w:tc>
        <w:tc>
          <w:tcPr>
            <w:tcW w:w="4140" w:type="dxa"/>
            <w:vAlign w:val="bottom"/>
            <w:gridSpan w:val="31"/>
          </w:tcPr>
          <w:p>
            <w:pPr>
              <w:spacing w:after="0"/>
              <w:rPr>
                <w:rFonts w:ascii="Arial" w:cs="Arial" w:eastAsia="Arial" w:hAnsi="Arial"/>
                <w:sz w:val="18"/>
                <w:szCs w:val="18"/>
                <w:color w:val="0000FF"/>
              </w:rPr>
            </w:pPr>
            <w:hyperlink r:id="rId198">
              <w:r>
                <w:rPr>
                  <w:rFonts w:ascii="Arial" w:cs="Arial" w:eastAsia="Arial" w:hAnsi="Arial"/>
                  <w:sz w:val="18"/>
                  <w:szCs w:val="18"/>
                  <w:color w:val="0000FF"/>
                </w:rPr>
                <w:t>Amended and Restated Offer Letter by and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60" w:type="dxa"/>
            <w:vAlign w:val="bottom"/>
            <w:tcBorders>
              <w:top w:val="single" w:sz="8" w:color="0000FF"/>
            </w:tcBorders>
            <w:gridSpan w:val="15"/>
          </w:tcPr>
          <w:p>
            <w:pPr>
              <w:spacing w:after="0" w:line="182" w:lineRule="exact"/>
              <w:rPr>
                <w:rFonts w:ascii="Arial" w:cs="Arial" w:eastAsia="Arial" w:hAnsi="Arial"/>
                <w:sz w:val="18"/>
                <w:szCs w:val="18"/>
                <w:color w:val="0000FF"/>
                <w:w w:val="99"/>
              </w:rPr>
            </w:pPr>
            <w:hyperlink r:id="rId198">
              <w:r>
                <w:rPr>
                  <w:rFonts w:ascii="Arial" w:cs="Arial" w:eastAsia="Arial" w:hAnsi="Arial"/>
                  <w:sz w:val="18"/>
                  <w:szCs w:val="18"/>
                  <w:color w:val="0000FF"/>
                  <w:w w:val="99"/>
                </w:rPr>
                <w:t>between the Registrant and Shane Kovacs,</w:t>
              </w:r>
            </w:hyperlink>
          </w:p>
        </w:tc>
        <w:tc>
          <w:tcPr>
            <w:tcW w:w="680" w:type="dxa"/>
            <w:vAlign w:val="bottom"/>
            <w:gridSpan w:val="16"/>
          </w:tcPr>
          <w:p>
            <w:pPr>
              <w:jc w:val="center"/>
              <w:ind w:right="160"/>
              <w:spacing w:after="0" w:line="182" w:lineRule="exact"/>
              <w:rPr>
                <w:rFonts w:ascii="Arial" w:cs="Arial" w:eastAsia="Arial" w:hAnsi="Arial"/>
                <w:sz w:val="18"/>
                <w:szCs w:val="18"/>
                <w:color w:val="0000FF"/>
                <w:w w:val="97"/>
              </w:rPr>
            </w:pPr>
            <w:hyperlink r:id="rId198">
              <w:r>
                <w:rPr>
                  <w:rFonts w:ascii="Arial" w:cs="Arial" w:eastAsia="Arial" w:hAnsi="Arial"/>
                  <w:sz w:val="18"/>
                  <w:szCs w:val="18"/>
                  <w:color w:val="0000FF"/>
                  <w:w w:val="97"/>
                </w:rPr>
                <w:t>dated</w:t>
              </w:r>
            </w:hyperlink>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7"/>
              </w:rPr>
              <w:t>10.12</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7"/>
              </w:rPr>
              <w:t>11/16/2020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62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8"/>
              </w:rPr>
            </w:pPr>
            <w:hyperlink r:id="rId198">
              <w:r>
                <w:rPr>
                  <w:rFonts w:ascii="Arial" w:cs="Arial" w:eastAsia="Arial" w:hAnsi="Arial"/>
                  <w:sz w:val="18"/>
                  <w:szCs w:val="18"/>
                  <w:color w:val="0000FF"/>
                  <w:w w:val="98"/>
                </w:rPr>
                <w:t>November 13, 2020.</w:t>
              </w:r>
            </w:hyperlink>
          </w:p>
        </w:tc>
        <w:tc>
          <w:tcPr>
            <w:tcW w:w="238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10.11#</w:t>
            </w:r>
          </w:p>
        </w:tc>
        <w:tc>
          <w:tcPr>
            <w:tcW w:w="4140" w:type="dxa"/>
            <w:vAlign w:val="bottom"/>
            <w:gridSpan w:val="31"/>
          </w:tcPr>
          <w:p>
            <w:pPr>
              <w:spacing w:after="0"/>
              <w:rPr>
                <w:rFonts w:ascii="Arial" w:cs="Arial" w:eastAsia="Arial" w:hAnsi="Arial"/>
                <w:sz w:val="18"/>
                <w:szCs w:val="18"/>
                <w:color w:val="0000FF"/>
              </w:rPr>
            </w:pPr>
            <w:hyperlink r:id="rId199">
              <w:r>
                <w:rPr>
                  <w:rFonts w:ascii="Arial" w:cs="Arial" w:eastAsia="Arial" w:hAnsi="Arial"/>
                  <w:sz w:val="18"/>
                  <w:szCs w:val="18"/>
                  <w:color w:val="0000FF"/>
                </w:rPr>
                <w:t>Amended and Restated Offer Letter by and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4140" w:type="dxa"/>
            <w:vAlign w:val="bottom"/>
            <w:gridSpan w:val="31"/>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between the Registrant and David Myles, dated</w:t>
              </w:r>
            </w:hyperlink>
          </w:p>
        </w:tc>
        <w:tc>
          <w:tcPr>
            <w:tcW w:w="9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7"/>
              </w:rPr>
              <w:t>10.14</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7"/>
              </w:rPr>
              <w:t>11/16/2020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62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8"/>
              </w:rPr>
            </w:pPr>
            <w:hyperlink r:id="rId199">
              <w:r>
                <w:rPr>
                  <w:rFonts w:ascii="Arial" w:cs="Arial" w:eastAsia="Arial" w:hAnsi="Arial"/>
                  <w:sz w:val="18"/>
                  <w:szCs w:val="18"/>
                  <w:color w:val="0000FF"/>
                  <w:w w:val="98"/>
                </w:rPr>
                <w:t>November 13, 2020.</w:t>
              </w:r>
            </w:hyperlink>
          </w:p>
        </w:tc>
        <w:tc>
          <w:tcPr>
            <w:tcW w:w="2200" w:type="dxa"/>
            <w:vAlign w:val="bottom"/>
            <w:tcBorders>
              <w:top w:val="single" w:sz="8" w:color="0000FF"/>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10.12¥</w:t>
            </w:r>
          </w:p>
        </w:tc>
        <w:tc>
          <w:tcPr>
            <w:tcW w:w="4140" w:type="dxa"/>
            <w:vAlign w:val="bottom"/>
            <w:gridSpan w:val="31"/>
          </w:tcPr>
          <w:p>
            <w:pPr>
              <w:spacing w:after="0"/>
              <w:rPr>
                <w:rFonts w:ascii="Arial" w:cs="Arial" w:eastAsia="Arial" w:hAnsi="Arial"/>
                <w:sz w:val="18"/>
                <w:szCs w:val="18"/>
                <w:color w:val="0000FF"/>
              </w:rPr>
            </w:pPr>
            <w:hyperlink r:id="rId200">
              <w:r>
                <w:rPr>
                  <w:rFonts w:ascii="Arial" w:cs="Arial" w:eastAsia="Arial" w:hAnsi="Arial"/>
                  <w:sz w:val="18"/>
                  <w:szCs w:val="18"/>
                  <w:color w:val="0000FF"/>
                </w:rPr>
                <w:t>Amended and Restated Clinical Collaboration and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4060" w:type="dxa"/>
            <w:vAlign w:val="bottom"/>
            <w:gridSpan w:val="27"/>
          </w:tcPr>
          <w:p>
            <w:pPr>
              <w:spacing w:after="0" w:line="182" w:lineRule="exact"/>
              <w:rPr>
                <w:rFonts w:ascii="Arial" w:cs="Arial" w:eastAsia="Arial" w:hAnsi="Arial"/>
                <w:sz w:val="18"/>
                <w:szCs w:val="18"/>
                <w:color w:val="0000FF"/>
              </w:rPr>
            </w:pPr>
            <w:hyperlink r:id="rId200">
              <w:r>
                <w:rPr>
                  <w:rFonts w:ascii="Arial" w:cs="Arial" w:eastAsia="Arial" w:hAnsi="Arial"/>
                  <w:sz w:val="18"/>
                  <w:szCs w:val="18"/>
                  <w:color w:val="0000FF"/>
                </w:rPr>
                <w:t>Supply Agreement by and between the Registrant</w:t>
              </w:r>
            </w:hyperlink>
          </w:p>
        </w:tc>
        <w:tc>
          <w:tcPr>
            <w:tcW w:w="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402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200">
              <w:r>
                <w:rPr>
                  <w:rFonts w:ascii="Arial" w:cs="Arial" w:eastAsia="Arial" w:hAnsi="Arial"/>
                  <w:sz w:val="18"/>
                  <w:szCs w:val="18"/>
                  <w:color w:val="0000FF"/>
                </w:rPr>
                <w:t>and Novartis Institutes for BioMedical Research,</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5/9/2023</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8"/>
              </w:rPr>
            </w:pPr>
            <w:hyperlink r:id="rId200">
              <w:r>
                <w:rPr>
                  <w:rFonts w:ascii="Arial" w:cs="Arial" w:eastAsia="Arial" w:hAnsi="Arial"/>
                  <w:sz w:val="18"/>
                  <w:szCs w:val="18"/>
                  <w:color w:val="0000FF"/>
                  <w:w w:val="98"/>
                </w:rPr>
                <w:t>Inc., dated January 13, 2022.</w:t>
              </w:r>
            </w:hyperlink>
          </w:p>
        </w:tc>
        <w:tc>
          <w:tcPr>
            <w:tcW w:w="80" w:type="dxa"/>
            <w:vAlign w:val="bottom"/>
            <w:tcBorders>
              <w:top w:val="single" w:sz="8" w:color="0000FF"/>
              <w:bottom w:val="single" w:sz="8" w:color="0000EE"/>
            </w:tcBorders>
          </w:tcPr>
          <w:p>
            <w:pPr>
              <w:spacing w:after="0"/>
              <w:rPr>
                <w:sz w:val="15"/>
                <w:szCs w:val="15"/>
                <w:color w:val="auto"/>
              </w:rPr>
            </w:pPr>
          </w:p>
        </w:tc>
        <w:tc>
          <w:tcPr>
            <w:tcW w:w="1500" w:type="dxa"/>
            <w:vAlign w:val="bottom"/>
            <w:tcBorders>
              <w:top w:val="single" w:sz="8" w:color="0000FF"/>
            </w:tcBorders>
            <w:gridSpan w:val="12"/>
          </w:tcPr>
          <w:p>
            <w:pPr>
              <w:spacing w:after="0"/>
              <w:rPr>
                <w:sz w:val="15"/>
                <w:szCs w:val="15"/>
                <w:color w:val="auto"/>
              </w:rPr>
            </w:pPr>
          </w:p>
        </w:tc>
        <w:tc>
          <w:tcPr>
            <w:tcW w:w="20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10.13</w:t>
            </w:r>
          </w:p>
        </w:tc>
        <w:tc>
          <w:tcPr>
            <w:tcW w:w="4140" w:type="dxa"/>
            <w:vAlign w:val="bottom"/>
            <w:gridSpan w:val="31"/>
          </w:tcPr>
          <w:p>
            <w:pPr>
              <w:spacing w:after="0"/>
              <w:rPr>
                <w:rFonts w:ascii="Arial" w:cs="Arial" w:eastAsia="Arial" w:hAnsi="Arial"/>
                <w:sz w:val="18"/>
                <w:szCs w:val="18"/>
                <w:color w:val="0000FF"/>
              </w:rPr>
            </w:pPr>
            <w:hyperlink r:id="rId201">
              <w:r>
                <w:rPr>
                  <w:rFonts w:ascii="Arial" w:cs="Arial" w:eastAsia="Arial" w:hAnsi="Arial"/>
                  <w:sz w:val="18"/>
                  <w:szCs w:val="18"/>
                  <w:color w:val="0000FF"/>
                </w:rPr>
                <w:t>Amendment No. 1 to Amended and Restated</w:t>
              </w:r>
            </w:hyperlink>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520" w:type="dxa"/>
            <w:vAlign w:val="bottom"/>
            <w:gridSpan w:val="14"/>
            <w:vMerge w:val="restart"/>
          </w:tcPr>
          <w:p>
            <w:pPr>
              <w:jc w:val="center"/>
              <w:ind w:right="340"/>
              <w:spacing w:after="0" w:line="202" w:lineRule="exact"/>
              <w:rPr>
                <w:rFonts w:ascii="Arial" w:cs="Arial" w:eastAsia="Arial" w:hAnsi="Arial"/>
                <w:sz w:val="18"/>
                <w:szCs w:val="18"/>
                <w:color w:val="0000FF"/>
                <w:w w:val="94"/>
              </w:rPr>
            </w:pPr>
            <w:hyperlink r:id="rId201">
              <w:r>
                <w:rPr>
                  <w:rFonts w:ascii="Arial" w:cs="Arial" w:eastAsia="Arial" w:hAnsi="Arial"/>
                  <w:sz w:val="18"/>
                  <w:szCs w:val="18"/>
                  <w:color w:val="0000FF"/>
                  <w:w w:val="94"/>
                </w:rPr>
                <w:t>by</w:t>
              </w:r>
            </w:hyperlink>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3620" w:type="dxa"/>
            <w:vAlign w:val="bottom"/>
            <w:gridSpan w:val="17"/>
          </w:tcPr>
          <w:p>
            <w:pPr>
              <w:spacing w:after="0" w:line="182" w:lineRule="exact"/>
              <w:rPr>
                <w:rFonts w:ascii="Arial" w:cs="Arial" w:eastAsia="Arial" w:hAnsi="Arial"/>
                <w:sz w:val="18"/>
                <w:szCs w:val="18"/>
                <w:color w:val="0000FF"/>
              </w:rPr>
            </w:pPr>
            <w:hyperlink r:id="rId201">
              <w:r>
                <w:rPr>
                  <w:rFonts w:ascii="Arial" w:cs="Arial" w:eastAsia="Arial" w:hAnsi="Arial"/>
                  <w:sz w:val="18"/>
                  <w:szCs w:val="18"/>
                  <w:color w:val="0000FF"/>
                </w:rPr>
                <w:t>Clinical Collaboration and Supply Agreement</w:t>
              </w:r>
            </w:hyperlink>
          </w:p>
        </w:tc>
        <w:tc>
          <w:tcPr>
            <w:tcW w:w="520" w:type="dxa"/>
            <w:vAlign w:val="bottom"/>
            <w:gridSpan w:val="14"/>
            <w:vMerge w:val="continue"/>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86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5"/>
              </w:rPr>
            </w:pPr>
            <w:hyperlink r:id="rId201">
              <w:r>
                <w:rPr>
                  <w:rFonts w:ascii="Arial" w:cs="Arial" w:eastAsia="Arial" w:hAnsi="Arial"/>
                  <w:sz w:val="18"/>
                  <w:szCs w:val="18"/>
                  <w:color w:val="0000FF"/>
                  <w:w w:val="95"/>
                </w:rPr>
                <w:t>and between the Registrant and Novartis Institutes</w:t>
              </w:r>
            </w:hyperlink>
          </w:p>
        </w:tc>
        <w:tc>
          <w:tcPr>
            <w:tcW w:w="240" w:type="dxa"/>
            <w:vAlign w:val="bottom"/>
            <w:tcBorders>
              <w:bottom w:val="single" w:sz="8" w:color="0000FF"/>
            </w:tcBorders>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4100" w:type="dxa"/>
            <w:vAlign w:val="bottom"/>
            <w:gridSpan w:val="29"/>
          </w:tcPr>
          <w:p>
            <w:pPr>
              <w:spacing w:after="0" w:line="182" w:lineRule="exact"/>
              <w:rPr>
                <w:rFonts w:ascii="Arial" w:cs="Arial" w:eastAsia="Arial" w:hAnsi="Arial"/>
                <w:sz w:val="18"/>
                <w:szCs w:val="18"/>
                <w:color w:val="0000FF"/>
              </w:rPr>
            </w:pPr>
            <w:hyperlink r:id="rId201">
              <w:r>
                <w:rPr>
                  <w:rFonts w:ascii="Arial" w:cs="Arial" w:eastAsia="Arial" w:hAnsi="Arial"/>
                  <w:sz w:val="18"/>
                  <w:szCs w:val="18"/>
                  <w:color w:val="0000FF"/>
                </w:rPr>
                <w:t>for BioMedical Research, Inc., dated October 9,</w:t>
              </w:r>
            </w:hyperlink>
          </w:p>
        </w:tc>
        <w:tc>
          <w:tcPr>
            <w:tcW w:w="40" w:type="dxa"/>
            <w:vAlign w:val="bottom"/>
            <w:gridSpan w:val="2"/>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10/10/2023</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44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3"/>
              </w:rPr>
            </w:pPr>
            <w:hyperlink r:id="rId201">
              <w:r>
                <w:rPr>
                  <w:rFonts w:ascii="Arial" w:cs="Arial" w:eastAsia="Arial" w:hAnsi="Arial"/>
                  <w:sz w:val="18"/>
                  <w:szCs w:val="18"/>
                  <w:color w:val="0000FF"/>
                  <w:w w:val="93"/>
                </w:rPr>
                <w:t>2023.</w:t>
              </w:r>
            </w:hyperlink>
          </w:p>
        </w:tc>
        <w:tc>
          <w:tcPr>
            <w:tcW w:w="20" w:type="dxa"/>
            <w:vAlign w:val="bottom"/>
            <w:tcBorders>
              <w:top w:val="single" w:sz="8" w:color="0000FF"/>
              <w:bottom w:val="single" w:sz="8" w:color="0000EE"/>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1200" w:type="dxa"/>
            <w:vAlign w:val="bottom"/>
          </w:tcPr>
          <w:p>
            <w:pPr>
              <w:ind w:left="20"/>
              <w:spacing w:after="0"/>
              <w:rPr>
                <w:sz w:val="20"/>
                <w:szCs w:val="20"/>
                <w:color w:val="auto"/>
              </w:rPr>
            </w:pPr>
            <w:r>
              <w:rPr>
                <w:rFonts w:ascii="Arial" w:cs="Arial" w:eastAsia="Arial" w:hAnsi="Arial"/>
                <w:sz w:val="18"/>
                <w:szCs w:val="18"/>
                <w:color w:val="auto"/>
              </w:rPr>
              <w:t>10.14#</w:t>
            </w:r>
          </w:p>
        </w:tc>
        <w:tc>
          <w:tcPr>
            <w:tcW w:w="4140" w:type="dxa"/>
            <w:vAlign w:val="bottom"/>
            <w:gridSpan w:val="31"/>
          </w:tcPr>
          <w:p>
            <w:pPr>
              <w:spacing w:after="0"/>
              <w:rPr>
                <w:rFonts w:ascii="Arial" w:cs="Arial" w:eastAsia="Arial" w:hAnsi="Arial"/>
                <w:sz w:val="18"/>
                <w:szCs w:val="18"/>
                <w:color w:val="0000FF"/>
              </w:rPr>
            </w:pPr>
            <w:hyperlink r:id="rId202">
              <w:r>
                <w:rPr>
                  <w:rFonts w:ascii="Arial" w:cs="Arial" w:eastAsia="Arial" w:hAnsi="Arial"/>
                  <w:sz w:val="18"/>
                  <w:szCs w:val="18"/>
                  <w:color w:val="0000FF"/>
                </w:rPr>
                <w:t>Olema Pharmaceuticals, Inc. 2022 Inducement</w:t>
              </w:r>
            </w:hyperlink>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7"/>
              </w:rPr>
              <w:t>10.17</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2/28/2022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78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202">
              <w:r>
                <w:rPr>
                  <w:rFonts w:ascii="Arial" w:cs="Arial" w:eastAsia="Arial" w:hAnsi="Arial"/>
                  <w:sz w:val="18"/>
                  <w:szCs w:val="18"/>
                  <w:color w:val="0000FF"/>
                </w:rPr>
                <w:t>Plan</w:t>
              </w:r>
              <w:r>
                <w:rPr>
                  <w:rFonts w:ascii="Arial" w:cs="Arial" w:eastAsia="Arial" w:hAnsi="Arial"/>
                  <w:sz w:val="18"/>
                  <w:szCs w:val="18"/>
                  <w:color w:val="000000"/>
                </w:rPr>
                <w:t>.</w:t>
              </w:r>
            </w:hyperlink>
          </w:p>
        </w:tc>
        <w:tc>
          <w:tcPr>
            <w:tcW w:w="360" w:type="dxa"/>
            <w:vAlign w:val="bottom"/>
            <w:gridSpan w:val="12"/>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4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1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10.15#</w:t>
            </w:r>
          </w:p>
        </w:tc>
        <w:tc>
          <w:tcPr>
            <w:tcW w:w="4140" w:type="dxa"/>
            <w:vAlign w:val="bottom"/>
            <w:gridSpan w:val="31"/>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Form of Stock Option Agreement and Option Grant</w:t>
              </w:r>
            </w:hyperlink>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7"/>
              </w:rPr>
              <w:t>10.18</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2/28/2022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276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8"/>
              </w:rPr>
            </w:pPr>
            <w:hyperlink r:id="rId203">
              <w:r>
                <w:rPr>
                  <w:rFonts w:ascii="Arial" w:cs="Arial" w:eastAsia="Arial" w:hAnsi="Arial"/>
                  <w:sz w:val="18"/>
                  <w:szCs w:val="18"/>
                  <w:color w:val="0000FF"/>
                  <w:w w:val="98"/>
                </w:rPr>
                <w:t>Notice under the Inducement Plan.</w:t>
              </w:r>
            </w:hyperlink>
          </w:p>
        </w:tc>
        <w:tc>
          <w:tcPr>
            <w:tcW w:w="20" w:type="dxa"/>
            <w:vAlign w:val="bottom"/>
            <w:tcBorders>
              <w:top w:val="single" w:sz="8" w:color="0000FF"/>
              <w:bottom w:val="single" w:sz="8" w:color="0000EE"/>
            </w:tcBorders>
          </w:tcPr>
          <w:p>
            <w:pPr>
              <w:spacing w:after="0"/>
              <w:rPr>
                <w:sz w:val="15"/>
                <w:szCs w:val="15"/>
                <w:color w:val="auto"/>
              </w:rPr>
            </w:pPr>
          </w:p>
        </w:tc>
        <w:tc>
          <w:tcPr>
            <w:tcW w:w="134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2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18"/>
            <w:vMerge w:val="restart"/>
          </w:tcPr>
          <w:p>
            <w:pPr>
              <w:jc w:val="center"/>
              <w:ind w:right="1580"/>
              <w:spacing w:after="0"/>
              <w:rPr>
                <w:sz w:val="20"/>
                <w:szCs w:val="20"/>
                <w:color w:val="auto"/>
              </w:rPr>
            </w:pPr>
            <w:r>
              <w:rPr>
                <w:rFonts w:ascii="Arial" w:cs="Arial" w:eastAsia="Arial" w:hAnsi="Arial"/>
                <w:sz w:val="18"/>
                <w:szCs w:val="18"/>
                <w:b w:val="1"/>
                <w:bCs w:val="1"/>
                <w:color w:val="auto"/>
                <w:w w:val="99"/>
              </w:rPr>
              <w:t>Exhibit</w:t>
            </w:r>
          </w:p>
        </w:tc>
        <w:tc>
          <w:tcPr>
            <w:tcW w:w="10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9"/>
              </w:rPr>
              <w:t>Incorporation by Reference</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18"/>
            <w:vMerge w:val="continue"/>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Filing</w:t>
            </w:r>
          </w:p>
        </w:tc>
        <w:tc>
          <w:tcPr>
            <w:tcW w:w="1140" w:type="dxa"/>
            <w:vAlign w:val="bottom"/>
          </w:tcPr>
          <w:p>
            <w:pPr>
              <w:jc w:val="center"/>
              <w:ind w:left="30"/>
              <w:spacing w:after="0" w:line="191"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35"/>
        </w:trPr>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18"/>
          </w:tcPr>
          <w:p>
            <w:pPr>
              <w:jc w:val="center"/>
              <w:ind w:right="1560"/>
              <w:spacing w:after="0"/>
              <w:rPr>
                <w:sz w:val="20"/>
                <w:szCs w:val="20"/>
                <w:color w:val="auto"/>
              </w:rPr>
            </w:pPr>
            <w:r>
              <w:rPr>
                <w:rFonts w:ascii="Arial" w:cs="Arial" w:eastAsia="Arial" w:hAnsi="Arial"/>
                <w:sz w:val="18"/>
                <w:szCs w:val="18"/>
                <w:b w:val="1"/>
                <w:bCs w:val="1"/>
                <w:color w:val="auto"/>
                <w:w w:val="98"/>
              </w:rPr>
              <w:t>Description</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File No.</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11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385"/>
        </w:trPr>
        <w:tc>
          <w:tcPr>
            <w:tcW w:w="1200" w:type="dxa"/>
            <w:vAlign w:val="bottom"/>
          </w:tcPr>
          <w:p>
            <w:pPr>
              <w:ind w:left="20"/>
              <w:spacing w:after="0"/>
              <w:rPr>
                <w:sz w:val="20"/>
                <w:szCs w:val="20"/>
                <w:color w:val="auto"/>
              </w:rPr>
            </w:pPr>
            <w:r>
              <w:rPr>
                <w:rFonts w:ascii="Arial" w:cs="Arial" w:eastAsia="Arial" w:hAnsi="Arial"/>
                <w:sz w:val="18"/>
                <w:szCs w:val="18"/>
                <w:color w:val="auto"/>
              </w:rPr>
              <w:t>10.16#</w:t>
            </w:r>
          </w:p>
        </w:tc>
        <w:tc>
          <w:tcPr>
            <w:tcW w:w="4100" w:type="dxa"/>
            <w:vAlign w:val="bottom"/>
            <w:gridSpan w:val="27"/>
          </w:tcPr>
          <w:p>
            <w:pPr>
              <w:spacing w:after="0"/>
              <w:rPr>
                <w:rFonts w:ascii="Arial" w:cs="Arial" w:eastAsia="Arial" w:hAnsi="Arial"/>
                <w:sz w:val="18"/>
                <w:szCs w:val="18"/>
                <w:color w:val="0000FF"/>
              </w:rPr>
            </w:pPr>
            <w:hyperlink r:id="rId205">
              <w:r>
                <w:rPr>
                  <w:rFonts w:ascii="Arial" w:cs="Arial" w:eastAsia="Arial" w:hAnsi="Arial"/>
                  <w:sz w:val="18"/>
                  <w:szCs w:val="18"/>
                  <w:color w:val="0000FF"/>
                </w:rPr>
                <w:t>Offer Letter by and between the Registrant and</w:t>
              </w:r>
            </w:hyperlink>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7"/>
              </w:rPr>
              <w:t>10.19</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2/28/2022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60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Naseem Zojwalla, dated December 15, 2021.</w:t>
              </w:r>
            </w:hyperlink>
          </w:p>
        </w:tc>
        <w:tc>
          <w:tcPr>
            <w:tcW w:w="180" w:type="dxa"/>
            <w:vAlign w:val="bottom"/>
            <w:tcBorders>
              <w:top w:val="single" w:sz="8" w:color="0000FF"/>
            </w:tcBorders>
            <w:gridSpan w:val="5"/>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1200" w:type="dxa"/>
            <w:vAlign w:val="bottom"/>
          </w:tcPr>
          <w:p>
            <w:pPr>
              <w:ind w:left="20"/>
              <w:spacing w:after="0"/>
              <w:rPr>
                <w:sz w:val="20"/>
                <w:szCs w:val="20"/>
                <w:color w:val="auto"/>
              </w:rPr>
            </w:pPr>
            <w:r>
              <w:rPr>
                <w:rFonts w:ascii="Arial" w:cs="Arial" w:eastAsia="Arial" w:hAnsi="Arial"/>
                <w:sz w:val="18"/>
                <w:szCs w:val="18"/>
                <w:color w:val="auto"/>
              </w:rPr>
              <w:t>10.17¥</w:t>
            </w:r>
          </w:p>
        </w:tc>
        <w:tc>
          <w:tcPr>
            <w:tcW w:w="4100" w:type="dxa"/>
            <w:vAlign w:val="bottom"/>
            <w:gridSpan w:val="27"/>
          </w:tcPr>
          <w:p>
            <w:pPr>
              <w:spacing w:after="0"/>
              <w:rPr>
                <w:rFonts w:ascii="Arial" w:cs="Arial" w:eastAsia="Arial" w:hAnsi="Arial"/>
                <w:sz w:val="18"/>
                <w:szCs w:val="18"/>
                <w:color w:val="0000FF"/>
              </w:rPr>
            </w:pPr>
            <w:hyperlink r:id="rId206">
              <w:r>
                <w:rPr>
                  <w:rFonts w:ascii="Arial" w:cs="Arial" w:eastAsia="Arial" w:hAnsi="Arial"/>
                  <w:sz w:val="18"/>
                  <w:szCs w:val="18"/>
                  <w:color w:val="0000FF"/>
                </w:rPr>
                <w:t>Drug Discovery Collaboration and License</w:t>
              </w:r>
            </w:hyperlink>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06">
              <w:r>
                <w:rPr>
                  <w:rFonts w:ascii="Arial" w:cs="Arial" w:eastAsia="Arial" w:hAnsi="Arial"/>
                  <w:sz w:val="18"/>
                  <w:szCs w:val="18"/>
                  <w:color w:val="0000FF"/>
                </w:rPr>
                <w:t>Agreement by and between the Registrant</w:t>
              </w:r>
            </w:hyperlink>
          </w:p>
        </w:tc>
        <w:tc>
          <w:tcPr>
            <w:tcW w:w="680" w:type="dxa"/>
            <w:vAlign w:val="bottom"/>
            <w:gridSpan w:val="15"/>
          </w:tcPr>
          <w:p>
            <w:pPr>
              <w:spacing w:after="0" w:line="182" w:lineRule="exact"/>
              <w:rPr>
                <w:rFonts w:ascii="Arial" w:cs="Arial" w:eastAsia="Arial" w:hAnsi="Arial"/>
                <w:sz w:val="18"/>
                <w:szCs w:val="18"/>
                <w:color w:val="0000FF"/>
              </w:rPr>
            </w:pPr>
            <w:hyperlink r:id="rId206">
              <w:r>
                <w:rPr>
                  <w:rFonts w:ascii="Arial" w:cs="Arial" w:eastAsia="Arial" w:hAnsi="Arial"/>
                  <w:sz w:val="18"/>
                  <w:szCs w:val="18"/>
                  <w:color w:val="0000FF"/>
                </w:rPr>
                <w:t>and</w:t>
              </w:r>
            </w:hyperlink>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76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6"/>
              </w:rPr>
            </w:pPr>
            <w:hyperlink r:id="rId206">
              <w:r>
                <w:rPr>
                  <w:rFonts w:ascii="Arial" w:cs="Arial" w:eastAsia="Arial" w:hAnsi="Arial"/>
                  <w:sz w:val="18"/>
                  <w:szCs w:val="18"/>
                  <w:color w:val="0000FF"/>
                  <w:w w:val="96"/>
                </w:rPr>
                <w:t>Aurigene Discovery Technologies Limited, dated</w:t>
              </w:r>
            </w:hyperlink>
          </w:p>
        </w:tc>
        <w:tc>
          <w:tcPr>
            <w:tcW w:w="60" w:type="dxa"/>
            <w:vAlign w:val="bottom"/>
            <w:tcBorders>
              <w:bottom w:val="single" w:sz="8" w:color="0000FF"/>
            </w:tcBorders>
            <w:gridSpan w:val="2"/>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8/9/2022</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080" w:type="dxa"/>
            <w:vAlign w:val="bottom"/>
            <w:tcBorders>
              <w:bottom w:val="single" w:sz="8" w:color="0000FF"/>
            </w:tcBorders>
            <w:gridSpan w:val="5"/>
          </w:tcPr>
          <w:p>
            <w:pPr>
              <w:spacing w:after="0" w:line="182" w:lineRule="exact"/>
              <w:rPr>
                <w:rFonts w:ascii="Arial" w:cs="Arial" w:eastAsia="Arial" w:hAnsi="Arial"/>
                <w:sz w:val="18"/>
                <w:szCs w:val="18"/>
                <w:color w:val="0000FF"/>
                <w:w w:val="97"/>
              </w:rPr>
            </w:pPr>
            <w:hyperlink r:id="rId206">
              <w:r>
                <w:rPr>
                  <w:rFonts w:ascii="Arial" w:cs="Arial" w:eastAsia="Arial" w:hAnsi="Arial"/>
                  <w:sz w:val="18"/>
                  <w:szCs w:val="18"/>
                  <w:color w:val="0000FF"/>
                  <w:w w:val="97"/>
                </w:rPr>
                <w:t>June 7, 2022.</w:t>
              </w:r>
            </w:hyperlink>
          </w:p>
        </w:tc>
        <w:tc>
          <w:tcPr>
            <w:tcW w:w="20" w:type="dxa"/>
            <w:vAlign w:val="bottom"/>
            <w:tcBorders>
              <w:bottom w:val="single" w:sz="8" w:color="0000EE"/>
            </w:tcBorders>
          </w:tcPr>
          <w:p>
            <w:pPr>
              <w:spacing w:after="0"/>
              <w:rPr>
                <w:sz w:val="15"/>
                <w:szCs w:val="15"/>
                <w:color w:val="auto"/>
              </w:rPr>
            </w:pPr>
          </w:p>
        </w:tc>
        <w:tc>
          <w:tcPr>
            <w:tcW w:w="2780" w:type="dxa"/>
            <w:vAlign w:val="bottom"/>
            <w:gridSpan w:val="17"/>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10.18#</w:t>
            </w:r>
          </w:p>
        </w:tc>
        <w:tc>
          <w:tcPr>
            <w:tcW w:w="4100" w:type="dxa"/>
            <w:vAlign w:val="bottom"/>
            <w:gridSpan w:val="27"/>
          </w:tcPr>
          <w:p>
            <w:pPr>
              <w:spacing w:after="0"/>
              <w:rPr>
                <w:rFonts w:ascii="Arial" w:cs="Arial" w:eastAsia="Arial" w:hAnsi="Arial"/>
                <w:sz w:val="18"/>
                <w:szCs w:val="18"/>
                <w:color w:val="0000FF"/>
              </w:rPr>
            </w:pPr>
            <w:hyperlink r:id="rId207">
              <w:r>
                <w:rPr>
                  <w:rFonts w:ascii="Arial" w:cs="Arial" w:eastAsia="Arial" w:hAnsi="Arial"/>
                  <w:sz w:val="18"/>
                  <w:szCs w:val="18"/>
                  <w:color w:val="0000FF"/>
                </w:rPr>
                <w:t>Separation Agreement by and between the</w:t>
              </w:r>
            </w:hyperlink>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8"/>
              </w:rPr>
            </w:pPr>
            <w:hyperlink r:id="rId207">
              <w:r>
                <w:rPr>
                  <w:rFonts w:ascii="Arial" w:cs="Arial" w:eastAsia="Arial" w:hAnsi="Arial"/>
                  <w:sz w:val="18"/>
                  <w:szCs w:val="18"/>
                  <w:color w:val="0000FF"/>
                  <w:w w:val="98"/>
                </w:rPr>
                <w:t>Registrant and Cyrus Harmon, dated March</w:t>
              </w:r>
            </w:hyperlink>
          </w:p>
        </w:tc>
        <w:tc>
          <w:tcPr>
            <w:tcW w:w="360" w:type="dxa"/>
            <w:vAlign w:val="bottom"/>
            <w:tcBorders>
              <w:bottom w:val="single" w:sz="8" w:color="0000FF"/>
            </w:tcBorders>
            <w:gridSpan w:val="9"/>
          </w:tcPr>
          <w:p>
            <w:pPr>
              <w:jc w:val="right"/>
              <w:ind w:right="60"/>
              <w:spacing w:after="0" w:line="182" w:lineRule="exact"/>
              <w:rPr>
                <w:rFonts w:ascii="Arial" w:cs="Arial" w:eastAsia="Arial" w:hAnsi="Arial"/>
                <w:sz w:val="18"/>
                <w:szCs w:val="18"/>
                <w:color w:val="0000FF"/>
              </w:rPr>
            </w:pPr>
            <w:hyperlink r:id="rId207">
              <w:r>
                <w:rPr>
                  <w:rFonts w:ascii="Arial" w:cs="Arial" w:eastAsia="Arial" w:hAnsi="Arial"/>
                  <w:sz w:val="18"/>
                  <w:szCs w:val="18"/>
                  <w:color w:val="0000FF"/>
                </w:rPr>
                <w:t>21,</w:t>
              </w:r>
            </w:hyperlink>
          </w:p>
        </w:tc>
        <w:tc>
          <w:tcPr>
            <w:tcW w:w="1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10.2</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5/9/2023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440" w:type="dxa"/>
            <w:vAlign w:val="bottom"/>
            <w:tcBorders>
              <w:bottom w:val="single" w:sz="8" w:color="0000FF"/>
            </w:tcBorders>
          </w:tcPr>
          <w:p>
            <w:pPr>
              <w:spacing w:after="0" w:line="182" w:lineRule="exact"/>
              <w:rPr>
                <w:rFonts w:ascii="Arial" w:cs="Arial" w:eastAsia="Arial" w:hAnsi="Arial"/>
                <w:sz w:val="18"/>
                <w:szCs w:val="18"/>
                <w:color w:val="0000FF"/>
                <w:w w:val="93"/>
              </w:rPr>
            </w:pPr>
            <w:hyperlink r:id="rId207">
              <w:r>
                <w:rPr>
                  <w:rFonts w:ascii="Arial" w:cs="Arial" w:eastAsia="Arial" w:hAnsi="Arial"/>
                  <w:sz w:val="18"/>
                  <w:szCs w:val="18"/>
                  <w:color w:val="0000FF"/>
                  <w:w w:val="93"/>
                </w:rPr>
                <w:t>2023.</w:t>
              </w:r>
            </w:hyperlink>
          </w:p>
        </w:tc>
        <w:tc>
          <w:tcPr>
            <w:tcW w:w="20" w:type="dxa"/>
            <w:vAlign w:val="bottom"/>
            <w:tcBorders>
              <w:bottom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10.19#</w:t>
            </w:r>
          </w:p>
        </w:tc>
        <w:tc>
          <w:tcPr>
            <w:tcW w:w="4100" w:type="dxa"/>
            <w:vAlign w:val="bottom"/>
            <w:gridSpan w:val="27"/>
          </w:tcPr>
          <w:p>
            <w:pPr>
              <w:spacing w:after="0"/>
              <w:rPr>
                <w:rFonts w:ascii="Arial" w:cs="Arial" w:eastAsia="Arial" w:hAnsi="Arial"/>
                <w:sz w:val="18"/>
                <w:szCs w:val="18"/>
                <w:color w:val="0000FF"/>
              </w:rPr>
            </w:pPr>
            <w:hyperlink r:id="rId208">
              <w:r>
                <w:rPr>
                  <w:rFonts w:ascii="Arial" w:cs="Arial" w:eastAsia="Arial" w:hAnsi="Arial"/>
                  <w:sz w:val="18"/>
                  <w:szCs w:val="18"/>
                  <w:color w:val="0000FF"/>
                </w:rPr>
                <w:t>Separation Agreement by and between the</w:t>
              </w:r>
            </w:hyperlink>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10.3</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5/9/2023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4000" w:type="dxa"/>
            <w:vAlign w:val="bottom"/>
            <w:tcBorders>
              <w:bottom w:val="single" w:sz="8" w:color="0000FF"/>
            </w:tcBorders>
            <w:gridSpan w:val="24"/>
          </w:tcPr>
          <w:p>
            <w:pPr>
              <w:spacing w:after="0" w:line="182"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Registrant and Kinney Horn, dated March 8, 2023.</w:t>
              </w:r>
            </w:hyperlink>
          </w:p>
        </w:tc>
        <w:tc>
          <w:tcPr>
            <w:tcW w:w="100" w:type="dxa"/>
            <w:vAlign w:val="bottom"/>
            <w:gridSpan w:val="3"/>
          </w:tcPr>
          <w:p>
            <w:pPr>
              <w:spacing w:after="0"/>
              <w:rPr>
                <w:sz w:val="15"/>
                <w:szCs w:val="15"/>
                <w:color w:val="auto"/>
              </w:rPr>
            </w:pPr>
          </w:p>
        </w:tc>
        <w:tc>
          <w:tcPr>
            <w:tcW w:w="10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10.20</w:t>
            </w:r>
          </w:p>
        </w:tc>
        <w:tc>
          <w:tcPr>
            <w:tcW w:w="4100" w:type="dxa"/>
            <w:vAlign w:val="bottom"/>
            <w:gridSpan w:val="27"/>
          </w:tcPr>
          <w:p>
            <w:pPr>
              <w:spacing w:after="0"/>
              <w:rPr>
                <w:rFonts w:ascii="Arial" w:cs="Arial" w:eastAsia="Arial" w:hAnsi="Arial"/>
                <w:sz w:val="18"/>
                <w:szCs w:val="18"/>
                <w:color w:val="0000FF"/>
              </w:rPr>
            </w:pPr>
            <w:hyperlink r:id="rId209">
              <w:r>
                <w:rPr>
                  <w:rFonts w:ascii="Arial" w:cs="Arial" w:eastAsia="Arial" w:hAnsi="Arial"/>
                  <w:sz w:val="18"/>
                  <w:szCs w:val="18"/>
                  <w:color w:val="0000FF"/>
                </w:rPr>
                <w:t>Stock Purchase Agreement by and among the</w:t>
              </w:r>
            </w:hyperlink>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72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rPr>
            </w:pPr>
            <w:hyperlink r:id="rId209">
              <w:r>
                <w:rPr>
                  <w:rFonts w:ascii="Arial" w:cs="Arial" w:eastAsia="Arial" w:hAnsi="Arial"/>
                  <w:sz w:val="18"/>
                  <w:szCs w:val="18"/>
                  <w:color w:val="0000FF"/>
                </w:rPr>
                <w:t>Registrant and the Purchasers named therein,</w:t>
              </w:r>
            </w:hyperlink>
          </w:p>
        </w:tc>
        <w:tc>
          <w:tcPr>
            <w:tcW w:w="100" w:type="dxa"/>
            <w:vAlign w:val="bottom"/>
            <w:gridSpan w:val="3"/>
          </w:tcPr>
          <w:p>
            <w:pPr>
              <w:spacing w:after="0"/>
              <w:rPr>
                <w:sz w:val="15"/>
                <w:szCs w:val="15"/>
                <w:color w:val="auto"/>
              </w:rPr>
            </w:pPr>
          </w:p>
        </w:tc>
        <w:tc>
          <w:tcPr>
            <w:tcW w:w="1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9/5/2023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720" w:type="dxa"/>
            <w:vAlign w:val="bottom"/>
            <w:gridSpan w:val="19"/>
          </w:tcPr>
          <w:p>
            <w:pPr>
              <w:spacing w:after="0" w:line="182" w:lineRule="exact"/>
              <w:rPr>
                <w:rFonts w:ascii="Arial" w:cs="Arial" w:eastAsia="Arial" w:hAnsi="Arial"/>
                <w:sz w:val="18"/>
                <w:szCs w:val="18"/>
                <w:color w:val="0000FF"/>
              </w:rPr>
            </w:pPr>
            <w:hyperlink r:id="rId209">
              <w:r>
                <w:rPr>
                  <w:rFonts w:ascii="Arial" w:cs="Arial" w:eastAsia="Arial" w:hAnsi="Arial"/>
                  <w:sz w:val="18"/>
                  <w:szCs w:val="18"/>
                  <w:color w:val="0000FF"/>
                </w:rPr>
                <w:t>dated September 5, 2023</w:t>
              </w:r>
              <w:r>
                <w:rPr>
                  <w:rFonts w:ascii="Arial" w:cs="Arial" w:eastAsia="Arial" w:hAnsi="Arial"/>
                  <w:sz w:val="18"/>
                  <w:szCs w:val="18"/>
                  <w:color w:val="000000"/>
                </w:rPr>
                <w:t>.</w:t>
              </w:r>
            </w:hyperlink>
          </w:p>
        </w:tc>
        <w:tc>
          <w:tcPr>
            <w:tcW w:w="100" w:type="dxa"/>
            <w:vAlign w:val="bottom"/>
            <w:gridSpan w:val="3"/>
          </w:tcPr>
          <w:p>
            <w:pPr>
              <w:spacing w:after="0"/>
              <w:rPr>
                <w:sz w:val="15"/>
                <w:szCs w:val="15"/>
                <w:color w:val="auto"/>
              </w:rPr>
            </w:pPr>
          </w:p>
        </w:tc>
        <w:tc>
          <w:tcPr>
            <w:tcW w:w="1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10.21</w:t>
            </w:r>
          </w:p>
        </w:tc>
        <w:tc>
          <w:tcPr>
            <w:tcW w:w="4100" w:type="dxa"/>
            <w:vAlign w:val="bottom"/>
            <w:gridSpan w:val="27"/>
          </w:tcPr>
          <w:p>
            <w:pPr>
              <w:spacing w:after="0"/>
              <w:rPr>
                <w:rFonts w:ascii="Arial" w:cs="Arial" w:eastAsia="Arial" w:hAnsi="Arial"/>
                <w:sz w:val="18"/>
                <w:szCs w:val="18"/>
                <w:color w:val="0000FF"/>
              </w:rPr>
            </w:pPr>
            <w:hyperlink r:id="rId210">
              <w:r>
                <w:rPr>
                  <w:rFonts w:ascii="Arial" w:cs="Arial" w:eastAsia="Arial" w:hAnsi="Arial"/>
                  <w:sz w:val="18"/>
                  <w:szCs w:val="18"/>
                  <w:color w:val="0000FF"/>
                </w:rPr>
                <w:t>Loan and Security Agreement by and between the</w:t>
              </w:r>
            </w:hyperlink>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404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210">
              <w:r>
                <w:rPr>
                  <w:rFonts w:ascii="Arial" w:cs="Arial" w:eastAsia="Arial" w:hAnsi="Arial"/>
                  <w:sz w:val="18"/>
                  <w:szCs w:val="18"/>
                  <w:color w:val="0000FF"/>
                </w:rPr>
                <w:t>Registrant and Silicon Valley Bank, a division of</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38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210">
              <w:r>
                <w:rPr>
                  <w:rFonts w:ascii="Arial" w:cs="Arial" w:eastAsia="Arial" w:hAnsi="Arial"/>
                  <w:sz w:val="18"/>
                  <w:szCs w:val="18"/>
                  <w:color w:val="0000FF"/>
                </w:rPr>
                <w:t>First-Citizens Bank &amp; Trust Company, dated</w:t>
              </w:r>
            </w:hyperlink>
          </w:p>
        </w:tc>
        <w:tc>
          <w:tcPr>
            <w:tcW w:w="18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10.2</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9/5/2023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5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10">
              <w:r>
                <w:rPr>
                  <w:rFonts w:ascii="Arial" w:cs="Arial" w:eastAsia="Arial" w:hAnsi="Arial"/>
                  <w:sz w:val="18"/>
                  <w:szCs w:val="18"/>
                  <w:color w:val="0000FF"/>
                </w:rPr>
                <w:t>September 5, 2023</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6"/>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200" w:type="dxa"/>
            <w:vAlign w:val="bottom"/>
          </w:tcPr>
          <w:p>
            <w:pPr>
              <w:ind w:left="20"/>
              <w:spacing w:after="0"/>
              <w:rPr>
                <w:sz w:val="20"/>
                <w:szCs w:val="20"/>
                <w:color w:val="auto"/>
              </w:rPr>
            </w:pPr>
            <w:r>
              <w:rPr>
                <w:rFonts w:ascii="Arial" w:cs="Arial" w:eastAsia="Arial" w:hAnsi="Arial"/>
                <w:sz w:val="18"/>
                <w:szCs w:val="18"/>
                <w:color w:val="auto"/>
              </w:rPr>
              <w:t>21.1</w:t>
            </w:r>
          </w:p>
        </w:tc>
        <w:tc>
          <w:tcPr>
            <w:tcW w:w="4100" w:type="dxa"/>
            <w:vAlign w:val="bottom"/>
            <w:gridSpan w:val="27"/>
          </w:tcPr>
          <w:p>
            <w:pPr>
              <w:spacing w:after="0"/>
              <w:rPr>
                <w:sz w:val="20"/>
                <w:szCs w:val="20"/>
                <w:color w:val="auto"/>
              </w:rPr>
            </w:pPr>
            <w:r>
              <w:rPr>
                <w:rFonts w:ascii="Arial" w:cs="Arial" w:eastAsia="Arial" w:hAnsi="Arial"/>
                <w:sz w:val="18"/>
                <w:szCs w:val="18"/>
                <w:color w:val="0000FF"/>
              </w:rPr>
              <w:t>Subsidiaries of the Registrant as of December 31,</w:t>
            </w: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vMerge w:val="restart"/>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4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3"/>
              </w:rPr>
              <w:t>2023.</w:t>
            </w:r>
          </w:p>
        </w:tc>
        <w:tc>
          <w:tcPr>
            <w:tcW w:w="20" w:type="dxa"/>
            <w:vAlign w:val="bottom"/>
            <w:tcBorders>
              <w:top w:val="single" w:sz="8" w:color="0000FF"/>
              <w:bottom w:val="single" w:sz="8" w:color="0000EE"/>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23.1</w:t>
            </w:r>
          </w:p>
        </w:tc>
        <w:tc>
          <w:tcPr>
            <w:tcW w:w="4100" w:type="dxa"/>
            <w:vAlign w:val="bottom"/>
            <w:gridSpan w:val="27"/>
          </w:tcPr>
          <w:p>
            <w:pPr>
              <w:spacing w:after="0"/>
              <w:rPr>
                <w:sz w:val="20"/>
                <w:szCs w:val="20"/>
                <w:color w:val="auto"/>
              </w:rPr>
            </w:pPr>
            <w:r>
              <w:rPr>
                <w:rFonts w:ascii="Arial" w:cs="Arial" w:eastAsia="Arial" w:hAnsi="Arial"/>
                <w:sz w:val="18"/>
                <w:szCs w:val="18"/>
                <w:color w:val="0000FF"/>
              </w:rPr>
              <w:t>Consent of Independent Registered Public</w:t>
            </w: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vMerge w:val="restart"/>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340" w:type="dxa"/>
            <w:vAlign w:val="bottom"/>
            <w:tcBorders>
              <w:top w:val="single" w:sz="8" w:color="0000FF"/>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7"/>
              </w:rPr>
              <w:t>Accounting Firm.</w:t>
            </w:r>
          </w:p>
        </w:tc>
        <w:tc>
          <w:tcPr>
            <w:tcW w:w="20" w:type="dxa"/>
            <w:vAlign w:val="bottom"/>
            <w:tcBorders>
              <w:top w:val="single" w:sz="8" w:color="0000FF"/>
              <w:bottom w:val="single" w:sz="8" w:color="0000EE"/>
            </w:tcBorders>
          </w:tcPr>
          <w:p>
            <w:pPr>
              <w:spacing w:after="0"/>
              <w:rPr>
                <w:sz w:val="15"/>
                <w:szCs w:val="15"/>
                <w:color w:val="auto"/>
              </w:rPr>
            </w:pPr>
          </w:p>
        </w:tc>
        <w:tc>
          <w:tcPr>
            <w:tcW w:w="2100" w:type="dxa"/>
            <w:vAlign w:val="bottom"/>
            <w:tcBorders>
              <w:top w:val="single" w:sz="8" w:color="0000FF"/>
            </w:tcBorders>
            <w:gridSpan w:val="5"/>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24.1</w:t>
            </w:r>
          </w:p>
        </w:tc>
        <w:tc>
          <w:tcPr>
            <w:tcW w:w="4100" w:type="dxa"/>
            <w:vAlign w:val="bottom"/>
            <w:gridSpan w:val="27"/>
          </w:tcPr>
          <w:p>
            <w:pPr>
              <w:spacing w:after="0"/>
              <w:rPr>
                <w:sz w:val="20"/>
                <w:szCs w:val="20"/>
                <w:color w:val="auto"/>
              </w:rPr>
            </w:pPr>
            <w:r>
              <w:rPr>
                <w:rFonts w:ascii="Arial" w:cs="Arial" w:eastAsia="Arial" w:hAnsi="Arial"/>
                <w:sz w:val="18"/>
                <w:szCs w:val="18"/>
                <w:color w:val="0000FF"/>
              </w:rPr>
              <w:t>Power of Attorney (included on the Signatures</w:t>
            </w: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vMerge w:val="restart"/>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70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page of this Annual Report on Form 10</w:t>
            </w:r>
            <w:r>
              <w:rPr>
                <w:rFonts w:ascii="MS PGothic" w:cs="MS PGothic" w:eastAsia="MS PGothic" w:hAnsi="MS PGothic"/>
                <w:sz w:val="18"/>
                <w:szCs w:val="18"/>
                <w:color w:val="0000FF"/>
              </w:rPr>
              <w:t>‑</w:t>
            </w:r>
            <w:r>
              <w:rPr>
                <w:rFonts w:ascii="Arial" w:cs="Arial" w:eastAsia="Arial" w:hAnsi="Arial"/>
                <w:sz w:val="18"/>
                <w:szCs w:val="18"/>
                <w:color w:val="0000FF"/>
              </w:rPr>
              <w:t>K).</w:t>
            </w:r>
          </w:p>
        </w:tc>
        <w:tc>
          <w:tcPr>
            <w:tcW w:w="3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tcBorders>
              <w:right w:val="single" w:sz="8" w:color="0000EE"/>
            </w:tcBorders>
            <w:gridSpan w:val="7"/>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31.1</w:t>
            </w:r>
          </w:p>
        </w:tc>
        <w:tc>
          <w:tcPr>
            <w:tcW w:w="4100" w:type="dxa"/>
            <w:vAlign w:val="bottom"/>
            <w:gridSpan w:val="27"/>
          </w:tcPr>
          <w:p>
            <w:pPr>
              <w:spacing w:after="0"/>
              <w:rPr>
                <w:sz w:val="20"/>
                <w:szCs w:val="20"/>
                <w:color w:val="auto"/>
              </w:rPr>
            </w:pPr>
            <w:r>
              <w:rPr>
                <w:rFonts w:ascii="Arial" w:cs="Arial" w:eastAsia="Arial" w:hAnsi="Arial"/>
                <w:sz w:val="18"/>
                <w:szCs w:val="18"/>
                <w:color w:val="0000FF"/>
              </w:rPr>
              <w:t>Certification of Principal Executive Officer Pursuant</w:t>
            </w: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4080" w:type="dxa"/>
            <w:vAlign w:val="bottom"/>
            <w:tcBorders>
              <w:top w:val="single" w:sz="8" w:color="0000FF"/>
            </w:tcBorders>
            <w:gridSpan w:val="26"/>
          </w:tcPr>
          <w:p>
            <w:pPr>
              <w:spacing w:after="0" w:line="182" w:lineRule="exact"/>
              <w:rPr>
                <w:sz w:val="20"/>
                <w:szCs w:val="20"/>
                <w:color w:val="auto"/>
              </w:rPr>
            </w:pPr>
            <w:r>
              <w:rPr>
                <w:rFonts w:ascii="Arial" w:cs="Arial" w:eastAsia="Arial" w:hAnsi="Arial"/>
                <w:sz w:val="18"/>
                <w:szCs w:val="18"/>
                <w:color w:val="0000FF"/>
              </w:rPr>
              <w:t>to Rules 13a</w:t>
            </w:r>
            <w:r>
              <w:rPr>
                <w:rFonts w:ascii="MS PGothic" w:cs="MS PGothic" w:eastAsia="MS PGothic" w:hAnsi="MS PGothic"/>
                <w:sz w:val="18"/>
                <w:szCs w:val="18"/>
                <w:color w:val="0000FF"/>
              </w:rPr>
              <w:t>‑</w:t>
            </w:r>
            <w:r>
              <w:rPr>
                <w:rFonts w:ascii="Arial" w:cs="Arial" w:eastAsia="Arial" w:hAnsi="Arial"/>
                <w:sz w:val="18"/>
                <w:szCs w:val="18"/>
                <w:color w:val="0000FF"/>
              </w:rPr>
              <w:t>14(a) and 15d</w:t>
            </w:r>
            <w:r>
              <w:rPr>
                <w:rFonts w:ascii="MS PGothic" w:cs="MS PGothic" w:eastAsia="MS PGothic" w:hAnsi="MS PGothic"/>
                <w:sz w:val="18"/>
                <w:szCs w:val="18"/>
                <w:color w:val="0000FF"/>
              </w:rPr>
              <w:t>‑</w:t>
            </w:r>
            <w:r>
              <w:rPr>
                <w:rFonts w:ascii="Arial" w:cs="Arial" w:eastAsia="Arial" w:hAnsi="Arial"/>
                <w:sz w:val="18"/>
                <w:szCs w:val="18"/>
                <w:color w:val="0000FF"/>
              </w:rPr>
              <w:t>14(a) under the</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540" w:type="dxa"/>
            <w:vAlign w:val="bottom"/>
            <w:tcBorders>
              <w:top w:val="single" w:sz="8" w:color="0000FF"/>
              <w:bottom w:val="single" w:sz="8" w:color="0000FF"/>
            </w:tcBorders>
            <w:gridSpan w:val="15"/>
          </w:tcPr>
          <w:p>
            <w:pPr>
              <w:spacing w:after="0" w:line="182" w:lineRule="exact"/>
              <w:rPr>
                <w:sz w:val="20"/>
                <w:szCs w:val="20"/>
                <w:color w:val="auto"/>
              </w:rPr>
            </w:pPr>
            <w:r>
              <w:rPr>
                <w:rFonts w:ascii="Arial" w:cs="Arial" w:eastAsia="Arial" w:hAnsi="Arial"/>
                <w:sz w:val="18"/>
                <w:szCs w:val="18"/>
                <w:color w:val="0000FF"/>
                <w:w w:val="97"/>
              </w:rPr>
              <w:t>Securities Exchange Act of 1934, as Adopted</w:t>
            </w:r>
          </w:p>
        </w:tc>
        <w:tc>
          <w:tcPr>
            <w:tcW w:w="100" w:type="dxa"/>
            <w:vAlign w:val="bottom"/>
            <w:tcBorders>
              <w:bottom w:val="single" w:sz="8" w:color="0000FF"/>
            </w:tcBorders>
            <w:gridSpan w:val="2"/>
          </w:tcPr>
          <w:p>
            <w:pPr>
              <w:spacing w:after="0"/>
              <w:rPr>
                <w:sz w:val="15"/>
                <w:szCs w:val="15"/>
                <w:color w:val="auto"/>
              </w:rPr>
            </w:pPr>
          </w:p>
        </w:tc>
        <w:tc>
          <w:tcPr>
            <w:tcW w:w="460" w:type="dxa"/>
            <w:vAlign w:val="bottom"/>
            <w:gridSpan w:val="10"/>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640" w:type="dxa"/>
            <w:vAlign w:val="bottom"/>
            <w:gridSpan w:val="17"/>
          </w:tcPr>
          <w:p>
            <w:pPr>
              <w:spacing w:after="0" w:line="182" w:lineRule="exact"/>
              <w:rPr>
                <w:sz w:val="20"/>
                <w:szCs w:val="20"/>
                <w:color w:val="auto"/>
              </w:rPr>
            </w:pPr>
            <w:r>
              <w:rPr>
                <w:rFonts w:ascii="Arial" w:cs="Arial" w:eastAsia="Arial" w:hAnsi="Arial"/>
                <w:sz w:val="18"/>
                <w:szCs w:val="18"/>
                <w:color w:val="0000FF"/>
                <w:w w:val="96"/>
              </w:rPr>
              <w:t>Pursuant to Section 302 of the Sarbanes-Oxley</w:t>
            </w:r>
          </w:p>
        </w:tc>
        <w:tc>
          <w:tcPr>
            <w:tcW w:w="460" w:type="dxa"/>
            <w:vAlign w:val="bottom"/>
            <w:gridSpan w:val="10"/>
          </w:tcPr>
          <w:p>
            <w:pPr>
              <w:ind w:left="160"/>
              <w:spacing w:after="0" w:line="182" w:lineRule="exact"/>
              <w:rPr>
                <w:sz w:val="20"/>
                <w:szCs w:val="20"/>
                <w:color w:val="auto"/>
              </w:rPr>
            </w:pPr>
            <w:r>
              <w:rPr>
                <w:rFonts w:ascii="Arial" w:cs="Arial" w:eastAsia="Arial" w:hAnsi="Arial"/>
                <w:sz w:val="18"/>
                <w:szCs w:val="18"/>
                <w:color w:val="0000FF"/>
              </w:rPr>
              <w:t>Act</w:t>
            </w: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vMerge w:val="restart"/>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64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5"/>
              </w:rPr>
              <w:t>of 2002.</w:t>
            </w:r>
          </w:p>
        </w:tc>
        <w:tc>
          <w:tcPr>
            <w:tcW w:w="20" w:type="dxa"/>
            <w:vAlign w:val="bottom"/>
            <w:tcBorders>
              <w:top w:val="single" w:sz="8" w:color="0000FF"/>
              <w:bottom w:val="single" w:sz="8" w:color="0000EE"/>
            </w:tcBorders>
          </w:tcPr>
          <w:p>
            <w:pPr>
              <w:spacing w:after="0"/>
              <w:rPr>
                <w:sz w:val="15"/>
                <w:szCs w:val="15"/>
                <w:color w:val="auto"/>
              </w:rPr>
            </w:pPr>
          </w:p>
        </w:tc>
        <w:tc>
          <w:tcPr>
            <w:tcW w:w="3420" w:type="dxa"/>
            <w:vAlign w:val="bottom"/>
            <w:tcBorders>
              <w:top w:val="single" w:sz="8" w:color="0000FF"/>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Incorporation by Reference</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8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Exhibit</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40" w:type="dxa"/>
            <w:vAlign w:val="bottom"/>
            <w:gridSpan w:val="7"/>
          </w:tcPr>
          <w:p>
            <w:pPr>
              <w:jc w:val="center"/>
              <w:ind w:right="720"/>
              <w:spacing w:after="0" w:line="191" w:lineRule="exact"/>
              <w:rPr>
                <w:sz w:val="20"/>
                <w:szCs w:val="20"/>
                <w:color w:val="auto"/>
              </w:rPr>
            </w:pPr>
            <w:r>
              <w:rPr>
                <w:rFonts w:ascii="Arial" w:cs="Arial" w:eastAsia="Arial" w:hAnsi="Arial"/>
                <w:sz w:val="18"/>
                <w:szCs w:val="18"/>
                <w:b w:val="1"/>
                <w:bCs w:val="1"/>
                <w:color w:val="auto"/>
                <w:w w:val="99"/>
              </w:rPr>
              <w:t>Exhibit</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9"/>
              </w:rPr>
              <w:t>Filing</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35"/>
        </w:trPr>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8"/>
          </w:tcPr>
          <w:p>
            <w:pPr>
              <w:jc w:val="center"/>
              <w:ind w:right="940"/>
              <w:spacing w:after="0"/>
              <w:rPr>
                <w:sz w:val="20"/>
                <w:szCs w:val="20"/>
                <w:color w:val="auto"/>
              </w:rPr>
            </w:pPr>
            <w:r>
              <w:rPr>
                <w:rFonts w:ascii="Arial" w:cs="Arial" w:eastAsia="Arial" w:hAnsi="Arial"/>
                <w:sz w:val="18"/>
                <w:szCs w:val="18"/>
                <w:b w:val="1"/>
                <w:bCs w:val="1"/>
                <w:color w:val="auto"/>
                <w:w w:val="98"/>
              </w:rPr>
              <w:t>Description</w:t>
            </w: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Form</w:t>
            </w:r>
          </w:p>
        </w:tc>
        <w:tc>
          <w:tcPr>
            <w:tcW w:w="12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File No.</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Date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412"/>
        </w:trPr>
        <w:tc>
          <w:tcPr>
            <w:tcW w:w="1180" w:type="dxa"/>
            <w:vAlign w:val="bottom"/>
          </w:tcPr>
          <w:p>
            <w:pPr>
              <w:ind w:left="20"/>
              <w:spacing w:after="0"/>
              <w:rPr>
                <w:sz w:val="20"/>
                <w:szCs w:val="20"/>
                <w:color w:val="auto"/>
              </w:rPr>
            </w:pPr>
            <w:r>
              <w:rPr>
                <w:rFonts w:ascii="Arial" w:cs="Arial" w:eastAsia="Arial" w:hAnsi="Arial"/>
                <w:sz w:val="18"/>
                <w:szCs w:val="18"/>
                <w:color w:val="auto"/>
              </w:rPr>
              <w:t>31.2</w:t>
            </w:r>
          </w:p>
        </w:tc>
        <w:tc>
          <w:tcPr>
            <w:tcW w:w="4360" w:type="dxa"/>
            <w:vAlign w:val="bottom"/>
            <w:gridSpan w:val="10"/>
          </w:tcPr>
          <w:p>
            <w:pPr>
              <w:spacing w:after="0"/>
              <w:rPr>
                <w:sz w:val="20"/>
                <w:szCs w:val="20"/>
                <w:color w:val="auto"/>
              </w:rPr>
            </w:pPr>
            <w:r>
              <w:rPr>
                <w:rFonts w:ascii="Arial" w:cs="Arial" w:eastAsia="Arial" w:hAnsi="Arial"/>
                <w:sz w:val="18"/>
                <w:szCs w:val="18"/>
                <w:color w:val="0000FF"/>
              </w:rPr>
              <w:t>Certification of Principal Financial Officer Pursuant</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6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to Rules 13a</w:t>
            </w:r>
            <w:r>
              <w:rPr>
                <w:rFonts w:ascii="MS PGothic" w:cs="MS PGothic" w:eastAsia="MS PGothic" w:hAnsi="MS PGothic"/>
                <w:sz w:val="18"/>
                <w:szCs w:val="18"/>
                <w:color w:val="0000FF"/>
              </w:rPr>
              <w:t>‑</w:t>
            </w:r>
            <w:r>
              <w:rPr>
                <w:rFonts w:ascii="Arial" w:cs="Arial" w:eastAsia="Arial" w:hAnsi="Arial"/>
                <w:sz w:val="18"/>
                <w:szCs w:val="18"/>
                <w:color w:val="0000FF"/>
              </w:rPr>
              <w:t>14(a) and 15d</w:t>
            </w:r>
            <w:r>
              <w:rPr>
                <w:rFonts w:ascii="MS PGothic" w:cs="MS PGothic" w:eastAsia="MS PGothic" w:hAnsi="MS PGothic"/>
                <w:sz w:val="18"/>
                <w:szCs w:val="18"/>
                <w:color w:val="0000FF"/>
              </w:rPr>
              <w:t>‑</w:t>
            </w:r>
            <w:r>
              <w:rPr>
                <w:rFonts w:ascii="Arial" w:cs="Arial" w:eastAsia="Arial" w:hAnsi="Arial"/>
                <w:sz w:val="18"/>
                <w:szCs w:val="18"/>
                <w:color w:val="0000FF"/>
              </w:rPr>
              <w:t>14(a) under the</w:t>
            </w:r>
          </w:p>
        </w:tc>
        <w:tc>
          <w:tcPr>
            <w:tcW w:w="4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54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7"/>
              </w:rPr>
              <w:t>Securities Exchange Act of 1934, as Adopted</w:t>
            </w:r>
          </w:p>
        </w:tc>
        <w:tc>
          <w:tcPr>
            <w:tcW w:w="4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4"/>
            <w:vMerge w:val="restart"/>
          </w:tcPr>
          <w:p>
            <w:pPr>
              <w:ind w:left="20"/>
              <w:spacing w:after="0"/>
              <w:rPr>
                <w:sz w:val="20"/>
                <w:szCs w:val="20"/>
                <w:color w:val="auto"/>
              </w:rPr>
            </w:pPr>
            <w:r>
              <w:rPr>
                <w:rFonts w:ascii="Arial" w:cs="Arial" w:eastAsia="Arial" w:hAnsi="Arial"/>
                <w:sz w:val="18"/>
                <w:szCs w:val="18"/>
                <w:color w:val="0000FF"/>
              </w:rPr>
              <w:t>Act</w:t>
            </w: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660" w:type="dxa"/>
            <w:vAlign w:val="bottom"/>
            <w:gridSpan w:val="5"/>
          </w:tcPr>
          <w:p>
            <w:pPr>
              <w:spacing w:after="0" w:line="182" w:lineRule="exact"/>
              <w:rPr>
                <w:sz w:val="20"/>
                <w:szCs w:val="20"/>
                <w:color w:val="auto"/>
              </w:rPr>
            </w:pPr>
            <w:r>
              <w:rPr>
                <w:rFonts w:ascii="Arial" w:cs="Arial" w:eastAsia="Arial" w:hAnsi="Arial"/>
                <w:sz w:val="18"/>
                <w:szCs w:val="18"/>
                <w:color w:val="0000FF"/>
                <w:w w:val="96"/>
              </w:rPr>
              <w:t>Pursuant to Section 302 of the Sarbanes-Oxley</w:t>
            </w:r>
          </w:p>
        </w:tc>
        <w:tc>
          <w:tcPr>
            <w:tcW w:w="140" w:type="dxa"/>
            <w:vAlign w:val="bottom"/>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66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of 2002.</w:t>
            </w:r>
          </w:p>
        </w:tc>
        <w:tc>
          <w:tcPr>
            <w:tcW w:w="20" w:type="dxa"/>
            <w:vAlign w:val="bottom"/>
            <w:tcBorders>
              <w:top w:val="single" w:sz="8" w:color="0000FF"/>
              <w:bottom w:val="single" w:sz="8" w:color="0000EE"/>
            </w:tcBorders>
          </w:tcPr>
          <w:p>
            <w:pPr>
              <w:spacing w:after="0"/>
              <w:rPr>
                <w:sz w:val="15"/>
                <w:szCs w:val="15"/>
                <w:color w:val="auto"/>
              </w:rPr>
            </w:pPr>
          </w:p>
        </w:tc>
        <w:tc>
          <w:tcPr>
            <w:tcW w:w="3420" w:type="dxa"/>
            <w:vAlign w:val="bottom"/>
            <w:tcBorders>
              <w:top w:val="single" w:sz="8" w:color="0000FF"/>
            </w:tcBorders>
            <w:gridSpan w:val="6"/>
          </w:tcPr>
          <w:p>
            <w:pPr>
              <w:spacing w:after="0"/>
              <w:rPr>
                <w:sz w:val="15"/>
                <w:szCs w:val="15"/>
                <w:color w:val="auto"/>
              </w:rPr>
            </w:pP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180" w:type="dxa"/>
            <w:vAlign w:val="bottom"/>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4"/>
                <w:szCs w:val="24"/>
                <w:color w:val="auto"/>
                <w:vertAlign w:val="superscript"/>
              </w:rPr>
              <w:t>†</w:t>
            </w:r>
          </w:p>
        </w:tc>
        <w:tc>
          <w:tcPr>
            <w:tcW w:w="4360" w:type="dxa"/>
            <w:vAlign w:val="bottom"/>
            <w:gridSpan w:val="10"/>
          </w:tcPr>
          <w:p>
            <w:pPr>
              <w:spacing w:after="0"/>
              <w:rPr>
                <w:sz w:val="20"/>
                <w:szCs w:val="20"/>
                <w:color w:val="auto"/>
              </w:rPr>
            </w:pPr>
            <w:r>
              <w:rPr>
                <w:rFonts w:ascii="Arial" w:cs="Arial" w:eastAsia="Arial" w:hAnsi="Arial"/>
                <w:sz w:val="18"/>
                <w:szCs w:val="18"/>
                <w:color w:val="0000FF"/>
              </w:rPr>
              <w:t>Certification of Principal Executive Officer Pursuant</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10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to 18 U.S.C. Section 1350, as Adopted Pursuant to</w:t>
            </w: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100" w:type="dxa"/>
            <w:vAlign w:val="bottom"/>
            <w:gridSpan w:val="8"/>
          </w:tcPr>
          <w:p>
            <w:pPr>
              <w:spacing w:after="0" w:line="182" w:lineRule="exact"/>
              <w:rPr>
                <w:sz w:val="20"/>
                <w:szCs w:val="20"/>
                <w:color w:val="auto"/>
              </w:rPr>
            </w:pPr>
            <w:r>
              <w:rPr>
                <w:rFonts w:ascii="Arial" w:cs="Arial" w:eastAsia="Arial" w:hAnsi="Arial"/>
                <w:sz w:val="18"/>
                <w:szCs w:val="18"/>
                <w:color w:val="0000FF"/>
              </w:rPr>
              <w:t>Section 906 of the Sarbanes-Oxley Act of 2002.</w:t>
            </w: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4"/>
                <w:szCs w:val="24"/>
                <w:color w:val="auto"/>
                <w:vertAlign w:val="superscript"/>
              </w:rPr>
              <w:t>†</w:t>
            </w:r>
          </w:p>
        </w:tc>
        <w:tc>
          <w:tcPr>
            <w:tcW w:w="358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EE"/>
            </w:tcBorders>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80" w:type="dxa"/>
            <w:vAlign w:val="bottom"/>
            <w:vMerge w:val="continue"/>
          </w:tcPr>
          <w:p>
            <w:pPr>
              <w:spacing w:after="0"/>
              <w:rPr>
                <w:sz w:val="24"/>
                <w:szCs w:val="24"/>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0000FF"/>
              </w:rPr>
              <w:t>Certification of Principal Financial Officer Pursuant</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06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to 18 U.S.C. Section 1350, as Adopted Pursuant to</w:t>
            </w:r>
          </w:p>
        </w:tc>
        <w:tc>
          <w:tcPr>
            <w:tcW w:w="30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410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Section 906 of the Sarbanes-Oxley Act of 2002.</w:t>
            </w: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58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80" w:type="dxa"/>
            <w:vAlign w:val="bottom"/>
          </w:tcPr>
          <w:p>
            <w:pPr>
              <w:ind w:left="20"/>
              <w:spacing w:after="0"/>
              <w:rPr>
                <w:sz w:val="20"/>
                <w:szCs w:val="20"/>
                <w:color w:val="auto"/>
              </w:rPr>
            </w:pPr>
            <w:r>
              <w:rPr>
                <w:rFonts w:ascii="Arial" w:cs="Arial" w:eastAsia="Arial" w:hAnsi="Arial"/>
                <w:sz w:val="18"/>
                <w:szCs w:val="18"/>
                <w:color w:val="auto"/>
              </w:rPr>
              <w:t>97.1</w:t>
            </w:r>
          </w:p>
        </w:tc>
        <w:tc>
          <w:tcPr>
            <w:tcW w:w="4360" w:type="dxa"/>
            <w:vAlign w:val="bottom"/>
            <w:gridSpan w:val="10"/>
          </w:tcPr>
          <w:p>
            <w:pPr>
              <w:spacing w:after="0"/>
              <w:rPr>
                <w:sz w:val="20"/>
                <w:szCs w:val="20"/>
                <w:color w:val="auto"/>
              </w:rPr>
            </w:pPr>
            <w:r>
              <w:rPr>
                <w:rFonts w:ascii="Arial" w:cs="Arial" w:eastAsia="Arial" w:hAnsi="Arial"/>
                <w:sz w:val="18"/>
                <w:szCs w:val="18"/>
                <w:color w:val="0000FF"/>
              </w:rPr>
              <w:t>Incentive Compensation Recoupment Policy.</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58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8960" w:type="dxa"/>
            <w:vAlign w:val="bottom"/>
            <w:gridSpan w:val="14"/>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200" w:type="dxa"/>
            <w:vAlign w:val="bottom"/>
            <w:gridSpan w:val="11"/>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1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9"/>
        </w:trPr>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43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9"/>
        </w:trPr>
        <w:tc>
          <w:tcPr>
            <w:tcW w:w="1180" w:type="dxa"/>
            <w:vAlign w:val="bottom"/>
          </w:tcPr>
          <w:p>
            <w:pPr>
              <w:ind w:left="20"/>
              <w:spacing w:after="0"/>
              <w:rPr>
                <w:sz w:val="20"/>
                <w:szCs w:val="20"/>
                <w:color w:val="auto"/>
              </w:rPr>
            </w:pPr>
            <w:r>
              <w:rPr>
                <w:rFonts w:ascii="Arial" w:cs="Arial" w:eastAsia="Arial" w:hAnsi="Arial"/>
                <w:sz w:val="18"/>
                <w:szCs w:val="18"/>
                <w:color w:val="auto"/>
              </w:rPr>
              <w:t>101.CAL</w:t>
            </w:r>
          </w:p>
        </w:tc>
        <w:tc>
          <w:tcPr>
            <w:tcW w:w="52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9"/>
        </w:trPr>
        <w:tc>
          <w:tcPr>
            <w:tcW w:w="1180" w:type="dxa"/>
            <w:vAlign w:val="bottom"/>
          </w:tcPr>
          <w:p>
            <w:pPr>
              <w:ind w:left="20"/>
              <w:spacing w:after="0"/>
              <w:rPr>
                <w:sz w:val="20"/>
                <w:szCs w:val="20"/>
                <w:color w:val="auto"/>
              </w:rPr>
            </w:pPr>
            <w:r>
              <w:rPr>
                <w:rFonts w:ascii="Arial" w:cs="Arial" w:eastAsia="Arial" w:hAnsi="Arial"/>
                <w:sz w:val="18"/>
                <w:szCs w:val="18"/>
                <w:color w:val="auto"/>
              </w:rPr>
              <w:t>101.DEF</w:t>
            </w:r>
          </w:p>
        </w:tc>
        <w:tc>
          <w:tcPr>
            <w:tcW w:w="52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9"/>
        </w:trPr>
        <w:tc>
          <w:tcPr>
            <w:tcW w:w="1180" w:type="dxa"/>
            <w:vAlign w:val="bottom"/>
          </w:tcPr>
          <w:p>
            <w:pPr>
              <w:ind w:left="20"/>
              <w:spacing w:after="0"/>
              <w:rPr>
                <w:sz w:val="20"/>
                <w:szCs w:val="20"/>
                <w:color w:val="auto"/>
              </w:rPr>
            </w:pPr>
            <w:r>
              <w:rPr>
                <w:rFonts w:ascii="Arial" w:cs="Arial" w:eastAsia="Arial" w:hAnsi="Arial"/>
                <w:sz w:val="18"/>
                <w:szCs w:val="18"/>
                <w:color w:val="auto"/>
              </w:rPr>
              <w:t>101.LAB</w:t>
            </w:r>
          </w:p>
        </w:tc>
        <w:tc>
          <w:tcPr>
            <w:tcW w:w="43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59"/>
        </w:trPr>
        <w:tc>
          <w:tcPr>
            <w:tcW w:w="1180" w:type="dxa"/>
            <w:vAlign w:val="bottom"/>
          </w:tcPr>
          <w:p>
            <w:pPr>
              <w:ind w:left="20"/>
              <w:spacing w:after="0"/>
              <w:rPr>
                <w:sz w:val="20"/>
                <w:szCs w:val="20"/>
                <w:color w:val="auto"/>
              </w:rPr>
            </w:pPr>
            <w:r>
              <w:rPr>
                <w:rFonts w:ascii="Arial" w:cs="Arial" w:eastAsia="Arial" w:hAnsi="Arial"/>
                <w:sz w:val="18"/>
                <w:szCs w:val="18"/>
                <w:color w:val="auto"/>
              </w:rPr>
              <w:t>101.PRE</w:t>
            </w:r>
          </w:p>
        </w:tc>
        <w:tc>
          <w:tcPr>
            <w:tcW w:w="52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23"/>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8960" w:type="dxa"/>
            <w:vAlign w:val="bottom"/>
            <w:gridSpan w:val="14"/>
          </w:tcPr>
          <w:p>
            <w:pPr>
              <w:spacing w:after="0"/>
              <w:rPr>
                <w:sz w:val="20"/>
                <w:szCs w:val="20"/>
                <w:color w:val="auto"/>
              </w:rPr>
            </w:pPr>
            <w:r>
              <w:rPr>
                <w:rFonts w:ascii="Arial" w:cs="Arial" w:eastAsia="Arial" w:hAnsi="Arial"/>
                <w:sz w:val="18"/>
                <w:szCs w:val="18"/>
                <w:color w:val="auto"/>
              </w:rPr>
              <w:t>Cover Page Interactive Data File – The cover page interactive data file does not appear in the Interactive Data</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6480" w:type="dxa"/>
            <w:vAlign w:val="bottom"/>
            <w:gridSpan w:val="12"/>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3742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27" w:lineRule="exact"/>
        <w:rPr>
          <w:sz w:val="20"/>
          <w:szCs w:val="20"/>
          <w:color w:val="auto"/>
        </w:rPr>
      </w:pPr>
    </w:p>
    <w:p>
      <w:pPr>
        <w:ind w:left="360" w:hanging="352"/>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12" w:lineRule="exact"/>
        <w:rPr>
          <w:sz w:val="20"/>
          <w:szCs w:val="20"/>
          <w:color w:val="auto"/>
        </w:rPr>
      </w:pPr>
    </w:p>
    <w:p>
      <w:pPr>
        <w:jc w:val="both"/>
        <w:ind w:left="380" w:hanging="372"/>
        <w:spacing w:after="0" w:line="247" w:lineRule="auto"/>
        <w:tabs>
          <w:tab w:leader="none" w:pos="3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74" w:lineRule="exact"/>
        <w:rPr>
          <w:sz w:val="20"/>
          <w:szCs w:val="20"/>
          <w:color w:val="auto"/>
        </w:rPr>
      </w:pPr>
    </w:p>
    <w:p>
      <w:pPr>
        <w:ind w:left="380" w:hanging="372"/>
        <w:spacing w:after="0" w:line="271" w:lineRule="auto"/>
        <w:tabs>
          <w:tab w:leader="none" w:pos="4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Pursuant to Item 601(b)(10) of Regulation S-K, portions of this exhibit have been omitted as the Registrant has determined that the omitted information is the type that the Registrant customarily and actually treats as private or confidential and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Item 16. Form 10</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14"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80" w:type="dxa"/>
            <w:vAlign w:val="bottom"/>
          </w:tcPr>
          <w:p>
            <w:pPr>
              <w:spacing w:after="0"/>
              <w:rPr>
                <w:sz w:val="21"/>
                <w:szCs w:val="21"/>
                <w:color w:val="auto"/>
              </w:rPr>
            </w:pPr>
          </w:p>
        </w:tc>
        <w:tc>
          <w:tcPr>
            <w:tcW w:w="7540" w:type="dxa"/>
            <w:vAlign w:val="bottom"/>
            <w:gridSpan w:val="2"/>
          </w:tcPr>
          <w:p>
            <w:pPr>
              <w:ind w:left="1960"/>
              <w:spacing w:after="0"/>
              <w:rPr>
                <w:sz w:val="20"/>
                <w:szCs w:val="20"/>
                <w:color w:val="auto"/>
              </w:rPr>
            </w:pPr>
            <w:r>
              <w:rPr>
                <w:rFonts w:ascii="Arial" w:cs="Arial" w:eastAsia="Arial" w:hAnsi="Arial"/>
                <w:sz w:val="18"/>
                <w:szCs w:val="18"/>
                <w:b w:val="1"/>
                <w:bCs w:val="1"/>
                <w:color w:val="auto"/>
              </w:rPr>
              <w:t>Olema Pharmaceuticals, Inc.</w:t>
            </w:r>
          </w:p>
        </w:tc>
      </w:tr>
      <w:tr>
        <w:trPr>
          <w:trHeight w:val="677"/>
        </w:trPr>
        <w:tc>
          <w:tcPr>
            <w:tcW w:w="3680" w:type="dxa"/>
            <w:vAlign w:val="bottom"/>
          </w:tcPr>
          <w:p>
            <w:pPr>
              <w:spacing w:after="0"/>
              <w:rPr>
                <w:sz w:val="20"/>
                <w:szCs w:val="20"/>
                <w:color w:val="auto"/>
              </w:rPr>
            </w:pPr>
            <w:r>
              <w:rPr>
                <w:rFonts w:ascii="Arial" w:cs="Arial" w:eastAsia="Arial" w:hAnsi="Arial"/>
                <w:sz w:val="18"/>
                <w:szCs w:val="18"/>
                <w:color w:val="auto"/>
              </w:rPr>
              <w:t>Date: March 11, 2024</w:t>
            </w:r>
          </w:p>
        </w:tc>
        <w:tc>
          <w:tcPr>
            <w:tcW w:w="7540" w:type="dxa"/>
            <w:vAlign w:val="bottom"/>
            <w:gridSpan w:val="2"/>
          </w:tcPr>
          <w:p>
            <w:pPr>
              <w:ind w:left="1960"/>
              <w:spacing w:after="0"/>
              <w:rPr>
                <w:sz w:val="20"/>
                <w:szCs w:val="20"/>
                <w:color w:val="auto"/>
              </w:rPr>
            </w:pPr>
            <w:r>
              <w:rPr>
                <w:rFonts w:ascii="Arial" w:cs="Arial" w:eastAsia="Arial" w:hAnsi="Arial"/>
                <w:sz w:val="18"/>
                <w:szCs w:val="18"/>
                <w:color w:val="auto"/>
              </w:rPr>
              <w:t>By:  /s/ Sean Bohen, M.D., Ph.D.</w:t>
            </w:r>
          </w:p>
        </w:tc>
      </w:tr>
      <w:tr>
        <w:trPr>
          <w:trHeight w:val="220"/>
        </w:trPr>
        <w:tc>
          <w:tcPr>
            <w:tcW w:w="3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Sean Bohen, M.D., Ph.D.</w:t>
            </w:r>
          </w:p>
        </w:tc>
      </w:tr>
      <w:tr>
        <w:trPr>
          <w:trHeight w:val="237"/>
        </w:trPr>
        <w:tc>
          <w:tcPr>
            <w:tcW w:w="3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Olema Pharmaceuticals, Inc.</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5640" w:val="left"/>
          <w:tab w:leader="none" w:pos="6080" w:val="left"/>
        </w:tabs>
        <w:rPr>
          <w:sz w:val="20"/>
          <w:szCs w:val="20"/>
          <w:color w:val="auto"/>
        </w:rPr>
      </w:pPr>
      <w:r>
        <w:rPr>
          <w:rFonts w:ascii="Arial" w:cs="Arial" w:eastAsia="Arial" w:hAnsi="Arial"/>
          <w:sz w:val="18"/>
          <w:szCs w:val="18"/>
          <w:color w:val="auto"/>
        </w:rPr>
        <w:t>Date: March 11,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Shane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17780</wp:posOffset>
            </wp:positionV>
            <wp:extent cx="32746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Shane Kovacs</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Chief Operating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KNOW ALL PERSONS BY THESE PRESENTS, that each person whose signature appears below constitutes and appoints Sean Bohen, M.D., Ph.D. and Shane Kovacs, and each of them, as his or her true and lawful attorneys-in-fact and agents, with full power of substitution for him or her, and in his or her name in any and all capacities, to sign any and all amendments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w:t>
            </w:r>
          </w:p>
        </w:tc>
        <w:tc>
          <w:tcPr>
            <w:tcW w:w="260" w:type="dxa"/>
            <w:vAlign w:val="bottom"/>
          </w:tcPr>
          <w:p>
            <w:pPr>
              <w:spacing w:after="0"/>
              <w:rPr>
                <w:sz w:val="16"/>
                <w:szCs w:val="16"/>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Title</w:t>
            </w:r>
          </w:p>
        </w:tc>
        <w:tc>
          <w:tcPr>
            <w:tcW w:w="26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r>
      <w:tr>
        <w:trPr>
          <w:trHeight w:val="45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Sean Bohen, M.D., Ph.D.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9"/>
              </w:rPr>
              <w:t>President, Chief Executive Officer and 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11, 2024</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Sean Bohen, M.D., Ph.D.</w:t>
            </w:r>
          </w:p>
        </w:tc>
        <w:tc>
          <w:tcPr>
            <w:tcW w:w="2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Executive Officer</w:t>
            </w: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5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Shane Kovacs</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9"/>
              </w:rPr>
              <w:t>Chief Operating and Financial Officer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11, 2024</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Shane Kovacs</w:t>
            </w:r>
          </w:p>
        </w:tc>
        <w:tc>
          <w:tcPr>
            <w:tcW w:w="2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5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Ian Clark</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11, 2024</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Ian Clark</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5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Cynthia Butitta</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11, 2024</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rPr>
              <w:t>Cynthia Butitta</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5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Cyrus L. Harmon</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11, 2024</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Cyrus L. Harmon</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5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Sandra J. Horning, M.D.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11, 2024</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rPr>
              <w:t>Sandra J. Horning, M.D.</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5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Gorjan Hrustanovic, Ph.D.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11, 2024</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rPr>
              <w:t>Gorjan Hrustanovic, Ph.D.</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5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Yi Larson</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11, 2024</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7"/>
              </w:rPr>
              <w:t>Yi Larson</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5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Andrew Rappaport</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11, 2024</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Andrew Rappaport</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5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Graham Walmsley, M.D., Ph.D.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11, 2024</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Graham Walmsley, M.D., Ph.D.</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5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Scott Garland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March 11, 2024</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Scott Garland</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22"/>
          <w:szCs w:val="22"/>
          <w:b w:val="1"/>
          <w:bCs w:val="1"/>
          <w:color w:val="auto"/>
        </w:rPr>
        <w:t>Exhibit 1.1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OLEMA PHARMACEUTICALS, INC.</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$100,000,000</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SALES AGREEMENT</w:t>
      </w:r>
    </w:p>
    <w:p>
      <w:pPr>
        <w:spacing w:after="0" w:line="235" w:lineRule="exact"/>
        <w:rPr>
          <w:sz w:val="20"/>
          <w:szCs w:val="20"/>
          <w:color w:val="auto"/>
        </w:rPr>
      </w:pPr>
    </w:p>
    <w:p>
      <w:pPr>
        <w:ind w:left="9860"/>
        <w:spacing w:after="0"/>
        <w:rPr>
          <w:sz w:val="20"/>
          <w:szCs w:val="20"/>
          <w:color w:val="auto"/>
        </w:rPr>
      </w:pPr>
      <w:r>
        <w:rPr>
          <w:rFonts w:ascii="Arial" w:cs="Arial" w:eastAsia="Arial" w:hAnsi="Arial"/>
          <w:sz w:val="21"/>
          <w:szCs w:val="21"/>
          <w:color w:val="auto"/>
        </w:rPr>
        <w:t>March 9, 2023</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Oppenheimer &amp; Co. Inc.</w:t>
      </w:r>
    </w:p>
    <w:p>
      <w:pPr>
        <w:spacing w:after="0"/>
        <w:rPr>
          <w:sz w:val="20"/>
          <w:szCs w:val="20"/>
          <w:color w:val="auto"/>
        </w:rPr>
      </w:pPr>
      <w:r>
        <w:rPr>
          <w:rFonts w:ascii="Arial" w:cs="Arial" w:eastAsia="Arial" w:hAnsi="Arial"/>
          <w:sz w:val="22"/>
          <w:szCs w:val="22"/>
          <w:color w:val="auto"/>
        </w:rPr>
        <w:t>85 Broad Street</w:t>
      </w:r>
    </w:p>
    <w:p>
      <w:pPr>
        <w:spacing w:after="0"/>
        <w:rPr>
          <w:sz w:val="20"/>
          <w:szCs w:val="20"/>
          <w:color w:val="auto"/>
        </w:rPr>
      </w:pPr>
      <w:r>
        <w:rPr>
          <w:rFonts w:ascii="Arial" w:cs="Arial" w:eastAsia="Arial" w:hAnsi="Arial"/>
          <w:sz w:val="22"/>
          <w:szCs w:val="22"/>
          <w:color w:val="auto"/>
        </w:rPr>
        <w:t>New York, New York 10004</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21"/>
          <w:szCs w:val="21"/>
          <w:color w:val="auto"/>
        </w:rPr>
        <w:t>Olema Pharmaceuticals, Inc.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confirms its agreement (this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with Oppenheimer</w:t>
      </w:r>
    </w:p>
    <w:p>
      <w:pPr>
        <w:spacing w:after="0" w:line="24"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Co. Inc. (the “</w:t>
      </w:r>
      <w:r>
        <w:rPr>
          <w:rFonts w:ascii="Arial" w:cs="Arial" w:eastAsia="Arial" w:hAnsi="Arial"/>
          <w:sz w:val="22"/>
          <w:szCs w:val="22"/>
          <w:b w:val="1"/>
          <w:bCs w:val="1"/>
          <w:u w:val="single" w:color="auto"/>
          <w:color w:val="auto"/>
        </w:rPr>
        <w:t>Agent</w:t>
      </w:r>
      <w:r>
        <w:rPr>
          <w:rFonts w:ascii="Arial" w:cs="Arial" w:eastAsia="Arial" w:hAnsi="Arial"/>
          <w:sz w:val="22"/>
          <w:szCs w:val="22"/>
          <w:color w:val="auto"/>
        </w:rPr>
        <w:t>”), as follows:</w:t>
      </w:r>
    </w:p>
    <w:p>
      <w:pPr>
        <w:spacing w:after="0" w:line="186" w:lineRule="exact"/>
        <w:rPr>
          <w:rFonts w:ascii="Arial" w:cs="Arial" w:eastAsia="Arial" w:hAnsi="Arial"/>
          <w:sz w:val="22"/>
          <w:szCs w:val="22"/>
          <w:color w:val="auto"/>
        </w:rPr>
      </w:pPr>
    </w:p>
    <w:p>
      <w:pPr>
        <w:jc w:val="both"/>
        <w:ind w:firstLine="757"/>
        <w:spacing w:after="0" w:line="245" w:lineRule="auto"/>
        <w:tabs>
          <w:tab w:leader="none" w:pos="1043" w:val="left"/>
        </w:tabs>
        <w:numPr>
          <w:ilvl w:val="1"/>
          <w:numId w:val="69"/>
        </w:numPr>
        <w:rPr>
          <w:rFonts w:ascii="Arial" w:cs="Arial" w:eastAsia="Arial" w:hAnsi="Arial"/>
          <w:sz w:val="21"/>
          <w:szCs w:val="21"/>
          <w:color w:val="auto"/>
        </w:rPr>
      </w:pPr>
      <w:r>
        <w:rPr>
          <w:rFonts w:ascii="Arial" w:cs="Arial" w:eastAsia="Arial" w:hAnsi="Arial"/>
          <w:sz w:val="21"/>
          <w:szCs w:val="21"/>
          <w:u w:val="single" w:color="auto"/>
          <w:color w:val="auto"/>
        </w:rPr>
        <w:t>Issuance and Sale of Shares</w:t>
      </w:r>
      <w:r>
        <w:rPr>
          <w:rFonts w:ascii="Arial" w:cs="Arial" w:eastAsia="Arial" w:hAnsi="Arial"/>
          <w:sz w:val="21"/>
          <w:szCs w:val="21"/>
          <w:color w:val="auto"/>
        </w:rPr>
        <w:t>. The Company agrees that, from time to time during the term of this Agreement, on the terms and subject to the conditions set forth herein, it may issue and sell through the Agent, acting as agent and/or principal, shares (the “</w:t>
      </w:r>
      <w:r>
        <w:rPr>
          <w:rFonts w:ascii="Arial" w:cs="Arial" w:eastAsia="Arial" w:hAnsi="Arial"/>
          <w:sz w:val="21"/>
          <w:szCs w:val="21"/>
          <w:b w:val="1"/>
          <w:bCs w:val="1"/>
          <w:u w:val="single" w:color="auto"/>
          <w:color w:val="auto"/>
        </w:rPr>
        <w:t>Placement Shares</w:t>
      </w:r>
      <w:r>
        <w:rPr>
          <w:rFonts w:ascii="Arial" w:cs="Arial" w:eastAsia="Arial" w:hAnsi="Arial"/>
          <w:sz w:val="21"/>
          <w:szCs w:val="21"/>
          <w:color w:val="auto"/>
        </w:rPr>
        <w:t>”) of the Company’s common stock, par value $0.0001 per share (the “</w:t>
      </w:r>
      <w:r>
        <w:rPr>
          <w:rFonts w:ascii="Arial" w:cs="Arial" w:eastAsia="Arial" w:hAnsi="Arial"/>
          <w:sz w:val="21"/>
          <w:szCs w:val="21"/>
          <w:b w:val="1"/>
          <w:bCs w:val="1"/>
          <w:u w:val="single" w:color="auto"/>
          <w:color w:val="auto"/>
        </w:rPr>
        <w:t>Common Stock</w:t>
      </w:r>
      <w:r>
        <w:rPr>
          <w:rFonts w:ascii="Arial" w:cs="Arial" w:eastAsia="Arial" w:hAnsi="Arial"/>
          <w:sz w:val="21"/>
          <w:szCs w:val="21"/>
          <w:color w:val="auto"/>
        </w:rPr>
        <w:t>”), having an aggregate offering price of up to $100,000,000.00 (the “</w:t>
      </w:r>
      <w:r>
        <w:rPr>
          <w:rFonts w:ascii="Arial" w:cs="Arial" w:eastAsia="Arial" w:hAnsi="Arial"/>
          <w:sz w:val="21"/>
          <w:szCs w:val="21"/>
          <w:b w:val="1"/>
          <w:bCs w:val="1"/>
          <w:u w:val="single" w:color="auto"/>
          <w:color w:val="auto"/>
        </w:rPr>
        <w:t>Maximum</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Amount</w:t>
      </w:r>
      <w:r>
        <w:rPr>
          <w:rFonts w:ascii="Arial" w:cs="Arial" w:eastAsia="Arial" w:hAnsi="Arial"/>
          <w:sz w:val="21"/>
          <w:szCs w:val="21"/>
          <w:color w:val="auto"/>
        </w:rPr>
        <w:t>”). Notwithstanding anything to the contrary contained herein, the parties hereto agree that compliance with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limitation set forth in this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on the number of shares of Common Stock issued and sold under this Agreement shall be the sole responsibility of the Company, and the Agent shall have no obligation in connection with such compliance. The issuance and sale of the Placement Shares through the Agent will be effected pursuant to the Registration Statement (as defined below) filed by the Company and declared effective by the Securities and Exchange Commission (the “</w:t>
      </w:r>
      <w:r>
        <w:rPr>
          <w:rFonts w:ascii="Arial" w:cs="Arial" w:eastAsia="Arial" w:hAnsi="Arial"/>
          <w:sz w:val="21"/>
          <w:szCs w:val="21"/>
          <w:b w:val="1"/>
          <w:bCs w:val="1"/>
          <w:u w:val="single" w:color="auto"/>
          <w:color w:val="auto"/>
        </w:rPr>
        <w:t>Commission</w:t>
      </w:r>
      <w:r>
        <w:rPr>
          <w:rFonts w:ascii="Arial" w:cs="Arial" w:eastAsia="Arial" w:hAnsi="Arial"/>
          <w:sz w:val="21"/>
          <w:szCs w:val="21"/>
          <w:color w:val="auto"/>
        </w:rPr>
        <w:t>”), although nothing in this Agreement shall be construed as requiring the Company to use the Registration Statement (as defined below) to issue the Placement Shares.</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Company has prepared and filed, in accordance with the provisions of the Securities Act of 1933, as amended, and the rules and regulations thereunder (collectively, the “</w:t>
      </w:r>
      <w:r>
        <w:rPr>
          <w:rFonts w:ascii="Arial" w:cs="Arial" w:eastAsia="Arial" w:hAnsi="Arial"/>
          <w:sz w:val="22"/>
          <w:szCs w:val="22"/>
          <w:b w:val="1"/>
          <w:bCs w:val="1"/>
          <w:u w:val="single" w:color="auto"/>
          <w:color w:val="auto"/>
        </w:rPr>
        <w:t>Securities Act</w:t>
      </w:r>
      <w:r>
        <w:rPr>
          <w:rFonts w:ascii="Arial" w:cs="Arial" w:eastAsia="Arial" w:hAnsi="Arial"/>
          <w:sz w:val="22"/>
          <w:szCs w:val="22"/>
          <w:color w:val="auto"/>
        </w:rPr>
        <w:t>”), with the Commission a registration statement on Form S-3 (File No. 333-263117), including a base prospectus (the “</w:t>
      </w:r>
      <w:r>
        <w:rPr>
          <w:rFonts w:ascii="Arial" w:cs="Arial" w:eastAsia="Arial" w:hAnsi="Arial"/>
          <w:sz w:val="22"/>
          <w:szCs w:val="22"/>
          <w:b w:val="1"/>
          <w:bCs w:val="1"/>
          <w:u w:val="single" w:color="auto"/>
          <w:color w:val="auto"/>
        </w:rPr>
        <w:t>Base Prospectus</w:t>
      </w:r>
      <w:r>
        <w:rPr>
          <w:rFonts w:ascii="Arial" w:cs="Arial" w:eastAsia="Arial" w:hAnsi="Arial"/>
          <w:sz w:val="22"/>
          <w:szCs w:val="22"/>
          <w:color w:val="auto"/>
        </w:rPr>
        <w:t>”),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22"/>
          <w:szCs w:val="22"/>
          <w:b w:val="1"/>
          <w:bCs w:val="1"/>
          <w:u w:val="single" w:color="auto"/>
          <w:color w:val="auto"/>
        </w:rPr>
        <w:t>Exchange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Act</w:t>
      </w:r>
      <w:r>
        <w:rPr>
          <w:rFonts w:ascii="Arial" w:cs="Arial" w:eastAsia="Arial" w:hAnsi="Arial"/>
          <w:sz w:val="22"/>
          <w:szCs w:val="22"/>
          <w:color w:val="auto"/>
        </w:rPr>
        <w:t>”). The Company has prepared a prospectus supplement specifically relating to the Placement Shares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Prospectus Supplement</w:t>
      </w:r>
      <w:r>
        <w:rPr>
          <w:rFonts w:ascii="Arial" w:cs="Arial" w:eastAsia="Arial" w:hAnsi="Arial"/>
          <w:sz w:val="22"/>
          <w:szCs w:val="22"/>
          <w:color w:val="auto"/>
        </w:rPr>
        <w:t>”) to the Base Prospectus included as part of such registration statement. The Company has furnished to the Agent, for use by the Agent, copies of the prospectus included as part of such registration statement, as supplemented by the Prospectus Supplement, relating to the Placement Shares. Except where the context otherwise requires, such registration statement, and any post-effective amendment thereto, as amended when it became effective, including all documents filed as part thereof or incorporated by reference therein, and including any information contained in 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63" w:name="page164"/>
    <w:bookmarkEnd w:id="163"/>
    <w:p>
      <w:pPr>
        <w:jc w:val="both"/>
        <w:spacing w:after="0" w:line="232" w:lineRule="auto"/>
        <w:rPr>
          <w:sz w:val="20"/>
          <w:szCs w:val="20"/>
          <w:color w:val="auto"/>
        </w:rPr>
      </w:pPr>
      <w:r>
        <w:rPr>
          <w:rFonts w:ascii="Arial" w:cs="Arial" w:eastAsia="Arial" w:hAnsi="Arial"/>
          <w:sz w:val="22"/>
          <w:szCs w:val="22"/>
          <w:color w:val="auto"/>
        </w:rPr>
        <w:t>Prospectus (as defined below) subsequently filed with the Commission pursuant to Rule 424(b) under the Securities Act or deemed to be a part of such registration statement pursuant to Rule 430B or Rule 462(b) of the Securities Act, or any subsequent registration statement on Form S-3 filed pursuant to Rule 415(a)(6) under the Securities Act by the Company with respect to the Placement Shares, is herein called the “</w:t>
      </w:r>
      <w:r>
        <w:rPr>
          <w:rFonts w:ascii="Arial" w:cs="Arial" w:eastAsia="Arial" w:hAnsi="Arial"/>
          <w:sz w:val="22"/>
          <w:szCs w:val="22"/>
          <w:b w:val="1"/>
          <w:bCs w:val="1"/>
          <w:u w:val="single" w:color="auto"/>
          <w:color w:val="auto"/>
        </w:rPr>
        <w:t>Registration Statement.</w:t>
      </w:r>
      <w:r>
        <w:rPr>
          <w:rFonts w:ascii="Arial" w:cs="Arial" w:eastAsia="Arial" w:hAnsi="Arial"/>
          <w:sz w:val="22"/>
          <w:szCs w:val="22"/>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of the Securities Act (“</w:t>
      </w:r>
      <w:r>
        <w:rPr>
          <w:rFonts w:ascii="Arial" w:cs="Arial" w:eastAsia="Arial" w:hAnsi="Arial"/>
          <w:sz w:val="22"/>
          <w:szCs w:val="22"/>
          <w:b w:val="1"/>
          <w:bCs w:val="1"/>
          <w:u w:val="single" w:color="auto"/>
          <w:color w:val="auto"/>
        </w:rPr>
        <w:t>Rule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433</w:t>
      </w:r>
      <w:r>
        <w:rPr>
          <w:rFonts w:ascii="Arial" w:cs="Arial" w:eastAsia="Arial" w:hAnsi="Arial"/>
          <w:sz w:val="22"/>
          <w:szCs w:val="22"/>
          <w:color w:val="auto"/>
        </w:rPr>
        <w:t>”), relating to the Placement Shares that (i) is consented to by the Agent, hereinafter referred to as a “</w:t>
      </w:r>
      <w:r>
        <w:rPr>
          <w:rFonts w:ascii="Arial" w:cs="Arial" w:eastAsia="Arial" w:hAnsi="Arial"/>
          <w:sz w:val="22"/>
          <w:szCs w:val="22"/>
          <w:b w:val="1"/>
          <w:bCs w:val="1"/>
          <w:u w:val="single" w:color="auto"/>
          <w:color w:val="auto"/>
        </w:rPr>
        <w:t>Permitted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Free Writing Prospectus</w:t>
      </w:r>
      <w:r>
        <w:rPr>
          <w:rFonts w:ascii="Arial" w:cs="Arial" w:eastAsia="Arial" w:hAnsi="Arial"/>
          <w:sz w:val="22"/>
          <w:szCs w:val="22"/>
          <w:color w:val="auto"/>
        </w:rPr>
        <w:t>,” (ii) is required to be filed with the Commission by the Company or (iii) is exempt from</w:t>
      </w:r>
      <w:r>
        <w:rPr>
          <w:rFonts w:ascii="Arial" w:cs="Arial" w:eastAsia="Arial" w:hAnsi="Arial"/>
          <w:sz w:val="22"/>
          <w:szCs w:val="22"/>
          <w:b w:val="1"/>
          <w:bCs w:val="1"/>
          <w:color w:val="auto"/>
        </w:rPr>
        <w:t xml:space="preserve"> </w:t>
      </w:r>
      <w:r>
        <w:rPr>
          <w:rFonts w:ascii="Arial" w:cs="Arial" w:eastAsia="Arial" w:hAnsi="Arial"/>
          <w:sz w:val="22"/>
          <w:szCs w:val="22"/>
          <w:color w:val="auto"/>
        </w:rPr>
        <w:t>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22"/>
          <w:szCs w:val="22"/>
          <w:b w:val="1"/>
          <w:bCs w:val="1"/>
          <w:u w:val="single" w:color="auto"/>
          <w:color w:val="auto"/>
        </w:rPr>
        <w:t>Prospectus</w:t>
      </w:r>
      <w:r>
        <w:rPr>
          <w:rFonts w:ascii="Arial" w:cs="Arial" w:eastAsia="Arial" w:hAnsi="Arial"/>
          <w:sz w:val="22"/>
          <w:szCs w:val="22"/>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Arial" w:cs="Arial" w:eastAsia="Arial" w:hAnsi="Arial"/>
          <w:sz w:val="22"/>
          <w:szCs w:val="22"/>
          <w:b w:val="1"/>
          <w:bCs w:val="1"/>
          <w:u w:val="single" w:color="auto"/>
          <w:color w:val="auto"/>
        </w:rPr>
        <w:t>EDGAR</w:t>
      </w:r>
      <w:r>
        <w:rPr>
          <w:rFonts w:ascii="Arial" w:cs="Arial" w:eastAsia="Arial" w:hAnsi="Arial"/>
          <w:sz w:val="22"/>
          <w:szCs w:val="22"/>
          <w:color w:val="auto"/>
        </w:rPr>
        <w:t>”). The Company’s obligations under this Agreement to furnish, provide, deliver or make available (and all other similar references) copies of any document shall be deemed satisfied if the same is filed with the Commission through EDGAR.</w:t>
      </w:r>
    </w:p>
    <w:p>
      <w:pPr>
        <w:spacing w:after="0" w:line="209" w:lineRule="exact"/>
        <w:rPr>
          <w:sz w:val="20"/>
          <w:szCs w:val="20"/>
          <w:color w:val="auto"/>
        </w:rPr>
      </w:pPr>
    </w:p>
    <w:p>
      <w:pPr>
        <w:jc w:val="both"/>
        <w:ind w:firstLine="757"/>
        <w:spacing w:after="0" w:line="232" w:lineRule="auto"/>
        <w:tabs>
          <w:tab w:leader="none" w:pos="101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Placements</w:t>
      </w:r>
      <w:r>
        <w:rPr>
          <w:rFonts w:ascii="Arial" w:cs="Arial" w:eastAsia="Arial" w:hAnsi="Arial"/>
          <w:sz w:val="22"/>
          <w:szCs w:val="22"/>
          <w:color w:val="auto"/>
        </w:rPr>
        <w:t>. Each time that the Company wishes to issue and sell any Placement Shares through the Agent hereunder (each, a “</w:t>
      </w:r>
      <w:r>
        <w:rPr>
          <w:rFonts w:ascii="Arial" w:cs="Arial" w:eastAsia="Arial" w:hAnsi="Arial"/>
          <w:sz w:val="22"/>
          <w:szCs w:val="22"/>
          <w:b w:val="1"/>
          <w:bCs w:val="1"/>
          <w:u w:val="single" w:color="auto"/>
          <w:color w:val="auto"/>
        </w:rPr>
        <w:t>Placement</w:t>
      </w:r>
      <w:r>
        <w:rPr>
          <w:rFonts w:ascii="Arial" w:cs="Arial" w:eastAsia="Arial" w:hAnsi="Arial"/>
          <w:sz w:val="22"/>
          <w:szCs w:val="22"/>
          <w:color w:val="auto"/>
        </w:rPr>
        <w:t>”), it will notify the Agent by email notice (or other method mutually agreed to in writing by the parties) (each such notice, a “</w:t>
      </w:r>
      <w:r>
        <w:rPr>
          <w:rFonts w:ascii="Arial" w:cs="Arial" w:eastAsia="Arial" w:hAnsi="Arial"/>
          <w:sz w:val="22"/>
          <w:szCs w:val="22"/>
          <w:b w:val="1"/>
          <w:bCs w:val="1"/>
          <w:u w:val="single" w:color="auto"/>
          <w:color w:val="auto"/>
        </w:rPr>
        <w:t>Placement Notice</w:t>
      </w:r>
      <w:r>
        <w:rPr>
          <w:rFonts w:ascii="Arial" w:cs="Arial" w:eastAsia="Arial" w:hAnsi="Arial"/>
          <w:sz w:val="22"/>
          <w:szCs w:val="22"/>
          <w:color w:val="auto"/>
        </w:rPr>
        <w:t xml:space="preserve">”) containing the parameters in accordance with which it desires the Placement Shares to be sold, which shall at a minimum include the number or amount of Placement Shares to be issued, the time period during which sales are requested to be made, any limitation on the number of Placement Shares that may be sold in any one Trading Day (as defined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and any minimum price below which sales may not be made, a form of which containing such minimum sales parameters necessary is attached hereto as </w:t>
      </w:r>
      <w:r>
        <w:rPr>
          <w:rFonts w:ascii="Arial" w:cs="Arial" w:eastAsia="Arial" w:hAnsi="Arial"/>
          <w:sz w:val="22"/>
          <w:szCs w:val="22"/>
          <w:b w:val="1"/>
          <w:bCs w:val="1"/>
          <w:u w:val="single" w:color="auto"/>
          <w:color w:val="auto"/>
        </w:rPr>
        <w:t>Schedule 1</w:t>
      </w:r>
      <w:r>
        <w:rPr>
          <w:rFonts w:ascii="Arial" w:cs="Arial" w:eastAsia="Arial" w:hAnsi="Arial"/>
          <w:sz w:val="22"/>
          <w:szCs w:val="22"/>
          <w:color w:val="auto"/>
        </w:rPr>
        <w:t xml:space="preserve">. The Placement Notice shall originate from any of the individuals from the Company set forth on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xml:space="preserve"> (with a copy to each of the other individuals from the Company listed on such schedule), and shall be addressed to each of the individuals from the Agent set forth on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xml:space="preserve">, as such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xml:space="preserve"> may be amended from time to time. The Placement Notice shall be effective upon receipt by the Agent unless and until (i) in accordance with the notice requirements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the Agent declines to accept the terms contained therein for any reason, in its sole discretion, (ii) the entire amount of the Placement Shares have been sold, (iii) in accordance with the notice requirements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the Company suspends or terminates the Placement Notice, which it may do for any reason, in its sole discretion, (iv) the Company issues a subsequent Placement Notice, which it may do for any reason, in its sole discretion, with parameters superseding those in the earlier dated Placement Notice, or (v) this Agreement has been terminated under the provisions of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The amount of any discount, commission or other compensation to be paid by the Company to the Agent in connection with the sale of the Placement Shares shall be calculated in accordance with the terms set forth in </w:t>
      </w:r>
      <w:r>
        <w:rPr>
          <w:rFonts w:ascii="Arial" w:cs="Arial" w:eastAsia="Arial" w:hAnsi="Arial"/>
          <w:sz w:val="22"/>
          <w:szCs w:val="22"/>
          <w:b w:val="1"/>
          <w:bCs w:val="1"/>
          <w:u w:val="single" w:color="auto"/>
          <w:color w:val="auto"/>
        </w:rPr>
        <w:t>Schedule 3</w:t>
      </w:r>
      <w:r>
        <w:rPr>
          <w:rFonts w:ascii="Arial" w:cs="Arial" w:eastAsia="Arial" w:hAnsi="Arial"/>
          <w:sz w:val="22"/>
          <w:szCs w:val="22"/>
          <w:b w:val="1"/>
          <w:bCs w:val="1"/>
          <w:color w:val="auto"/>
        </w:rPr>
        <w:t>.</w:t>
      </w:r>
      <w:r>
        <w:rPr>
          <w:rFonts w:ascii="Arial" w:cs="Arial" w:eastAsia="Arial" w:hAnsi="Arial"/>
          <w:sz w:val="22"/>
          <w:szCs w:val="22"/>
          <w:color w:val="auto"/>
        </w:rPr>
        <w:t xml:space="preserve"> It is expressly acknowledged and agreed that neither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5580" w:hanging="116"/>
        <w:spacing w:after="0"/>
        <w:tabs>
          <w:tab w:leader="none" w:pos="55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64" w:name="page165"/>
    <w:bookmarkEnd w:id="164"/>
    <w:p>
      <w:pPr>
        <w:jc w:val="both"/>
        <w:spacing w:after="0" w:line="238" w:lineRule="auto"/>
        <w:rPr>
          <w:sz w:val="20"/>
          <w:szCs w:val="20"/>
          <w:color w:val="auto"/>
        </w:rPr>
      </w:pPr>
      <w:r>
        <w:rPr>
          <w:rFonts w:ascii="Arial" w:cs="Arial" w:eastAsia="Arial" w:hAnsi="Arial"/>
          <w:sz w:val="22"/>
          <w:szCs w:val="22"/>
          <w:color w:val="auto"/>
        </w:rPr>
        <w:t>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77" w:lineRule="exact"/>
        <w:rPr>
          <w:sz w:val="20"/>
          <w:szCs w:val="20"/>
          <w:color w:val="auto"/>
        </w:rPr>
      </w:pPr>
    </w:p>
    <w:p>
      <w:pPr>
        <w:jc w:val="both"/>
        <w:ind w:firstLine="757"/>
        <w:spacing w:after="0" w:line="242" w:lineRule="auto"/>
        <w:tabs>
          <w:tab w:leader="none" w:pos="1016" w:val="left"/>
        </w:tabs>
        <w:numPr>
          <w:ilvl w:val="1"/>
          <w:numId w:val="71"/>
        </w:numPr>
        <w:rPr>
          <w:rFonts w:ascii="Arial" w:cs="Arial" w:eastAsia="Arial" w:hAnsi="Arial"/>
          <w:sz w:val="21"/>
          <w:szCs w:val="21"/>
          <w:color w:val="auto"/>
        </w:rPr>
      </w:pPr>
      <w:r>
        <w:rPr>
          <w:rFonts w:ascii="Arial" w:cs="Arial" w:eastAsia="Arial" w:hAnsi="Arial"/>
          <w:sz w:val="21"/>
          <w:szCs w:val="21"/>
          <w:u w:val="single" w:color="auto"/>
          <w:color w:val="auto"/>
        </w:rPr>
        <w:t>Sale of Placement Shares by the Agent.</w:t>
      </w:r>
      <w:r>
        <w:rPr>
          <w:rFonts w:ascii="Arial" w:cs="Arial" w:eastAsia="Arial" w:hAnsi="Arial"/>
          <w:sz w:val="21"/>
          <w:szCs w:val="21"/>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Arial" w:cs="Arial" w:eastAsia="Arial" w:hAnsi="Arial"/>
          <w:sz w:val="21"/>
          <w:szCs w:val="21"/>
          <w:b w:val="1"/>
          <w:bCs w:val="1"/>
          <w:u w:val="single" w:color="auto"/>
          <w:color w:val="auto"/>
        </w:rPr>
        <w:t>Nasdaq</w:t>
      </w:r>
      <w:r>
        <w:rPr>
          <w:rFonts w:ascii="Arial" w:cs="Arial" w:eastAsia="Arial" w:hAnsi="Arial"/>
          <w:sz w:val="21"/>
          <w:szCs w:val="21"/>
          <w:color w:val="auto"/>
        </w:rPr>
        <w:t xml:space="preserve">”) to sell such Placement Shares up to the amount specified, and otherwise in accordance with the terms of such Placement Notice. The Agent will provide written confirmation to the Company (including by email correspondence to each of the individuals of the Company set forth on </w:t>
      </w:r>
      <w:r>
        <w:rPr>
          <w:rFonts w:ascii="Arial" w:cs="Arial" w:eastAsia="Arial" w:hAnsi="Arial"/>
          <w:sz w:val="21"/>
          <w:szCs w:val="21"/>
          <w:b w:val="1"/>
          <w:bCs w:val="1"/>
          <w:u w:val="single" w:color="auto"/>
          <w:color w:val="auto"/>
        </w:rPr>
        <w:t>Schedule 2</w:t>
      </w:r>
      <w:r>
        <w:rPr>
          <w:rFonts w:ascii="Arial" w:cs="Arial" w:eastAsia="Arial" w:hAnsi="Arial"/>
          <w:sz w:val="21"/>
          <w:szCs w:val="21"/>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the Agent for a sale of Placement Shares that would constitute a “block” within the meaning of Rule 10b-18(a)(5) under the Exchange Act (a “</w:t>
      </w:r>
      <w:r>
        <w:rPr>
          <w:rFonts w:ascii="Arial" w:cs="Arial" w:eastAsia="Arial" w:hAnsi="Arial"/>
          <w:sz w:val="21"/>
          <w:szCs w:val="21"/>
          <w:b w:val="1"/>
          <w:bCs w:val="1"/>
          <w:u w:val="single" w:color="auto"/>
          <w:color w:val="auto"/>
        </w:rPr>
        <w:t>Block Sale</w:t>
      </w:r>
      <w:r>
        <w:rPr>
          <w:rFonts w:ascii="Arial" w:cs="Arial" w:eastAsia="Arial" w:hAnsi="Arial"/>
          <w:sz w:val="21"/>
          <w:szCs w:val="21"/>
          <w:color w:val="auto"/>
        </w:rPr>
        <w:t xml:space="preserve">”), the Company will provide the Agent, at the Agent’s request and upon reasonable advance notice to the Company, on or prior to the Settlement Date (as defined below), the opinions of counsel, accountant’s letter and officers’ certificates set forth in </w:t>
      </w:r>
      <w:r>
        <w:rPr>
          <w:rFonts w:ascii="Arial" w:cs="Arial" w:eastAsia="Arial" w:hAnsi="Arial"/>
          <w:sz w:val="21"/>
          <w:szCs w:val="21"/>
          <w:u w:val="single" w:color="auto"/>
          <w:color w:val="auto"/>
        </w:rPr>
        <w:t>Section 8</w:t>
      </w:r>
      <w:r>
        <w:rPr>
          <w:rFonts w:ascii="Arial" w:cs="Arial" w:eastAsia="Arial" w:hAnsi="Arial"/>
          <w:sz w:val="21"/>
          <w:szCs w:val="21"/>
          <w:color w:val="auto"/>
        </w:rPr>
        <w:t>‎. hereof, each dated the Settlement Date, and such other documents and information as the Agent shall reasonably request. The Agent may sell Placement Shares by any method permitted by law deemed to be an “at the market” offering as defined in Rule 415 of the Securities Act, including without limitation sales made directly on or through Nasdaq, or on any other existing trading market for the Common Stock or to or through a market maker. If expressly authorized by the Company (including in a Placement Notice), the Agent may also sell Placement Shares in negotiated transactions. The Agent shall not purchase Placement Shares for its own account as principal unless expressly authorized to do so by the Company in a Placement Notice. The Company acknowledges and agrees that</w:t>
      </w:r>
    </w:p>
    <w:p>
      <w:pPr>
        <w:spacing w:after="0" w:line="8" w:lineRule="exact"/>
        <w:rPr>
          <w:rFonts w:ascii="Arial" w:cs="Arial" w:eastAsia="Arial" w:hAnsi="Arial"/>
          <w:sz w:val="21"/>
          <w:szCs w:val="21"/>
          <w:color w:val="auto"/>
        </w:rPr>
      </w:pPr>
    </w:p>
    <w:p>
      <w:pPr>
        <w:jc w:val="both"/>
        <w:ind w:firstLine="8"/>
        <w:spacing w:after="0" w:line="232" w:lineRule="auto"/>
        <w:tabs>
          <w:tab w:leader="none" w:pos="2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there can be no assurance that the Agent will be successful in selling Placement Shares, and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to sell such Placement Shares as required under this Section 3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Arial" w:cs="Arial" w:eastAsia="Arial" w:hAnsi="Arial"/>
          <w:sz w:val="22"/>
          <w:szCs w:val="22"/>
          <w:b w:val="1"/>
          <w:bCs w:val="1"/>
          <w:u w:val="single" w:color="auto"/>
          <w:color w:val="auto"/>
        </w:rPr>
        <w:t>Trading Day</w:t>
      </w:r>
      <w:r>
        <w:rPr>
          <w:rFonts w:ascii="Arial" w:cs="Arial" w:eastAsia="Arial" w:hAnsi="Arial"/>
          <w:sz w:val="22"/>
          <w:szCs w:val="22"/>
          <w:color w:val="auto"/>
        </w:rPr>
        <w:t>” means any day on which the Company’s Common Stock is purchased and sold on the principal market on which the Common Stock is listed or quoted.</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Notwithstanding any other provision of this Agreement, the Company shall not offer, sell or deliver, or request the offer or sale, of any Placement Shares pursuant to this Agreement and, by notice to the Agent given by telephone (confirmed promptly by email), shall cancel any instructions for the offer or sale of any Placement Shares, and the Agent shall not be obligated to offer or sell any Placement Shares, (i) during any period in which the Company is, or could be deemed to be, in possession of material non-public information, or (ii) at any time from and including the date on which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65" w:name="page166"/>
    <w:bookmarkEnd w:id="165"/>
    <w:p>
      <w:pPr>
        <w:jc w:val="both"/>
        <w:spacing w:after="0"/>
        <w:rPr>
          <w:sz w:val="20"/>
          <w:szCs w:val="20"/>
          <w:color w:val="auto"/>
        </w:rPr>
      </w:pPr>
      <w:r>
        <w:rPr>
          <w:rFonts w:ascii="Arial" w:cs="Arial" w:eastAsia="Arial" w:hAnsi="Arial"/>
          <w:sz w:val="22"/>
          <w:szCs w:val="22"/>
          <w:color w:val="auto"/>
        </w:rPr>
        <w:t>shall issue a press release containing, or shall otherwise publicly announce, its earnings, revenues or other results of operations (an “</w:t>
      </w:r>
      <w:r>
        <w:rPr>
          <w:rFonts w:ascii="Arial" w:cs="Arial" w:eastAsia="Arial" w:hAnsi="Arial"/>
          <w:sz w:val="22"/>
          <w:szCs w:val="22"/>
          <w:b w:val="1"/>
          <w:bCs w:val="1"/>
          <w:u w:val="single" w:color="auto"/>
          <w:color w:val="auto"/>
        </w:rPr>
        <w:t>Earnings Announcement</w:t>
      </w:r>
      <w:r>
        <w:rPr>
          <w:rFonts w:ascii="Arial" w:cs="Arial" w:eastAsia="Arial" w:hAnsi="Arial"/>
          <w:sz w:val="22"/>
          <w:szCs w:val="22"/>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spacing w:after="0" w:line="176" w:lineRule="exact"/>
        <w:rPr>
          <w:sz w:val="20"/>
          <w:szCs w:val="20"/>
          <w:color w:val="auto"/>
        </w:rPr>
      </w:pPr>
    </w:p>
    <w:p>
      <w:pPr>
        <w:ind w:left="1000" w:hanging="243"/>
        <w:spacing w:after="0"/>
        <w:tabs>
          <w:tab w:leader="none" w:pos="100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Suspension of Sales</w:t>
      </w:r>
      <w:r>
        <w:rPr>
          <w:rFonts w:ascii="Arial" w:cs="Arial" w:eastAsia="Arial" w:hAnsi="Arial"/>
          <w:sz w:val="22"/>
          <w:szCs w:val="22"/>
          <w:color w:val="auto"/>
        </w:rPr>
        <w:t>.</w:t>
      </w:r>
    </w:p>
    <w:p>
      <w:pPr>
        <w:spacing w:after="0" w:line="206" w:lineRule="exact"/>
        <w:rPr>
          <w:sz w:val="20"/>
          <w:szCs w:val="20"/>
          <w:color w:val="auto"/>
        </w:rPr>
      </w:pPr>
    </w:p>
    <w:p>
      <w:pPr>
        <w:jc w:val="both"/>
        <w:ind w:firstLine="757"/>
        <w:spacing w:after="0" w:line="233" w:lineRule="auto"/>
        <w:tabs>
          <w:tab w:leader="none" w:pos="1156"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The Company or the Agent may, upon notice to the other party in writing (including by email correspondence to each of the individuals of the other party set forth on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xml:space="preserve">), suspend any sale of Placement Shares;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such suspension shall not affect or impair either party’s obligations with respect to any Placement Shares sold hereunder prior to the receipt of such notice. While a suspension is in effect, any obligation under Section 7(m), 7(n), 7(o) and 7(p) with respect to delivery of certificates, opinions, negative assurance letters or comfort letters to Agent, shall be waived;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certificates, opinions, negative assurance letters or comfort letters shall be delivered to the Agent prior to the resumption of sales of any Placement Shares. Each of the parties agrees that no such notice under this Section 4 shall be effective against the other unless it is made to one of the individuals named on </w:t>
      </w:r>
      <w:r>
        <w:rPr>
          <w:rFonts w:ascii="Arial" w:cs="Arial" w:eastAsia="Arial" w:hAnsi="Arial"/>
          <w:sz w:val="22"/>
          <w:szCs w:val="22"/>
          <w:b w:val="1"/>
          <w:bCs w:val="1"/>
          <w:u w:val="single" w:color="auto"/>
          <w:color w:val="auto"/>
        </w:rPr>
        <w:t>Schedule 2</w:t>
      </w:r>
      <w:r>
        <w:rPr>
          <w:rFonts w:ascii="Arial" w:cs="Arial" w:eastAsia="Arial" w:hAnsi="Arial"/>
          <w:sz w:val="22"/>
          <w:szCs w:val="22"/>
          <w:color w:val="auto"/>
        </w:rPr>
        <w:t xml:space="preserve"> hereto as such schedule may be amended from time to time.</w:t>
      </w:r>
    </w:p>
    <w:p>
      <w:pPr>
        <w:spacing w:after="0" w:line="184" w:lineRule="exact"/>
        <w:rPr>
          <w:rFonts w:ascii="Arial" w:cs="Arial" w:eastAsia="Arial" w:hAnsi="Arial"/>
          <w:sz w:val="22"/>
          <w:szCs w:val="22"/>
          <w:color w:val="auto"/>
        </w:rPr>
      </w:pPr>
    </w:p>
    <w:p>
      <w:pPr>
        <w:jc w:val="both"/>
        <w:ind w:firstLine="757"/>
        <w:spacing w:after="0"/>
        <w:tabs>
          <w:tab w:leader="none" w:pos="1089"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either the Agent or the Company has reason to believe that the exemptive provisions set forth in Rule 101(c)(1) of Regulation M under the Exchange Act are not satisfied with respect to the Common Stock, it shall promptly notify the other party, and the Agent may, at its sole discretion, suspend sales of the Placement Shares under this Agreement.</w:t>
      </w:r>
    </w:p>
    <w:p>
      <w:pPr>
        <w:spacing w:after="0" w:line="203" w:lineRule="exact"/>
        <w:rPr>
          <w:rFonts w:ascii="Arial" w:cs="Arial" w:eastAsia="Arial" w:hAnsi="Arial"/>
          <w:sz w:val="22"/>
          <w:szCs w:val="22"/>
          <w:color w:val="auto"/>
        </w:rPr>
      </w:pPr>
    </w:p>
    <w:p>
      <w:pPr>
        <w:jc w:val="both"/>
        <w:ind w:firstLine="757"/>
        <w:spacing w:after="0" w:line="236" w:lineRule="auto"/>
        <w:tabs>
          <w:tab w:leader="none" w:pos="1078"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Registration Statement was declared effective by the Commission on May 2, 2022. Notwithstanding any other provision of this Agreement, during any period in which the Registration Statement is no longer effective under the Securities Act, the Company shall promptly notify the Agent, the Company shall not request the sale of any Placement Shares, and the Agent shall not be obligated to sell or offer to sell any Placement Shares. The requirement to promptly notify the Agent pursuant to this Section 4(c) shall be waived during any period in which no Placement Notice is pending.</w:t>
      </w:r>
    </w:p>
    <w:p>
      <w:pPr>
        <w:spacing w:after="0" w:line="209" w:lineRule="exact"/>
        <w:rPr>
          <w:sz w:val="20"/>
          <w:szCs w:val="20"/>
          <w:color w:val="auto"/>
        </w:rPr>
      </w:pPr>
    </w:p>
    <w:p>
      <w:pPr>
        <w:ind w:left="1000" w:hanging="243"/>
        <w:spacing w:after="0"/>
        <w:tabs>
          <w:tab w:leader="none" w:pos="10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Settlement.</w:t>
      </w:r>
    </w:p>
    <w:p>
      <w:pPr>
        <w:spacing w:after="0" w:line="206" w:lineRule="exact"/>
        <w:rPr>
          <w:sz w:val="20"/>
          <w:szCs w:val="20"/>
          <w:color w:val="auto"/>
        </w:rPr>
      </w:pPr>
    </w:p>
    <w:p>
      <w:pPr>
        <w:jc w:val="both"/>
        <w:ind w:firstLine="757"/>
        <w:spacing w:after="0" w:line="229" w:lineRule="auto"/>
        <w:tabs>
          <w:tab w:leader="none" w:pos="114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Settlement of Placement Shares</w:t>
      </w:r>
      <w:r>
        <w:rPr>
          <w:rFonts w:ascii="Arial" w:cs="Arial" w:eastAsia="Arial" w:hAnsi="Arial"/>
          <w:sz w:val="22"/>
          <w:szCs w:val="22"/>
          <w:color w:val="auto"/>
        </w:rPr>
        <w:t>. Unless otherwise specified in the applicable Placement Notice, settlement for sales of Placement Shares will occur on the second (2</w:t>
      </w:r>
      <w:r>
        <w:rPr>
          <w:rFonts w:ascii="Arial" w:cs="Arial" w:eastAsia="Arial" w:hAnsi="Arial"/>
          <w:sz w:val="28"/>
          <w:szCs w:val="28"/>
          <w:color w:val="auto"/>
          <w:vertAlign w:val="superscript"/>
        </w:rPr>
        <w:t>nd</w:t>
      </w:r>
      <w:r>
        <w:rPr>
          <w:rFonts w:ascii="Arial" w:cs="Arial" w:eastAsia="Arial" w:hAnsi="Arial"/>
          <w:sz w:val="22"/>
          <w:szCs w:val="22"/>
          <w:color w:val="auto"/>
        </w:rPr>
        <w:t>) Trading Day (or such earlier day as is industry practice or as is required for regular-way trading) following the date on which such sales are made (each, a “</w:t>
      </w:r>
      <w:r>
        <w:rPr>
          <w:rFonts w:ascii="Arial" w:cs="Arial" w:eastAsia="Arial" w:hAnsi="Arial"/>
          <w:sz w:val="22"/>
          <w:szCs w:val="22"/>
          <w:b w:val="1"/>
          <w:bCs w:val="1"/>
          <w:u w:val="single" w:color="auto"/>
          <w:color w:val="auto"/>
        </w:rPr>
        <w:t>Settlement Date</w:t>
      </w:r>
      <w:r>
        <w:rPr>
          <w:rFonts w:ascii="Arial" w:cs="Arial" w:eastAsia="Arial" w:hAnsi="Arial"/>
          <w:sz w:val="22"/>
          <w:szCs w:val="22"/>
          <w:color w:val="auto"/>
        </w:rPr>
        <w:t>” and the first such settlement date, the “</w:t>
      </w:r>
      <w:r>
        <w:rPr>
          <w:rFonts w:ascii="Arial" w:cs="Arial" w:eastAsia="Arial" w:hAnsi="Arial"/>
          <w:sz w:val="22"/>
          <w:szCs w:val="22"/>
          <w:b w:val="1"/>
          <w:bCs w:val="1"/>
          <w:u w:val="single" w:color="auto"/>
          <w:color w:val="auto"/>
        </w:rPr>
        <w:t>First Delivery Date</w:t>
      </w:r>
      <w:r>
        <w:rPr>
          <w:rFonts w:ascii="Arial" w:cs="Arial" w:eastAsia="Arial" w:hAnsi="Arial"/>
          <w:sz w:val="22"/>
          <w:szCs w:val="22"/>
          <w:color w:val="auto"/>
        </w:rPr>
        <w:t>”). The amount of proceeds to be delivered to the Company on a Settlement Date against receipt of the Placement Shares sold (the “</w:t>
      </w:r>
      <w:r>
        <w:rPr>
          <w:rFonts w:ascii="Arial" w:cs="Arial" w:eastAsia="Arial" w:hAnsi="Arial"/>
          <w:sz w:val="22"/>
          <w:szCs w:val="22"/>
          <w:b w:val="1"/>
          <w:bCs w:val="1"/>
          <w:u w:val="single" w:color="auto"/>
          <w:color w:val="auto"/>
        </w:rPr>
        <w:t>Net Proceeds</w:t>
      </w:r>
      <w:r>
        <w:rPr>
          <w:rFonts w:ascii="Arial" w:cs="Arial" w:eastAsia="Arial" w:hAnsi="Arial"/>
          <w:sz w:val="22"/>
          <w:szCs w:val="22"/>
          <w:color w:val="auto"/>
        </w:rPr>
        <w:t xml:space="preserve">”) will be equal to the aggregate gross sales price received by the Agent at which such Placement Shares were sold, after deduction for (i) the Agent’s commission, discount or other compensation for such sales payable by the Company pursuant to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hereof, (ii) any other amounts due and payable by the Company to the Agent hereunder pursuant to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(Expenses) hereof, and (iii) any transaction fees imposed by any governmental or self-regulatory organization in respect of such sales that are payable by the Agent.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9" w:lineRule="exact"/>
        <w:rPr>
          <w:rFonts w:ascii="Arial" w:cs="Arial" w:eastAsia="Arial" w:hAnsi="Arial"/>
          <w:sz w:val="22"/>
          <w:szCs w:val="22"/>
          <w:color w:val="auto"/>
        </w:rPr>
      </w:pPr>
    </w:p>
    <w:p>
      <w:pPr>
        <w:ind w:left="5580" w:hanging="116"/>
        <w:spacing w:after="0"/>
        <w:tabs>
          <w:tab w:leader="none" w:pos="55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66" w:name="page167"/>
    <w:bookmarkEnd w:id="166"/>
    <w:p>
      <w:pPr>
        <w:jc w:val="both"/>
        <w:ind w:left="-757" w:firstLine="757"/>
        <w:spacing w:after="0" w:line="233" w:lineRule="auto"/>
        <w:tabs>
          <w:tab w:leader="none" w:pos="343"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Delivery of Placement Shares</w:t>
      </w:r>
      <w:r>
        <w:rPr>
          <w:rFonts w:ascii="Arial" w:cs="Arial" w:eastAsia="Arial" w:hAnsi="Arial"/>
          <w:sz w:val="22"/>
          <w:szCs w:val="22"/>
          <w:color w:val="auto"/>
        </w:rPr>
        <w:t>. On or before each Settlement Date, the Company will, or will cause its transfer agent to, electronically transfer the Placement Shares being sold by crediting the Agent’s or its designee’s account (provided the Agent shall have given the Company written notice of such designee at least one (1) Trading Day prior to the Settlement Date) at The Depository Trust Company through its Deposit and Withdrawal at Custodian System or by such other means of delivery as may be mutually agreed upon by the parties hereto which in all cases shall be duly authorized, freely tradeable, transferable, registered shares of Common Stock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through no fault of the Agent, the Company agrees that in addition to and in no way limiting the rights and obligations set forth in Section 9(a)‎ (Company Indemnification) hereto, it will (i) hold the Agent harmless against any loss, claim, damage, or reasonable and documented expense (including reasonable and documented legal fees and expenses), as incurred, arising out of or in connection with such default by the Company or its transfer agent (if applicable) and (iii) pay to the Agent any commission, discount or other compensation to which it would otherwise have been entitled absent such default.</w:t>
      </w:r>
    </w:p>
    <w:p>
      <w:pPr>
        <w:spacing w:after="0" w:line="177" w:lineRule="exact"/>
        <w:rPr>
          <w:sz w:val="20"/>
          <w:szCs w:val="20"/>
          <w:color w:val="auto"/>
        </w:rPr>
      </w:pPr>
    </w:p>
    <w:p>
      <w:pPr>
        <w:jc w:val="both"/>
        <w:ind w:left="-757" w:firstLine="757"/>
        <w:spacing w:after="0" w:line="243" w:lineRule="auto"/>
        <w:tabs>
          <w:tab w:leader="none" w:pos="24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and agrees with, the Agent that, unless such representation, warranty or agreement specifies a different time, as of (i) the date of this Agreement, (ii) each Time of Sale (as defined below), (iii) each Settlement Date, and (iv) each Bring-Down Date (as defined below) (each date included in (i) through (iv), a “</w:t>
      </w:r>
      <w:r>
        <w:rPr>
          <w:rFonts w:ascii="Arial" w:cs="Arial" w:eastAsia="Arial" w:hAnsi="Arial"/>
          <w:sz w:val="22"/>
          <w:szCs w:val="22"/>
          <w:b w:val="1"/>
          <w:bCs w:val="1"/>
          <w:u w:val="single" w:color="auto"/>
          <w:color w:val="auto"/>
        </w:rPr>
        <w:t>Representation Date</w:t>
      </w:r>
      <w:r>
        <w:rPr>
          <w:rFonts w:ascii="Arial" w:cs="Arial" w:eastAsia="Arial" w:hAnsi="Arial"/>
          <w:sz w:val="22"/>
          <w:szCs w:val="22"/>
          <w:color w:val="auto"/>
        </w:rPr>
        <w:t>”):</w:t>
      </w:r>
    </w:p>
    <w:p>
      <w:pPr>
        <w:spacing w:after="0" w:line="163" w:lineRule="exact"/>
        <w:rPr>
          <w:sz w:val="20"/>
          <w:szCs w:val="20"/>
          <w:color w:val="auto"/>
        </w:rPr>
      </w:pPr>
    </w:p>
    <w:p>
      <w:pPr>
        <w:jc w:val="both"/>
        <w:ind w:left="-757" w:firstLine="757"/>
        <w:spacing w:after="0" w:line="250" w:lineRule="exact"/>
        <w:tabs>
          <w:tab w:leader="none" w:pos="424"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Compliance with Registration Requirements</w:t>
      </w:r>
      <w:r>
        <w:rPr>
          <w:rFonts w:ascii="Arial" w:cs="Arial" w:eastAsia="Arial" w:hAnsi="Arial"/>
          <w:sz w:val="21"/>
          <w:szCs w:val="21"/>
          <w:color w:val="auto"/>
        </w:rPr>
        <w:t>. The Registration Statement and any Rule 462(b) Registration Statement have been declared effective by the Commission under the Securities Act. The Company has complied to the Commission’s satisfaction with all requests of the Commission for additional or supplemental information related to the Registration Statement or the Prospectus or any Rule 462(b) Registration Statement. No stop order suspending the effectiveness of the Registration Statement or any Rule 462(b) Registration Statement is in effect and no proceedings for such purpose have been instituted or are pending or, to the knowledge of the Company, threatened by the Commission. The Company meets the requirements for use of Form S</w:t>
      </w:r>
      <w:r>
        <w:rPr>
          <w:rFonts w:ascii="MS PGothic" w:cs="MS PGothic" w:eastAsia="MS PGothic" w:hAnsi="MS PGothic"/>
          <w:sz w:val="21"/>
          <w:szCs w:val="21"/>
          <w:color w:val="auto"/>
        </w:rPr>
        <w:t>‑</w:t>
      </w:r>
      <w:r>
        <w:rPr>
          <w:rFonts w:ascii="Arial" w:cs="Arial" w:eastAsia="Arial" w:hAnsi="Arial"/>
          <w:sz w:val="21"/>
          <w:szCs w:val="21"/>
          <w:color w:val="auto"/>
        </w:rPr>
        <w:t>3 under the Securities Act. The sale of the Placement Shares hereunder meets the requirements of General Instruction I.B.1 of Form S-3.</w:t>
      </w:r>
    </w:p>
    <w:p>
      <w:pPr>
        <w:spacing w:after="0" w:line="177" w:lineRule="exact"/>
        <w:rPr>
          <w:rFonts w:ascii="Arial" w:cs="Arial" w:eastAsia="Arial" w:hAnsi="Arial"/>
          <w:sz w:val="21"/>
          <w:szCs w:val="21"/>
          <w:color w:val="auto"/>
        </w:rPr>
      </w:pPr>
    </w:p>
    <w:p>
      <w:pPr>
        <w:jc w:val="both"/>
        <w:ind w:left="-757" w:firstLine="757"/>
        <w:spacing w:after="0" w:line="233" w:lineRule="auto"/>
        <w:tabs>
          <w:tab w:leader="none" w:pos="31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No Misstatement or Omission</w:t>
      </w:r>
      <w:r>
        <w:rPr>
          <w:rFonts w:ascii="Arial" w:cs="Arial" w:eastAsia="Arial" w:hAnsi="Arial"/>
          <w:sz w:val="22"/>
          <w:szCs w:val="22"/>
          <w:color w:val="auto"/>
        </w:rPr>
        <w:t>.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1" w:lineRule="exact"/>
        <w:rPr>
          <w:rFonts w:ascii="Arial" w:cs="Arial" w:eastAsia="Arial" w:hAnsi="Arial"/>
          <w:sz w:val="22"/>
          <w:szCs w:val="22"/>
          <w:color w:val="auto"/>
        </w:rPr>
      </w:pPr>
    </w:p>
    <w:p>
      <w:pPr>
        <w:ind w:left="4823" w:hanging="116"/>
        <w:spacing w:after="0"/>
        <w:tabs>
          <w:tab w:leader="none" w:pos="4823" w:val="left"/>
        </w:tabs>
        <w:numPr>
          <w:ilvl w:val="1"/>
          <w:numId w:val="79"/>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64" w:right="339" w:bottom="1440" w:gutter="0" w:footer="0" w:header="0"/>
        </w:sectPr>
      </w:pPr>
    </w:p>
    <w:bookmarkStart w:id="167" w:name="page168"/>
    <w:bookmarkEnd w:id="167"/>
    <w:p>
      <w:pPr>
        <w:jc w:val="both"/>
        <w:spacing w:after="0" w:line="238" w:lineRule="auto"/>
        <w:rPr>
          <w:sz w:val="20"/>
          <w:szCs w:val="20"/>
          <w:color w:val="auto"/>
        </w:rPr>
      </w:pPr>
      <w:r>
        <w:rPr>
          <w:rFonts w:ascii="Arial" w:cs="Arial" w:eastAsia="Arial" w:hAnsi="Arial"/>
          <w:sz w:val="22"/>
          <w:szCs w:val="22"/>
          <w:color w:val="auto"/>
        </w:rPr>
        <w:t>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Arial" w:cs="Arial" w:eastAsia="Arial" w:hAnsi="Arial"/>
          <w:sz w:val="22"/>
          <w:szCs w:val="22"/>
          <w:b w:val="1"/>
          <w:bCs w:val="1"/>
          <w:u w:val="single" w:color="auto"/>
          <w:color w:val="auto"/>
        </w:rPr>
        <w:t>Time of Sale</w:t>
      </w:r>
      <w:r>
        <w:rPr>
          <w:rFonts w:ascii="Arial" w:cs="Arial" w:eastAsia="Arial" w:hAnsi="Arial"/>
          <w:sz w:val="22"/>
          <w:szCs w:val="22"/>
          <w:color w:val="auto"/>
        </w:rPr>
        <w:t>” means with respect to each offering of Placement Shares pursuant to this Agreement, the time of the Agent’s initial entry into contracts with purchasers for the sale of such Placement Shares.</w:t>
      </w:r>
    </w:p>
    <w:p>
      <w:pPr>
        <w:spacing w:after="0" w:line="177" w:lineRule="exact"/>
        <w:rPr>
          <w:sz w:val="20"/>
          <w:szCs w:val="20"/>
          <w:color w:val="auto"/>
        </w:rPr>
      </w:pPr>
    </w:p>
    <w:p>
      <w:pPr>
        <w:jc w:val="both"/>
        <w:ind w:firstLine="757"/>
        <w:spacing w:after="0" w:line="247" w:lineRule="auto"/>
        <w:tabs>
          <w:tab w:leader="none" w:pos="1061"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Offering Materials Furnished to the Agent</w:t>
      </w:r>
      <w:r>
        <w:rPr>
          <w:rFonts w:ascii="Arial" w:cs="Arial" w:eastAsia="Arial" w:hAnsi="Arial"/>
          <w:sz w:val="21"/>
          <w:szCs w:val="21"/>
          <w:color w:val="auto"/>
        </w:rPr>
        <w:t>. The Company has delivered to the Agent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the Agent has reasonably requested. The Registration Statement, the Prospectus and any Permitted Free Writing Prospectus (to the extent any such Permitted Free Writing Prospectus was required to be filed with the Commission) delivered to the Agent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171" w:lineRule="exact"/>
        <w:rPr>
          <w:rFonts w:ascii="Arial" w:cs="Arial" w:eastAsia="Arial" w:hAnsi="Arial"/>
          <w:sz w:val="21"/>
          <w:szCs w:val="21"/>
          <w:color w:val="auto"/>
        </w:rPr>
      </w:pPr>
    </w:p>
    <w:p>
      <w:pPr>
        <w:jc w:val="both"/>
        <w:ind w:firstLine="757"/>
        <w:spacing w:after="0" w:line="245" w:lineRule="auto"/>
        <w:tabs>
          <w:tab w:leader="none" w:pos="1073"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Not an Ineligible Issuer</w:t>
      </w:r>
      <w:r>
        <w:rPr>
          <w:rFonts w:ascii="Arial" w:cs="Arial" w:eastAsia="Arial" w:hAnsi="Arial"/>
          <w:sz w:val="22"/>
          <w:szCs w:val="22"/>
          <w:color w:val="auto"/>
        </w:rPr>
        <w:t>. The Company currently is not an “ineligible issuer,” as defined in Rule 405 under the Securities Act. The Company agrees to notify the Agent promptly upon the Company becoming an “ineligible issuer.”</w:t>
      </w:r>
    </w:p>
    <w:p>
      <w:pPr>
        <w:spacing w:after="0" w:line="170" w:lineRule="exact"/>
        <w:rPr>
          <w:rFonts w:ascii="Arial" w:cs="Arial" w:eastAsia="Arial" w:hAnsi="Arial"/>
          <w:sz w:val="22"/>
          <w:szCs w:val="22"/>
          <w:color w:val="auto"/>
        </w:rPr>
      </w:pPr>
    </w:p>
    <w:p>
      <w:pPr>
        <w:ind w:left="1080" w:hanging="323"/>
        <w:spacing w:after="0"/>
        <w:tabs>
          <w:tab w:leader="none" w:pos="108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757"/>
        <w:spacing w:after="0" w:line="262" w:lineRule="auto"/>
        <w:tabs>
          <w:tab w:leader="none" w:pos="1013"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Distribution of Offering Material By the Company</w:t>
      </w:r>
      <w:r>
        <w:rPr>
          <w:rFonts w:ascii="Arial" w:cs="Arial" w:eastAsia="Arial" w:hAnsi="Arial"/>
          <w:sz w:val="21"/>
          <w:szCs w:val="21"/>
          <w:color w:val="auto"/>
        </w:rPr>
        <w:t>. The Company has not distributed and will not distribute, prior to the completion of the Agent’s distribution of the Placement Shares, any offering material in connection with the offer and sale of the Placement Shares other than the Prospectus or the Registration Statement.</w:t>
      </w:r>
    </w:p>
    <w:p>
      <w:pPr>
        <w:spacing w:after="0" w:line="154" w:lineRule="exact"/>
        <w:rPr>
          <w:rFonts w:ascii="Arial" w:cs="Arial" w:eastAsia="Arial" w:hAnsi="Arial"/>
          <w:sz w:val="21"/>
          <w:szCs w:val="21"/>
          <w:color w:val="auto"/>
        </w:rPr>
      </w:pPr>
    </w:p>
    <w:p>
      <w:pPr>
        <w:jc w:val="both"/>
        <w:ind w:right="20" w:firstLine="757"/>
        <w:spacing w:after="0"/>
        <w:tabs>
          <w:tab w:leader="none" w:pos="1073"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Due Authorization.</w:t>
      </w:r>
      <w:r>
        <w:rPr>
          <w:rFonts w:ascii="Arial" w:cs="Arial" w:eastAsia="Arial" w:hAnsi="Arial"/>
          <w:sz w:val="22"/>
          <w:szCs w:val="22"/>
          <w:color w:val="auto"/>
        </w:rPr>
        <w:t xml:space="preserve">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76" w:lineRule="exact"/>
        <w:rPr>
          <w:rFonts w:ascii="Arial" w:cs="Arial" w:eastAsia="Arial" w:hAnsi="Arial"/>
          <w:sz w:val="22"/>
          <w:szCs w:val="22"/>
          <w:color w:val="auto"/>
        </w:rPr>
      </w:pPr>
    </w:p>
    <w:p>
      <w:pPr>
        <w:jc w:val="both"/>
        <w:ind w:firstLine="757"/>
        <w:spacing w:after="0" w:line="236" w:lineRule="auto"/>
        <w:tabs>
          <w:tab w:leader="none" w:pos="1127"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The Sales Agreement.</w:t>
      </w:r>
      <w:r>
        <w:rPr>
          <w:rFonts w:ascii="Arial" w:cs="Arial" w:eastAsia="Arial" w:hAnsi="Arial"/>
          <w:sz w:val="22"/>
          <w:szCs w:val="22"/>
          <w:color w:val="auto"/>
        </w:rPr>
        <w:t xml:space="preserve"> This Agreement has been duly authorized, executed and delivered by, and, assuming the due authorization, execution and delivery by the Agent,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81" w:lineRule="exact"/>
        <w:rPr>
          <w:rFonts w:ascii="Arial" w:cs="Arial" w:eastAsia="Arial" w:hAnsi="Arial"/>
          <w:sz w:val="22"/>
          <w:szCs w:val="22"/>
          <w:color w:val="auto"/>
        </w:rPr>
      </w:pPr>
    </w:p>
    <w:p>
      <w:pPr>
        <w:jc w:val="both"/>
        <w:ind w:firstLine="757"/>
        <w:spacing w:after="0" w:line="236" w:lineRule="auto"/>
        <w:tabs>
          <w:tab w:leader="none" w:pos="1041"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Authorization of the Common Stock</w:t>
      </w:r>
      <w:r>
        <w:rPr>
          <w:rFonts w:ascii="Arial" w:cs="Arial" w:eastAsia="Arial" w:hAnsi="Arial"/>
          <w:sz w:val="22"/>
          <w:szCs w:val="22"/>
          <w:color w:val="auto"/>
        </w:rPr>
        <w:t>.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and will conform in all material respects to the descriptions thereof in the Registration Statement and the Prospectus; and the issuance of the Placement Shares is not subject to any preemptive or similar rights that have not been duly waived or satisfied.</w:t>
      </w:r>
    </w:p>
    <w:p>
      <w:pPr>
        <w:spacing w:after="0" w:line="181" w:lineRule="exact"/>
        <w:rPr>
          <w:rFonts w:ascii="Arial" w:cs="Arial" w:eastAsia="Arial" w:hAnsi="Arial"/>
          <w:sz w:val="22"/>
          <w:szCs w:val="22"/>
          <w:color w:val="auto"/>
        </w:rPr>
      </w:pPr>
    </w:p>
    <w:p>
      <w:pPr>
        <w:jc w:val="both"/>
        <w:ind w:firstLine="757"/>
        <w:spacing w:after="0" w:line="245" w:lineRule="auto"/>
        <w:tabs>
          <w:tab w:leader="none" w:pos="1014"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Capitalization.</w:t>
      </w:r>
      <w:r>
        <w:rPr>
          <w:rFonts w:ascii="Arial" w:cs="Arial" w:eastAsia="Arial" w:hAnsi="Arial"/>
          <w:sz w:val="22"/>
          <w:szCs w:val="22"/>
          <w:color w:val="auto"/>
        </w:rPr>
        <w:t xml:space="preserve"> The Company has an authorized capitalization as set forth or incorporated by reference in the Registration Statement and the Prospectus as of the date specified therein; all the outstanding shares of capital stock of the Company have been duly and validly authorized and issued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5580" w:hanging="116"/>
        <w:spacing w:after="0"/>
        <w:tabs>
          <w:tab w:leader="none" w:pos="55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68" w:name="page169"/>
    <w:bookmarkEnd w:id="168"/>
    <w:p>
      <w:pPr>
        <w:jc w:val="both"/>
        <w:spacing w:after="0" w:line="233" w:lineRule="auto"/>
        <w:rPr>
          <w:sz w:val="20"/>
          <w:szCs w:val="20"/>
          <w:color w:val="auto"/>
        </w:rPr>
      </w:pPr>
      <w:r>
        <w:rPr>
          <w:rFonts w:ascii="Arial" w:cs="Arial" w:eastAsia="Arial" w:hAnsi="Arial"/>
          <w:sz w:val="22"/>
          <w:szCs w:val="22"/>
          <w:color w:val="auto"/>
        </w:rPr>
        <w:t>and are fully paid and non-assessable and are not subject to any pre-emptive or similar rights that have not been duly waived or satisfied; except as described in or expressly contemplated by the Registration Statement and the Prospectus, there are no outstanding rights (including, without limitation, pre-emptive rights that have not been duly waived or satisfied),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183" w:lineRule="exact"/>
        <w:rPr>
          <w:sz w:val="20"/>
          <w:szCs w:val="20"/>
          <w:color w:val="auto"/>
        </w:rPr>
      </w:pPr>
    </w:p>
    <w:p>
      <w:pPr>
        <w:jc w:val="both"/>
        <w:ind w:firstLine="757"/>
        <w:spacing w:after="0" w:line="233" w:lineRule="auto"/>
        <w:tabs>
          <w:tab w:leader="none" w:pos="1088"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 xml:space="preserve"> With respect to the stock options (the “</w:t>
      </w:r>
      <w:r>
        <w:rPr>
          <w:rFonts w:ascii="Arial" w:cs="Arial" w:eastAsia="Arial" w:hAnsi="Arial"/>
          <w:sz w:val="22"/>
          <w:szCs w:val="22"/>
          <w:b w:val="1"/>
          <w:bCs w:val="1"/>
          <w:u w:val="single" w:color="auto"/>
          <w:color w:val="auto"/>
        </w:rPr>
        <w:t>Stock Options</w:t>
      </w:r>
      <w:r>
        <w:rPr>
          <w:rFonts w:ascii="Arial" w:cs="Arial" w:eastAsia="Arial" w:hAnsi="Arial"/>
          <w:sz w:val="22"/>
          <w:szCs w:val="22"/>
          <w:color w:val="auto"/>
        </w:rPr>
        <w:t>”) granted pursuant to the stock-based compensation plans of the Company and its subsidiaries (the “</w:t>
      </w:r>
      <w:r>
        <w:rPr>
          <w:rFonts w:ascii="Arial" w:cs="Arial" w:eastAsia="Arial" w:hAnsi="Arial"/>
          <w:sz w:val="22"/>
          <w:szCs w:val="22"/>
          <w:b w:val="1"/>
          <w:bCs w:val="1"/>
          <w:u w:val="single" w:color="auto"/>
          <w:color w:val="auto"/>
        </w:rPr>
        <w:t>Company Stock Plans</w:t>
      </w:r>
      <w:r>
        <w:rPr>
          <w:rFonts w:ascii="Arial" w:cs="Arial" w:eastAsia="Arial" w:hAnsi="Arial"/>
          <w:sz w:val="22"/>
          <w:szCs w:val="22"/>
          <w:color w:val="auto"/>
        </w:rPr>
        <w:t>”), except to the extent not material, (i) each Stock Option intended to qualify as an “incentive stock option” under Section 422 of the Code (as defined below) so qualifies, (ii) each grant of a Stock Option was duly authorized no later than the date on which the grant of such Stock Option was by its terms to be effective (the “</w:t>
      </w:r>
      <w:r>
        <w:rPr>
          <w:rFonts w:ascii="Arial" w:cs="Arial" w:eastAsia="Arial" w:hAnsi="Arial"/>
          <w:sz w:val="22"/>
          <w:szCs w:val="22"/>
          <w:b w:val="1"/>
          <w:bCs w:val="1"/>
          <w:u w:val="single" w:color="auto"/>
          <w:color w:val="auto"/>
        </w:rPr>
        <w:t>Grant Date</w:t>
      </w:r>
      <w:r>
        <w:rPr>
          <w:rFonts w:ascii="Arial" w:cs="Arial" w:eastAsia="Arial" w:hAnsi="Arial"/>
          <w:sz w:val="22"/>
          <w:szCs w:val="22"/>
          <w:color w:val="auto"/>
        </w:rPr>
        <w:t>”)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applicable rules of Nasdaq, and (iv) each such grant was properly accounted for in accordance with GAAP (as defined below)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179" w:lineRule="exact"/>
        <w:rPr>
          <w:rFonts w:ascii="Arial" w:cs="Arial" w:eastAsia="Arial" w:hAnsi="Arial"/>
          <w:sz w:val="22"/>
          <w:szCs w:val="22"/>
          <w:color w:val="auto"/>
        </w:rPr>
      </w:pPr>
    </w:p>
    <w:p>
      <w:pPr>
        <w:jc w:val="both"/>
        <w:ind w:firstLine="757"/>
        <w:spacing w:after="0" w:line="245" w:lineRule="auto"/>
        <w:tabs>
          <w:tab w:leader="none" w:pos="1001"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 Applicable Registration or Other Similar Rights</w:t>
      </w:r>
      <w:r>
        <w:rPr>
          <w:rFonts w:ascii="Arial" w:cs="Arial" w:eastAsia="Arial" w:hAnsi="Arial"/>
          <w:sz w:val="22"/>
          <w:szCs w:val="22"/>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70" w:lineRule="exact"/>
        <w:rPr>
          <w:rFonts w:ascii="Arial" w:cs="Arial" w:eastAsia="Arial" w:hAnsi="Arial"/>
          <w:sz w:val="22"/>
          <w:szCs w:val="22"/>
          <w:color w:val="auto"/>
        </w:rPr>
      </w:pPr>
    </w:p>
    <w:p>
      <w:pPr>
        <w:jc w:val="both"/>
        <w:ind w:firstLine="757"/>
        <w:spacing w:after="0" w:line="234" w:lineRule="auto"/>
        <w:tabs>
          <w:tab w:leader="none" w:pos="116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 Material Adverse Change</w:t>
      </w:r>
      <w:r>
        <w:rPr>
          <w:rFonts w:ascii="Arial" w:cs="Arial" w:eastAsia="Arial" w:hAnsi="Arial"/>
          <w:sz w:val="22"/>
          <w:szCs w:val="22"/>
          <w:color w:val="auto"/>
        </w:rPr>
        <w:t>. Since the date of the most recent financial statements of the Company included or incorporated by reference in the Prospectus, (i) there has not been any change in the capital stock (other than the issuance of shares of Common Stock upon exercise of stock options and vesting and settlement of restricted stock units described as outstanding in, and the grant of options and awards under existing equity incentive plans described in, the Registration Statement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9" w:lineRule="exact"/>
        <w:rPr>
          <w:rFonts w:ascii="Arial" w:cs="Arial" w:eastAsia="Arial" w:hAnsi="Arial"/>
          <w:sz w:val="22"/>
          <w:szCs w:val="22"/>
          <w:color w:val="auto"/>
        </w:rPr>
      </w:pPr>
    </w:p>
    <w:p>
      <w:pPr>
        <w:ind w:left="5580" w:hanging="116"/>
        <w:spacing w:after="0"/>
        <w:tabs>
          <w:tab w:leader="none" w:pos="55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69" w:name="page170"/>
    <w:bookmarkEnd w:id="169"/>
    <w:p>
      <w:pPr>
        <w:jc w:val="both"/>
        <w:spacing w:after="0" w:line="236" w:lineRule="auto"/>
        <w:rPr>
          <w:sz w:val="20"/>
          <w:szCs w:val="20"/>
          <w:color w:val="auto"/>
        </w:rPr>
      </w:pPr>
      <w:r>
        <w:rPr>
          <w:rFonts w:ascii="Arial" w:cs="Arial" w:eastAsia="Arial" w:hAnsi="Arial"/>
          <w:sz w:val="22"/>
          <w:szCs w:val="22"/>
          <w:color w:val="auto"/>
        </w:rPr>
        <w:t>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Prospectus.</w:t>
      </w:r>
    </w:p>
    <w:p>
      <w:pPr>
        <w:spacing w:after="0" w:line="176" w:lineRule="exact"/>
        <w:rPr>
          <w:sz w:val="20"/>
          <w:szCs w:val="20"/>
          <w:color w:val="auto"/>
        </w:rPr>
      </w:pPr>
    </w:p>
    <w:p>
      <w:pPr>
        <w:jc w:val="both"/>
        <w:ind w:firstLine="757"/>
        <w:spacing w:after="0" w:line="238" w:lineRule="auto"/>
        <w:tabs>
          <w:tab w:leader="none" w:pos="1127"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Independent Accountants</w:t>
      </w:r>
      <w:r>
        <w:rPr>
          <w:rFonts w:ascii="Arial" w:cs="Arial" w:eastAsia="Arial" w:hAnsi="Arial"/>
          <w:sz w:val="22"/>
          <w:szCs w:val="22"/>
          <w:color w:val="auto"/>
        </w:rPr>
        <w:t>. Ernst &amp; Young LLP, who has expressed its opinion with respect to the consolidated financial statements (which term as used in this Agreement includes the related notes thereto) and supporting schedules filed with the Commission or incorporated by reference as a part of the Registration Statement and the Prospectus, is an independent registered public accounting firm as required by the Securities Act and the Exchange Act.</w:t>
      </w:r>
    </w:p>
    <w:p>
      <w:pPr>
        <w:spacing w:after="0" w:line="176" w:lineRule="exact"/>
        <w:rPr>
          <w:rFonts w:ascii="Arial" w:cs="Arial" w:eastAsia="Arial" w:hAnsi="Arial"/>
          <w:sz w:val="22"/>
          <w:szCs w:val="22"/>
          <w:color w:val="auto"/>
        </w:rPr>
      </w:pPr>
    </w:p>
    <w:p>
      <w:pPr>
        <w:jc w:val="both"/>
        <w:ind w:firstLine="757"/>
        <w:spacing w:after="0" w:line="232" w:lineRule="auto"/>
        <w:tabs>
          <w:tab w:leader="none" w:pos="108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Preparation of the Financial Statements</w:t>
      </w:r>
      <w:r>
        <w:rPr>
          <w:rFonts w:ascii="Arial" w:cs="Arial" w:eastAsia="Arial" w:hAnsi="Arial"/>
          <w:sz w:val="22"/>
          <w:szCs w:val="22"/>
          <w:color w:val="auto"/>
        </w:rPr>
        <w:t>. The financial statements (including the related notes thereto) of the Company and its consolidated subsidiaries included or incorporated by reference in the Registration Statement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w:t>
      </w:r>
      <w:r>
        <w:rPr>
          <w:rFonts w:ascii="Arial" w:cs="Arial" w:eastAsia="Arial" w:hAnsi="Arial"/>
          <w:sz w:val="22"/>
          <w:szCs w:val="22"/>
          <w:b w:val="1"/>
          <w:bCs w:val="1"/>
          <w:u w:val="single" w:color="auto"/>
          <w:color w:val="auto"/>
        </w:rPr>
        <w:t>GAAP</w:t>
      </w:r>
      <w:r>
        <w:rPr>
          <w:rFonts w:ascii="Arial" w:cs="Arial" w:eastAsia="Arial" w:hAnsi="Arial"/>
          <w:sz w:val="22"/>
          <w:szCs w:val="22"/>
          <w:color w:val="auto"/>
        </w:rPr>
        <w:t>”) in the United States applied on a consistent basis throughout the periods covered thereby, except in the case of unaudited interim financial statements, which are subject to normal year-end adjustments and do not contain certain footnotes as permitted by the applicable rules of the Commission, and any supporting schedules included or incorporated by reference in the Registration Statement and Prospectus present fairly in all material respects the information required to be stated therein; and the other financial information included in the Registration Statement and the Prospectus has been derived from the accounting records of the Company and its consolidated subsidiaries and presents fairly in all material respects the information shown thereby; and the pro forma financial information and the related notes thereto have been prepared in accordance with the applicable requirements of the Securities Act in all material respects, and the assumptions underlying such pro forma financial information are reasonable and are set forth in the Registration Statement and the Prospectus.</w:t>
      </w:r>
    </w:p>
    <w:p>
      <w:pPr>
        <w:spacing w:after="0" w:line="191" w:lineRule="exact"/>
        <w:rPr>
          <w:rFonts w:ascii="Arial" w:cs="Arial" w:eastAsia="Arial" w:hAnsi="Arial"/>
          <w:sz w:val="22"/>
          <w:szCs w:val="22"/>
          <w:color w:val="auto"/>
        </w:rPr>
      </w:pPr>
    </w:p>
    <w:p>
      <w:pPr>
        <w:jc w:val="both"/>
        <w:ind w:right="20" w:firstLine="757"/>
        <w:spacing w:after="0" w:line="245" w:lineRule="auto"/>
        <w:tabs>
          <w:tab w:leader="none" w:pos="1113"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XBRL</w:t>
      </w:r>
      <w:r>
        <w:rPr>
          <w:rFonts w:ascii="Arial" w:cs="Arial" w:eastAsia="Arial" w:hAnsi="Arial"/>
          <w:sz w:val="22"/>
          <w:szCs w:val="22"/>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70" w:lineRule="exact"/>
        <w:rPr>
          <w:rFonts w:ascii="Arial" w:cs="Arial" w:eastAsia="Arial" w:hAnsi="Arial"/>
          <w:sz w:val="22"/>
          <w:szCs w:val="22"/>
          <w:color w:val="auto"/>
        </w:rPr>
      </w:pPr>
    </w:p>
    <w:p>
      <w:pPr>
        <w:jc w:val="both"/>
        <w:ind w:firstLine="757"/>
        <w:spacing w:after="0" w:line="246" w:lineRule="auto"/>
        <w:tabs>
          <w:tab w:leader="none" w:pos="1100"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Incorporation and Good Standing of the Company and its Subsidiaries</w:t>
      </w:r>
      <w:r>
        <w:rPr>
          <w:rFonts w:ascii="Arial" w:cs="Arial" w:eastAsia="Arial" w:hAnsi="Arial"/>
          <w:sz w:val="21"/>
          <w:szCs w:val="21"/>
          <w:color w:val="auto"/>
        </w:rPr>
        <w:t>.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4" w:lineRule="exact"/>
        <w:rPr>
          <w:rFonts w:ascii="Arial" w:cs="Arial" w:eastAsia="Arial" w:hAnsi="Arial"/>
          <w:sz w:val="21"/>
          <w:szCs w:val="21"/>
          <w:color w:val="auto"/>
        </w:rPr>
      </w:pPr>
    </w:p>
    <w:p>
      <w:pPr>
        <w:ind w:left="5580" w:hanging="116"/>
        <w:spacing w:after="0"/>
        <w:tabs>
          <w:tab w:leader="none" w:pos="55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0" w:name="page171"/>
    <w:bookmarkEnd w:id="170"/>
    <w:p>
      <w:pPr>
        <w:jc w:val="both"/>
        <w:spacing w:after="0" w:line="238" w:lineRule="auto"/>
        <w:rPr>
          <w:sz w:val="20"/>
          <w:szCs w:val="20"/>
          <w:color w:val="auto"/>
        </w:rPr>
      </w:pPr>
      <w:r>
        <w:rPr>
          <w:rFonts w:ascii="Arial" w:cs="Arial" w:eastAsia="Arial" w:hAnsi="Arial"/>
          <w:sz w:val="22"/>
          <w:szCs w:val="22"/>
          <w:color w:val="auto"/>
        </w:rPr>
        <w:t>this Agreement (a “</w:t>
      </w:r>
      <w:r>
        <w:rPr>
          <w:rFonts w:ascii="Arial" w:cs="Arial" w:eastAsia="Arial" w:hAnsi="Arial"/>
          <w:sz w:val="22"/>
          <w:szCs w:val="22"/>
          <w:b w:val="1"/>
          <w:bCs w:val="1"/>
          <w:u w:val="single" w:color="auto"/>
          <w:color w:val="auto"/>
        </w:rPr>
        <w:t>Material Adverse Change</w:t>
      </w:r>
      <w:r>
        <w:rPr>
          <w:rFonts w:ascii="Arial" w:cs="Arial" w:eastAsia="Arial" w:hAnsi="Arial"/>
          <w:sz w:val="22"/>
          <w:szCs w:val="22"/>
          <w:color w:val="auto"/>
        </w:rPr>
        <w:t>”).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spacing w:after="0" w:line="179" w:lineRule="exact"/>
        <w:rPr>
          <w:sz w:val="20"/>
          <w:szCs w:val="20"/>
          <w:color w:val="auto"/>
        </w:rPr>
      </w:pPr>
    </w:p>
    <w:p>
      <w:pPr>
        <w:jc w:val="both"/>
        <w:ind w:firstLine="757"/>
        <w:spacing w:after="0" w:line="233" w:lineRule="auto"/>
        <w:tabs>
          <w:tab w:leader="none" w:pos="1038"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 Conflicts.</w:t>
      </w:r>
      <w:r>
        <w:rPr>
          <w:rFonts w:ascii="Arial" w:cs="Arial" w:eastAsia="Arial" w:hAnsi="Arial"/>
          <w:sz w:val="22"/>
          <w:szCs w:val="22"/>
          <w:color w:val="auto"/>
        </w:rPr>
        <w:t xml:space="preserve"> The execution, delivery and performance by the Company of this Agreement, the issuance and sale of the Placement Shares and the consummation by the Company of the transactions contemplated by this Agreement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reasonably be expected to result in a Material Adverse Change.</w:t>
      </w:r>
    </w:p>
    <w:p>
      <w:pPr>
        <w:spacing w:after="0" w:line="182" w:lineRule="exact"/>
        <w:rPr>
          <w:rFonts w:ascii="Arial" w:cs="Arial" w:eastAsia="Arial" w:hAnsi="Arial"/>
          <w:sz w:val="22"/>
          <w:szCs w:val="22"/>
          <w:color w:val="auto"/>
        </w:rPr>
      </w:pPr>
    </w:p>
    <w:p>
      <w:pPr>
        <w:jc w:val="both"/>
        <w:ind w:firstLine="757"/>
        <w:spacing w:after="0" w:line="236" w:lineRule="auto"/>
        <w:tabs>
          <w:tab w:leader="none" w:pos="1074"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 Consents Required.</w:t>
      </w:r>
      <w:r>
        <w:rPr>
          <w:rFonts w:ascii="Arial" w:cs="Arial" w:eastAsia="Arial" w:hAnsi="Arial"/>
          <w:sz w:val="22"/>
          <w:szCs w:val="22"/>
          <w:color w:val="auto"/>
        </w:rPr>
        <w:t xml:space="preserve"> No consent, approval, authorization, order, registration or qualification of or with any court or arbitrator or governmental or regulatory authority is required for the execution, delivery and performance by the Company of this Agreement, the issuance and sale of the Placement Shares and the consummation by the Company of the transactions contemplated by this Agreement, except for the registration of the Placement Shares under the Securities Act and such consents, approvals, authorizations, orders and registrations or qualifications as may be required by the Financial Industry Regulatory Authority, Inc. (“</w:t>
      </w:r>
      <w:r>
        <w:rPr>
          <w:rFonts w:ascii="Arial" w:cs="Arial" w:eastAsia="Arial" w:hAnsi="Arial"/>
          <w:sz w:val="22"/>
          <w:szCs w:val="22"/>
          <w:b w:val="1"/>
          <w:bCs w:val="1"/>
          <w:u w:val="single" w:color="auto"/>
          <w:color w:val="auto"/>
        </w:rPr>
        <w:t>FINRA</w:t>
      </w:r>
      <w:r>
        <w:rPr>
          <w:rFonts w:ascii="Arial" w:cs="Arial" w:eastAsia="Arial" w:hAnsi="Arial"/>
          <w:sz w:val="22"/>
          <w:szCs w:val="22"/>
          <w:color w:val="auto"/>
        </w:rPr>
        <w:t>”) and under applicable state securities or blue sky laws in connection with the sale of the Placement Shares by the Agent.</w:t>
      </w:r>
    </w:p>
    <w:p>
      <w:pPr>
        <w:spacing w:after="0" w:line="175" w:lineRule="exact"/>
        <w:rPr>
          <w:rFonts w:ascii="Arial" w:cs="Arial" w:eastAsia="Arial" w:hAnsi="Arial"/>
          <w:sz w:val="22"/>
          <w:szCs w:val="22"/>
          <w:color w:val="auto"/>
        </w:rPr>
      </w:pPr>
    </w:p>
    <w:p>
      <w:pPr>
        <w:jc w:val="both"/>
        <w:ind w:firstLine="757"/>
        <w:spacing w:after="0" w:line="234" w:lineRule="auto"/>
        <w:tabs>
          <w:tab w:leader="none" w:pos="1053"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Non-Contravention of Existing Instruments</w:t>
      </w:r>
      <w:r>
        <w:rPr>
          <w:rFonts w:ascii="Arial" w:cs="Arial" w:eastAsia="Arial" w:hAnsi="Arial"/>
          <w:sz w:val="22"/>
          <w:szCs w:val="22"/>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Change.</w:t>
      </w:r>
    </w:p>
    <w:p>
      <w:pPr>
        <w:spacing w:after="0" w:line="183" w:lineRule="exact"/>
        <w:rPr>
          <w:rFonts w:ascii="Arial" w:cs="Arial" w:eastAsia="Arial" w:hAnsi="Arial"/>
          <w:sz w:val="22"/>
          <w:szCs w:val="22"/>
          <w:color w:val="auto"/>
        </w:rPr>
      </w:pPr>
    </w:p>
    <w:p>
      <w:pPr>
        <w:jc w:val="both"/>
        <w:ind w:firstLine="757"/>
        <w:spacing w:after="0" w:line="236" w:lineRule="auto"/>
        <w:tabs>
          <w:tab w:leader="none" w:pos="1127"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 Material Actions or Proceedings</w:t>
      </w:r>
      <w:r>
        <w:rPr>
          <w:rFonts w:ascii="Arial" w:cs="Arial" w:eastAsia="Arial" w:hAnsi="Arial"/>
          <w:sz w:val="22"/>
          <w:szCs w:val="22"/>
          <w:color w:val="auto"/>
        </w:rPr>
        <w:t>. There are no legal, governmental or regulatory investigations, actions, demands, claims, suits, arbitrations, inquiries or proceedings (“</w:t>
      </w:r>
      <w:r>
        <w:rPr>
          <w:rFonts w:ascii="Arial" w:cs="Arial" w:eastAsia="Arial" w:hAnsi="Arial"/>
          <w:sz w:val="22"/>
          <w:szCs w:val="22"/>
          <w:b w:val="1"/>
          <w:bCs w:val="1"/>
          <w:color w:val="auto"/>
        </w:rPr>
        <w:t>Actions</w:t>
      </w:r>
      <w:r>
        <w:rPr>
          <w:rFonts w:ascii="Arial" w:cs="Arial" w:eastAsia="Arial" w:hAnsi="Arial"/>
          <w:sz w:val="22"/>
          <w:szCs w:val="22"/>
          <w:color w:val="auto"/>
        </w:rPr>
        <w:t>”) pending to which the Company or any of its subsidiaries is or may reasonably be expected to become a party or to which any property of the Company or any of its subsidiaries is or may be the subject that, individually or in the aggregate, if determined adversely to the Company or any of its subsidiaries, could reasonably be expected to result in a Material Adverse Change; to the knowledge of the Company, no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1" w:lineRule="exact"/>
        <w:rPr>
          <w:rFonts w:ascii="Arial" w:cs="Arial" w:eastAsia="Arial" w:hAnsi="Arial"/>
          <w:sz w:val="22"/>
          <w:szCs w:val="22"/>
          <w:color w:val="auto"/>
        </w:rPr>
      </w:pPr>
    </w:p>
    <w:p>
      <w:pPr>
        <w:ind w:left="5580" w:hanging="116"/>
        <w:spacing w:after="0"/>
        <w:tabs>
          <w:tab w:leader="none" w:pos="55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71" w:name="page172"/>
    <w:bookmarkEnd w:id="171"/>
    <w:p>
      <w:pPr>
        <w:jc w:val="both"/>
        <w:spacing w:after="0" w:line="236" w:lineRule="auto"/>
        <w:rPr>
          <w:sz w:val="20"/>
          <w:szCs w:val="20"/>
          <w:color w:val="auto"/>
        </w:rPr>
      </w:pPr>
      <w:r>
        <w:rPr>
          <w:rFonts w:ascii="Arial" w:cs="Arial" w:eastAsia="Arial" w:hAnsi="Arial"/>
          <w:sz w:val="22"/>
          <w:szCs w:val="22"/>
          <w:color w:val="auto"/>
        </w:rPr>
        <w:t>such Actions are threatened or contemplated by any governmental or regulatory authority or threatened by others; and (i) there are no current or pending Actions that are required under the Securities Act to be described in the Registration Statement or the Prospectus that are not so described in the Registration Statement and the Prospectus and (ii) there are no statutes, regulations or contracts or other documents that are required under the Securities Act to be filed as exhibits to the Registration Statement or described in the Registration Statement or the Prospectus that are not so filed as exhibits to the Registration Statement or described in the Registration Statement and the Prospectus.</w:t>
      </w:r>
    </w:p>
    <w:p>
      <w:pPr>
        <w:spacing w:after="0" w:line="176" w:lineRule="exact"/>
        <w:rPr>
          <w:sz w:val="20"/>
          <w:szCs w:val="20"/>
          <w:color w:val="auto"/>
        </w:rPr>
      </w:pPr>
    </w:p>
    <w:p>
      <w:pPr>
        <w:jc w:val="both"/>
        <w:ind w:firstLine="757"/>
        <w:spacing w:after="0" w:line="236" w:lineRule="auto"/>
        <w:tabs>
          <w:tab w:leader="none" w:pos="1061"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Title to Real and Personal Property.</w:t>
      </w:r>
      <w:r>
        <w:rPr>
          <w:rFonts w:ascii="Arial" w:cs="Arial" w:eastAsia="Arial" w:hAnsi="Arial"/>
          <w:sz w:val="22"/>
          <w:szCs w:val="22"/>
          <w:color w:val="auto"/>
        </w:rPr>
        <w:t xml:space="preserve"> The Company has good and marketable title in fee simple (in the case of real property) to, or have valid 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result in a Material Adverse Change.</w:t>
      </w:r>
    </w:p>
    <w:p>
      <w:pPr>
        <w:spacing w:after="0" w:line="181" w:lineRule="exact"/>
        <w:rPr>
          <w:rFonts w:ascii="Arial" w:cs="Arial" w:eastAsia="Arial" w:hAnsi="Arial"/>
          <w:sz w:val="22"/>
          <w:szCs w:val="22"/>
          <w:color w:val="auto"/>
        </w:rPr>
      </w:pPr>
    </w:p>
    <w:p>
      <w:pPr>
        <w:jc w:val="both"/>
        <w:ind w:firstLine="757"/>
        <w:spacing w:after="0" w:line="245" w:lineRule="auto"/>
        <w:tabs>
          <w:tab w:leader="none" w:pos="1122"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Licenses and Permits.</w:t>
      </w:r>
      <w:r>
        <w:rPr>
          <w:rFonts w:ascii="Arial" w:cs="Arial" w:eastAsia="Arial" w:hAnsi="Arial"/>
          <w:sz w:val="21"/>
          <w:szCs w:val="21"/>
          <w:color w:val="auto"/>
        </w:rPr>
        <w:t xml:space="preserve"> 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and the Prospectus, including, without limitation, from the U.S. Food and Drug Administration (the “</w:t>
      </w:r>
      <w:r>
        <w:rPr>
          <w:rFonts w:ascii="Arial" w:cs="Arial" w:eastAsia="Arial" w:hAnsi="Arial"/>
          <w:sz w:val="21"/>
          <w:szCs w:val="21"/>
          <w:b w:val="1"/>
          <w:bCs w:val="1"/>
          <w:color w:val="auto"/>
        </w:rPr>
        <w:t>FDA</w:t>
      </w:r>
      <w:r>
        <w:rPr>
          <w:rFonts w:ascii="Arial" w:cs="Arial" w:eastAsia="Arial" w:hAnsi="Arial"/>
          <w:sz w:val="21"/>
          <w:szCs w:val="21"/>
          <w:color w:val="auto"/>
        </w:rPr>
        <w:t>”), except where the failure to possess or make the same would not, individually or in the aggregate, reasonably be expected to result in a Material Adverse Change; and except as described in each of the Registration Statement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as would not, individually or in the aggregate, reasonably be expected to result in a Material Adverse Change.</w:t>
      </w:r>
    </w:p>
    <w:p>
      <w:pPr>
        <w:spacing w:after="0" w:line="177" w:lineRule="exact"/>
        <w:rPr>
          <w:rFonts w:ascii="Arial" w:cs="Arial" w:eastAsia="Arial" w:hAnsi="Arial"/>
          <w:sz w:val="21"/>
          <w:szCs w:val="21"/>
          <w:color w:val="auto"/>
        </w:rPr>
      </w:pPr>
    </w:p>
    <w:p>
      <w:pPr>
        <w:jc w:val="both"/>
        <w:ind w:firstLine="757"/>
        <w:spacing w:after="0" w:line="236" w:lineRule="auto"/>
        <w:tabs>
          <w:tab w:leader="none" w:pos="1074"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No Labor Disputes.</w:t>
      </w:r>
      <w:r>
        <w:rPr>
          <w:rFonts w:ascii="Arial" w:cs="Arial" w:eastAsia="Arial" w:hAnsi="Arial"/>
          <w:sz w:val="22"/>
          <w:szCs w:val="22"/>
          <w:color w:val="auto"/>
        </w:rPr>
        <w:t xml:space="preserve"> (i) No labor disturbance by or dispute with employees of the Company or any of its subsidiaries exists or, to the knowledge of the Company, is contemplated or threatened, and (ii) the Company is not aware of any existing or imminent labor disturbance by, or dispute with, the employees of any of its or its subsidiaries’ principal suppliers, contractors or customers, except in the case of each of (i) and (ii) above, as would not, individually or in the aggregate, reasonably be expected to result in a Material Adverse Change. Neither the Company nor any of its subsidiaries is a party to any collective bargaining agreement.</w:t>
      </w:r>
    </w:p>
    <w:p>
      <w:pPr>
        <w:spacing w:after="0" w:line="181" w:lineRule="exact"/>
        <w:rPr>
          <w:rFonts w:ascii="Arial" w:cs="Arial" w:eastAsia="Arial" w:hAnsi="Arial"/>
          <w:sz w:val="22"/>
          <w:szCs w:val="22"/>
          <w:color w:val="auto"/>
        </w:rPr>
      </w:pPr>
    </w:p>
    <w:p>
      <w:pPr>
        <w:jc w:val="both"/>
        <w:ind w:firstLine="757"/>
        <w:spacing w:after="0" w:line="234" w:lineRule="auto"/>
        <w:tabs>
          <w:tab w:leader="none" w:pos="1061"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Tax Law Compliance</w:t>
      </w:r>
      <w:r>
        <w:rPr>
          <w:rFonts w:ascii="Arial" w:cs="Arial" w:eastAsia="Arial" w:hAnsi="Arial"/>
          <w:sz w:val="22"/>
          <w:szCs w:val="22"/>
          <w:color w:val="auto"/>
        </w:rPr>
        <w:t>. The Company and its subsidiaries have filed all U.S. federal, state, local and foreign taxes required to be filed through the date hereof (except where the failure to file would not, individually or in the aggregate, reasonably be expected to result in a Material Adverse Change) and have paid all taxes required to be paid thereon (except where the failure to pay would not reasonably be expected to result in a Material Adverse Change, and except as are currently being contested in good faith and for which reserves required by GAAP have been created in the financial statements of the Company); and except as otherwise disclosed in each of the Registration Statement and the Prospectus, there is no tax deficiency that has been determined adversely to the Company or any of its subsidiaries which has resulted in (nor does the Company nor any of its subsidiaries have any notice or knowledge of any tax deficiency which is expected to be determined adversely to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5520" w:hanging="106"/>
        <w:spacing w:after="0"/>
        <w:tabs>
          <w:tab w:leader="none" w:pos="55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Company or its subsidiaries and which could reasonably be expected to result in) a Material Adverse Change.</w:t>
      </w:r>
    </w:p>
    <w:p>
      <w:pPr>
        <w:spacing w:after="0" w:line="206" w:lineRule="exact"/>
        <w:rPr>
          <w:sz w:val="20"/>
          <w:szCs w:val="20"/>
          <w:color w:val="auto"/>
        </w:rPr>
      </w:pPr>
    </w:p>
    <w:p>
      <w:pPr>
        <w:jc w:val="both"/>
        <w:ind w:firstLine="757"/>
        <w:spacing w:after="0" w:line="231" w:lineRule="auto"/>
        <w:tabs>
          <w:tab w:leader="none" w:pos="1101"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Compliance with ERISA.</w:t>
      </w:r>
      <w:r>
        <w:rPr>
          <w:rFonts w:ascii="Arial" w:cs="Arial" w:eastAsia="Arial" w:hAnsi="Arial"/>
          <w:sz w:val="22"/>
          <w:szCs w:val="22"/>
          <w:color w:val="auto"/>
        </w:rPr>
        <w:t xml:space="preserve"> (i) Each employee benefit plan, within the meaning of Section 3(3) of the Employee Retirement Income Security Act of 1974, as amended (“</w:t>
      </w:r>
      <w:r>
        <w:rPr>
          <w:rFonts w:ascii="Arial" w:cs="Arial" w:eastAsia="Arial" w:hAnsi="Arial"/>
          <w:sz w:val="22"/>
          <w:szCs w:val="22"/>
          <w:b w:val="1"/>
          <w:bCs w:val="1"/>
          <w:u w:val="single" w:color="auto"/>
          <w:color w:val="auto"/>
        </w:rPr>
        <w:t>ERISA</w:t>
      </w:r>
      <w:r>
        <w:rPr>
          <w:rFonts w:ascii="Arial" w:cs="Arial" w:eastAsia="Arial" w:hAnsi="Arial"/>
          <w:sz w:val="22"/>
          <w:szCs w:val="22"/>
          <w:color w:val="auto"/>
        </w:rPr>
        <w:t>”),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w:t>
      </w: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would have any liability (each, a “</w:t>
      </w: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has received a favorable determination letter, or is entitled to rely on an opinion letter, from the Internal Revenue Service, and, to the knowledge of the Company,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reasonably be expected to result a Material Adverse Change.</w:t>
      </w:r>
    </w:p>
    <w:p>
      <w:pPr>
        <w:spacing w:after="0" w:line="200" w:lineRule="exact"/>
        <w:rPr>
          <w:sz w:val="20"/>
          <w:szCs w:val="20"/>
          <w:color w:val="auto"/>
        </w:rPr>
      </w:pPr>
    </w:p>
    <w:p>
      <w:pPr>
        <w:jc w:val="both"/>
        <w:ind w:firstLine="757"/>
        <w:spacing w:after="0"/>
        <w:tabs>
          <w:tab w:leader="none" w:pos="1193"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Company Not an “Investment Company</w:t>
      </w:r>
      <w:r>
        <w:rPr>
          <w:rFonts w:ascii="Arial" w:cs="Arial" w:eastAsia="Arial" w:hAnsi="Arial"/>
          <w:sz w:val="22"/>
          <w:szCs w:val="22"/>
          <w:color w:val="auto"/>
        </w:rPr>
        <w:t>”. The Company has been advised of the rules and requirements under the Investment Company Act of 1940, as amended (the “</w:t>
      </w:r>
      <w:r>
        <w:rPr>
          <w:rFonts w:ascii="Arial" w:cs="Arial" w:eastAsia="Arial" w:hAnsi="Arial"/>
          <w:sz w:val="22"/>
          <w:szCs w:val="22"/>
          <w:b w:val="1"/>
          <w:bCs w:val="1"/>
          <w:u w:val="single" w:color="auto"/>
          <w:color w:val="auto"/>
        </w:rPr>
        <w:t>Investment Company Act</w:t>
      </w:r>
      <w:r>
        <w:rPr>
          <w:rFonts w:ascii="Arial" w:cs="Arial" w:eastAsia="Arial" w:hAnsi="Arial"/>
          <w:sz w:val="22"/>
          <w:szCs w:val="22"/>
          <w:color w:val="auto"/>
        </w:rPr>
        <w:t>”). The Company is not, and after receipt of payment for the Placement Shares will not be, an “investment company” within the meaning of Investment Company Act.</w:t>
      </w:r>
    </w:p>
    <w:p>
      <w:pPr>
        <w:spacing w:after="0" w:line="176" w:lineRule="exact"/>
        <w:rPr>
          <w:rFonts w:ascii="Arial" w:cs="Arial" w:eastAsia="Arial" w:hAnsi="Arial"/>
          <w:sz w:val="22"/>
          <w:szCs w:val="22"/>
          <w:color w:val="auto"/>
        </w:rPr>
      </w:pPr>
    </w:p>
    <w:p>
      <w:pPr>
        <w:jc w:val="both"/>
        <w:ind w:firstLine="757"/>
        <w:spacing w:after="0" w:line="245" w:lineRule="auto"/>
        <w:tabs>
          <w:tab w:leader="none" w:pos="1247"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The Company and its subsidiaries have insurance covering their respective properties, operations, personnel and businesses, including business interruption insurance, which insurance is in amounts and insures against such losses and risks as generally maintained by similarly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5540" w:hanging="119"/>
        <w:spacing w:after="0"/>
        <w:tabs>
          <w:tab w:leader="none" w:pos="55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3" w:name="page174"/>
    <w:bookmarkEnd w:id="173"/>
    <w:p>
      <w:pPr>
        <w:jc w:val="both"/>
        <w:spacing w:after="0" w:line="236" w:lineRule="auto"/>
        <w:rPr>
          <w:sz w:val="20"/>
          <w:szCs w:val="20"/>
          <w:color w:val="auto"/>
        </w:rPr>
      </w:pPr>
      <w:r>
        <w:rPr>
          <w:rFonts w:ascii="Arial" w:cs="Arial" w:eastAsia="Arial" w:hAnsi="Arial"/>
          <w:sz w:val="22"/>
          <w:szCs w:val="22"/>
          <w:color w:val="auto"/>
        </w:rPr>
        <w:t>situated companies and which the Company believes are reasonably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82" w:lineRule="exact"/>
        <w:rPr>
          <w:sz w:val="20"/>
          <w:szCs w:val="20"/>
          <w:color w:val="auto"/>
        </w:rPr>
      </w:pPr>
    </w:p>
    <w:p>
      <w:pPr>
        <w:jc w:val="both"/>
        <w:ind w:firstLine="757"/>
        <w:spacing w:after="0"/>
        <w:tabs>
          <w:tab w:leader="none" w:pos="1223"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No Price Stabilization or Manipulation</w:t>
      </w:r>
      <w:r>
        <w:rPr>
          <w:rFonts w:ascii="Arial" w:cs="Arial" w:eastAsia="Arial" w:hAnsi="Arial"/>
          <w:sz w:val="22"/>
          <w:szCs w:val="22"/>
          <w:color w:val="auto"/>
        </w:rPr>
        <w:t>. Neither the Company or any of its subsidiaries nor, to the Company’s knowledge, other affiliates has taken, directly or indirectly, any action designed to or that could be reasonably expected to cause or result in stabilization or manipulation of the price of any security of the Company to facilitate the sale or resale of the Placement Shares.</w:t>
      </w:r>
    </w:p>
    <w:p>
      <w:pPr>
        <w:spacing w:after="0" w:line="176" w:lineRule="exact"/>
        <w:rPr>
          <w:rFonts w:ascii="Arial" w:cs="Arial" w:eastAsia="Arial" w:hAnsi="Arial"/>
          <w:sz w:val="22"/>
          <w:szCs w:val="22"/>
          <w:color w:val="auto"/>
        </w:rPr>
      </w:pPr>
    </w:p>
    <w:p>
      <w:pPr>
        <w:jc w:val="both"/>
        <w:ind w:firstLine="757"/>
        <w:spacing w:after="0"/>
        <w:tabs>
          <w:tab w:leader="none" w:pos="1193"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Related Party Transactions</w:t>
      </w:r>
      <w:r>
        <w:rPr>
          <w:rFonts w:ascii="Arial" w:cs="Arial" w:eastAsia="Arial" w:hAnsi="Arial"/>
          <w:sz w:val="22"/>
          <w:szCs w:val="22"/>
          <w:color w:val="auto"/>
        </w:rPr>
        <w:t>. No relationship, direct or indirect, exists between or among the Company or any of its subsidiaries, on the one hand, and the directors, officers, stockholders, customers, suppliers or other affiliates of the Company or any of its subsidiaries, on the other, that is required by the Securities Act to be described in the Prospectus that is not so described.</w:t>
      </w:r>
    </w:p>
    <w:p>
      <w:pPr>
        <w:spacing w:after="0" w:line="176" w:lineRule="exact"/>
        <w:rPr>
          <w:rFonts w:ascii="Arial" w:cs="Arial" w:eastAsia="Arial" w:hAnsi="Arial"/>
          <w:sz w:val="22"/>
          <w:szCs w:val="22"/>
          <w:color w:val="auto"/>
        </w:rPr>
      </w:pPr>
    </w:p>
    <w:p>
      <w:pPr>
        <w:jc w:val="both"/>
        <w:ind w:firstLine="757"/>
        <w:spacing w:after="0" w:line="238" w:lineRule="auto"/>
        <w:tabs>
          <w:tab w:leader="none" w:pos="1247"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No Restrictions on Subsidiaries.</w:t>
      </w:r>
      <w:r>
        <w:rPr>
          <w:rFonts w:ascii="Arial" w:cs="Arial" w:eastAsia="Arial" w:hAnsi="Arial"/>
          <w:sz w:val="22"/>
          <w:szCs w:val="22"/>
          <w:color w:val="auto"/>
        </w:rPr>
        <w:t xml:space="preserve">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76" w:lineRule="exact"/>
        <w:rPr>
          <w:rFonts w:ascii="Arial" w:cs="Arial" w:eastAsia="Arial" w:hAnsi="Arial"/>
          <w:sz w:val="22"/>
          <w:szCs w:val="22"/>
          <w:color w:val="auto"/>
        </w:rPr>
      </w:pPr>
    </w:p>
    <w:p>
      <w:pPr>
        <w:jc w:val="both"/>
        <w:ind w:firstLine="757"/>
        <w:spacing w:after="0" w:line="236" w:lineRule="auto"/>
        <w:tabs>
          <w:tab w:leader="none" w:pos="1069"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Exchange Act Compliance</w:t>
      </w:r>
      <w:r>
        <w:rPr>
          <w:rFonts w:ascii="Arial" w:cs="Arial" w:eastAsia="Arial" w:hAnsi="Arial"/>
          <w:sz w:val="22"/>
          <w:szCs w:val="22"/>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81" w:lineRule="exact"/>
        <w:rPr>
          <w:rFonts w:ascii="Arial" w:cs="Arial" w:eastAsia="Arial" w:hAnsi="Arial"/>
          <w:sz w:val="22"/>
          <w:szCs w:val="22"/>
          <w:color w:val="auto"/>
        </w:rPr>
      </w:pPr>
    </w:p>
    <w:p>
      <w:pPr>
        <w:jc w:val="both"/>
        <w:ind w:firstLine="757"/>
        <w:spacing w:after="0" w:line="233" w:lineRule="auto"/>
        <w:tabs>
          <w:tab w:leader="none" w:pos="1206"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No Unlawful Contributions or Other Payments</w:t>
      </w:r>
      <w:r>
        <w:rPr>
          <w:rFonts w:ascii="Arial" w:cs="Arial" w:eastAsia="Arial" w:hAnsi="Arial"/>
          <w:sz w:val="22"/>
          <w:szCs w:val="22"/>
          <w:color w:val="auto"/>
        </w:rPr>
        <w:t>.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520" w:hanging="106"/>
        <w:spacing w:after="0"/>
        <w:tabs>
          <w:tab w:leader="none" w:pos="55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4" w:name="page175"/>
    <w:bookmarkEnd w:id="174"/>
    <w:p>
      <w:pPr>
        <w:spacing w:after="0" w:line="259" w:lineRule="auto"/>
        <w:rPr>
          <w:sz w:val="20"/>
          <w:szCs w:val="20"/>
          <w:color w:val="auto"/>
        </w:rPr>
      </w:pPr>
      <w:r>
        <w:rPr>
          <w:rFonts w:ascii="Arial" w:cs="Arial" w:eastAsia="Arial" w:hAnsi="Arial"/>
          <w:sz w:val="22"/>
          <w:szCs w:val="22"/>
          <w:color w:val="auto"/>
        </w:rPr>
        <w:t>and enforce, and will continue to maintain and enforce policies and procedures designed to promote and ensure compliance with all applicable anti-bribery and anti-corruption laws.</w:t>
      </w:r>
    </w:p>
    <w:p>
      <w:pPr>
        <w:spacing w:after="0" w:line="156" w:lineRule="exact"/>
        <w:rPr>
          <w:sz w:val="20"/>
          <w:szCs w:val="20"/>
          <w:color w:val="auto"/>
        </w:rPr>
      </w:pPr>
    </w:p>
    <w:p>
      <w:pPr>
        <w:jc w:val="both"/>
        <w:ind w:firstLine="757"/>
        <w:spacing w:after="0" w:line="234" w:lineRule="auto"/>
        <w:tabs>
          <w:tab w:leader="none" w:pos="1193"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Compliance with Anti-Money Laundering Laws.</w:t>
      </w:r>
      <w:r>
        <w:rPr>
          <w:rFonts w:ascii="Arial" w:cs="Arial" w:eastAsia="Arial" w:hAnsi="Arial"/>
          <w:sz w:val="22"/>
          <w:szCs w:val="22"/>
          <w:color w:val="auto"/>
        </w:rPr>
        <w:t xml:space="preserve"> The operations of the Company and its subsidiaries are and have been conducted at all times in compliance with applicable financial recordkeeping and reporting requirements, including those of the Currency and Foreign Transactions Reporting Act of 1970, as amended, the U.S. Bank Secrecy Act, as amended by Title III of the Uniting and Strengthening America by Providing Appropriate Tools Required to Intercept and Obstruct Terrorism Act of 2001 (USA PATRIOT Act), and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Arial" w:cs="Arial" w:eastAsia="Arial" w:hAnsi="Arial"/>
          <w:sz w:val="22"/>
          <w:szCs w:val="22"/>
          <w:b w:val="1"/>
          <w:bCs w:val="1"/>
          <w:u w:val="single" w:color="auto"/>
          <w:color w:val="auto"/>
        </w:rPr>
        <w:t>Anti-Money Laundering Laws</w:t>
      </w:r>
      <w:r>
        <w:rPr>
          <w:rFonts w:ascii="Arial" w:cs="Arial" w:eastAsia="Arial" w:hAnsi="Arial"/>
          <w:sz w:val="22"/>
          <w:szCs w:val="22"/>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75" w:lineRule="exact"/>
        <w:rPr>
          <w:rFonts w:ascii="Arial" w:cs="Arial" w:eastAsia="Arial" w:hAnsi="Arial"/>
          <w:sz w:val="22"/>
          <w:szCs w:val="22"/>
          <w:color w:val="auto"/>
        </w:rPr>
      </w:pPr>
    </w:p>
    <w:p>
      <w:pPr>
        <w:jc w:val="both"/>
        <w:ind w:firstLine="757"/>
        <w:spacing w:after="0" w:line="232" w:lineRule="auto"/>
        <w:tabs>
          <w:tab w:leader="none" w:pos="106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No Conflicts with Sanctions Laws.</w:t>
      </w:r>
      <w:r>
        <w:rPr>
          <w:rFonts w:ascii="Arial" w:cs="Arial" w:eastAsia="Arial" w:hAnsi="Arial"/>
          <w:sz w:val="22"/>
          <w:szCs w:val="22"/>
          <w:color w:val="auto"/>
        </w:rPr>
        <w:t xml:space="preserve"> Neither the Company nor any of its subsidiaries, directors, officers, or employees, nor, to the knowledge of 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Arial" w:cs="Arial" w:eastAsia="Arial" w:hAnsi="Arial"/>
          <w:sz w:val="22"/>
          <w:szCs w:val="22"/>
          <w:b w:val="1"/>
          <w:bCs w:val="1"/>
          <w:u w:val="single" w:color="auto"/>
          <w:color w:val="auto"/>
        </w:rPr>
        <w:t>OFAC</w:t>
      </w:r>
      <w:r>
        <w:rPr>
          <w:rFonts w:ascii="Arial" w:cs="Arial" w:eastAsia="Arial" w:hAnsi="Arial"/>
          <w:sz w:val="22"/>
          <w:szCs w:val="22"/>
          <w:color w:val="auto"/>
        </w:rPr>
        <w:t>”) or the U.S. Department of State and including, without limitation, the designation as a “specially designated national” or “blocked person”), the United Nations Security Council (“</w:t>
      </w:r>
      <w:r>
        <w:rPr>
          <w:rFonts w:ascii="Arial" w:cs="Arial" w:eastAsia="Arial" w:hAnsi="Arial"/>
          <w:sz w:val="22"/>
          <w:szCs w:val="22"/>
          <w:b w:val="1"/>
          <w:bCs w:val="1"/>
          <w:u w:val="single" w:color="auto"/>
          <w:color w:val="auto"/>
        </w:rPr>
        <w:t>UNSC</w:t>
      </w:r>
      <w:r>
        <w:rPr>
          <w:rFonts w:ascii="Arial" w:cs="Arial" w:eastAsia="Arial" w:hAnsi="Arial"/>
          <w:sz w:val="22"/>
          <w:szCs w:val="22"/>
          <w:color w:val="auto"/>
        </w:rPr>
        <w:t>”), the European Union, HM Treasury (“</w:t>
      </w:r>
      <w:r>
        <w:rPr>
          <w:rFonts w:ascii="Arial" w:cs="Arial" w:eastAsia="Arial" w:hAnsi="Arial"/>
          <w:sz w:val="22"/>
          <w:szCs w:val="22"/>
          <w:b w:val="1"/>
          <w:bCs w:val="1"/>
          <w:u w:val="single" w:color="auto"/>
          <w:color w:val="auto"/>
        </w:rPr>
        <w:t>HMT</w:t>
      </w:r>
      <w:r>
        <w:rPr>
          <w:rFonts w:ascii="Arial" w:cs="Arial" w:eastAsia="Arial" w:hAnsi="Arial"/>
          <w:sz w:val="22"/>
          <w:szCs w:val="22"/>
          <w:color w:val="auto"/>
        </w:rPr>
        <w:t>”) or other relevant sanctions authority (collectively, “</w:t>
      </w:r>
      <w:r>
        <w:rPr>
          <w:rFonts w:ascii="Arial" w:cs="Arial" w:eastAsia="Arial" w:hAnsi="Arial"/>
          <w:sz w:val="22"/>
          <w:szCs w:val="22"/>
          <w:b w:val="1"/>
          <w:bCs w:val="1"/>
          <w:u w:val="single" w:color="auto"/>
          <w:color w:val="auto"/>
        </w:rPr>
        <w:t>Sanctions</w:t>
      </w:r>
      <w:r>
        <w:rPr>
          <w:rFonts w:ascii="Arial" w:cs="Arial" w:eastAsia="Arial" w:hAnsi="Arial"/>
          <w:sz w:val="22"/>
          <w:szCs w:val="22"/>
          <w:color w:val="auto"/>
        </w:rPr>
        <w:t>”), nor is the Company or any of its subsidiaries located, organized or resident in a country or territory that is the subject or target of Sanctions broadly prohibiting dealings with such country or territory, including, without limitation, Cuba, Iran, North Korea, Sudan, Syria, the so-called Donetsk People’s Republic, the so-called Luhansk People’s Republic, any other Covered Region of Ukraine identified pursuant to Executive Order 14065 and Crimea (each, a “</w:t>
      </w:r>
      <w:r>
        <w:rPr>
          <w:rFonts w:ascii="Arial" w:cs="Arial" w:eastAsia="Arial" w:hAnsi="Arial"/>
          <w:sz w:val="22"/>
          <w:szCs w:val="22"/>
          <w:b w:val="1"/>
          <w:bCs w:val="1"/>
          <w:u w:val="single" w:color="auto"/>
          <w:color w:val="auto"/>
        </w:rPr>
        <w:t>Sanctioned</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Country</w:t>
      </w:r>
      <w:r>
        <w:rPr>
          <w:rFonts w:ascii="Arial" w:cs="Arial" w:eastAsia="Arial" w:hAnsi="Arial"/>
          <w:sz w:val="22"/>
          <w:szCs w:val="22"/>
          <w:color w:val="auto"/>
        </w:rPr>
        <w:t>”); and the Company will not directly or indirectly use the proceeds of the offering of the Placement Shares</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except to the extent permitted for a Person required to comply with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prohibiting such dealing or transaction or with any Sanctioned Country.</w:t>
      </w:r>
    </w:p>
    <w:p>
      <w:pPr>
        <w:spacing w:after="0" w:line="183" w:lineRule="exact"/>
        <w:rPr>
          <w:rFonts w:ascii="Arial" w:cs="Arial" w:eastAsia="Arial" w:hAnsi="Arial"/>
          <w:sz w:val="22"/>
          <w:szCs w:val="22"/>
          <w:color w:val="auto"/>
        </w:rPr>
      </w:pPr>
    </w:p>
    <w:p>
      <w:pPr>
        <w:jc w:val="both"/>
        <w:ind w:firstLine="757"/>
        <w:spacing w:after="0" w:line="235" w:lineRule="auto"/>
        <w:tabs>
          <w:tab w:leader="none" w:pos="1049"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Accounting Controls</w:t>
      </w:r>
      <w:r>
        <w:rPr>
          <w:rFonts w:ascii="Arial" w:cs="Arial" w:eastAsia="Arial" w:hAnsi="Arial"/>
          <w:sz w:val="22"/>
          <w:szCs w:val="22"/>
          <w:color w:val="auto"/>
        </w:rPr>
        <w:t>. The Company and its subsidiaries maintain systems of “internal control over financial reporting” (as defined in Rule 13a-15(f) of the Exchange Act) that are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8" w:lineRule="exact"/>
        <w:rPr>
          <w:rFonts w:ascii="Arial" w:cs="Arial" w:eastAsia="Arial" w:hAnsi="Arial"/>
          <w:sz w:val="22"/>
          <w:szCs w:val="22"/>
          <w:color w:val="auto"/>
        </w:rPr>
      </w:pPr>
    </w:p>
    <w:p>
      <w:pPr>
        <w:ind w:left="5520" w:hanging="106"/>
        <w:spacing w:after="0"/>
        <w:tabs>
          <w:tab w:leader="none" w:pos="55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5" w:name="page176"/>
    <w:bookmarkEnd w:id="175"/>
    <w:p>
      <w:pPr>
        <w:jc w:val="both"/>
        <w:spacing w:after="0" w:line="234" w:lineRule="auto"/>
        <w:rPr>
          <w:sz w:val="20"/>
          <w:szCs w:val="20"/>
          <w:color w:val="auto"/>
        </w:rPr>
      </w:pPr>
      <w:r>
        <w:rPr>
          <w:rFonts w:ascii="Arial" w:cs="Arial" w:eastAsia="Arial" w:hAnsi="Arial"/>
          <w:sz w:val="22"/>
          <w:szCs w:val="22"/>
          <w:color w:val="auto"/>
        </w:rPr>
        <w:t>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76" w:lineRule="exact"/>
        <w:rPr>
          <w:sz w:val="20"/>
          <w:szCs w:val="20"/>
          <w:color w:val="auto"/>
        </w:rPr>
      </w:pPr>
    </w:p>
    <w:p>
      <w:pPr>
        <w:jc w:val="both"/>
        <w:ind w:firstLine="757"/>
        <w:spacing w:after="0" w:line="236" w:lineRule="auto"/>
        <w:tabs>
          <w:tab w:leader="none" w:pos="1209"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Disclosure Controls</w:t>
      </w:r>
      <w:r>
        <w:rPr>
          <w:rFonts w:ascii="Arial" w:cs="Arial" w:eastAsia="Arial" w:hAnsi="Arial"/>
          <w:sz w:val="22"/>
          <w:szCs w:val="22"/>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175" w:lineRule="exact"/>
        <w:rPr>
          <w:rFonts w:ascii="Arial" w:cs="Arial" w:eastAsia="Arial" w:hAnsi="Arial"/>
          <w:sz w:val="22"/>
          <w:szCs w:val="22"/>
          <w:color w:val="auto"/>
        </w:rPr>
      </w:pPr>
    </w:p>
    <w:p>
      <w:pPr>
        <w:jc w:val="both"/>
        <w:ind w:firstLine="757"/>
        <w:spacing w:after="0" w:line="232" w:lineRule="auto"/>
        <w:tabs>
          <w:tab w:leader="none" w:pos="1062"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Compliance with Environmental Laws</w:t>
      </w:r>
      <w:r>
        <w:rPr>
          <w:rFonts w:ascii="Arial" w:cs="Arial" w:eastAsia="Arial" w:hAnsi="Arial"/>
          <w:sz w:val="22"/>
          <w:szCs w:val="22"/>
          <w:color w:val="auto"/>
        </w:rPr>
        <w:t>. The Company and its subsidiaries (x) are in compliance with all, and have not violated any, applicable federal, state, local and foreign laws,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Arial" w:cs="Arial" w:eastAsia="Arial" w:hAnsi="Arial"/>
          <w:sz w:val="22"/>
          <w:szCs w:val="22"/>
          <w:b w:val="1"/>
          <w:bCs w:val="1"/>
          <w:u w:val="single" w:color="auto"/>
          <w:color w:val="auto"/>
        </w:rPr>
        <w:t>Environmental Laws</w:t>
      </w:r>
      <w:r>
        <w:rPr>
          <w:rFonts w:ascii="Arial" w:cs="Arial" w:eastAsia="Arial" w:hAnsi="Arial"/>
          <w:sz w:val="22"/>
          <w:szCs w:val="22"/>
          <w:color w:val="auto"/>
        </w:rPr>
        <w:t>”);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result in a Material Adverse Change; and (iii) except as described in the Prospectus, (x) there is no proceeding that is pending, or that is known by the Company to be contemplated, against the Company or any of its subsidiaries under any Environmental Laws in which a governmental entity is also a party, other than such proceeding regarding which is the Company reasonably believes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would reasonably be expected to result in a Material Adverse Change, and (z) none of the Company or its subsidiaries anticipates material capital expenditures relating to any Environmental Laws.</w:t>
      </w:r>
    </w:p>
    <w:p>
      <w:pPr>
        <w:spacing w:after="0" w:line="183" w:lineRule="exact"/>
        <w:rPr>
          <w:rFonts w:ascii="Arial" w:cs="Arial" w:eastAsia="Arial" w:hAnsi="Arial"/>
          <w:sz w:val="22"/>
          <w:szCs w:val="22"/>
          <w:color w:val="auto"/>
        </w:rPr>
      </w:pPr>
    </w:p>
    <w:p>
      <w:pPr>
        <w:ind w:right="20" w:firstLine="757"/>
        <w:spacing w:after="0" w:line="259" w:lineRule="auto"/>
        <w:tabs>
          <w:tab w:leader="none" w:pos="138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 xml:space="preserve"> Except as otherwise described in the Prospectus (i) the Company and its subsidiaries own or have the right to use all patent applications, patents, trademarks, trademark</w:t>
      </w:r>
    </w:p>
    <w:p>
      <w:pPr>
        <w:spacing w:after="0" w:line="200" w:lineRule="exact"/>
        <w:rPr>
          <w:rFonts w:ascii="Arial" w:cs="Arial" w:eastAsia="Arial" w:hAnsi="Arial"/>
          <w:sz w:val="22"/>
          <w:szCs w:val="22"/>
          <w:color w:val="auto"/>
        </w:rPr>
      </w:pPr>
    </w:p>
    <w:p>
      <w:pPr>
        <w:spacing w:after="0" w:line="395" w:lineRule="exact"/>
        <w:rPr>
          <w:rFonts w:ascii="Arial" w:cs="Arial" w:eastAsia="Arial" w:hAnsi="Arial"/>
          <w:sz w:val="22"/>
          <w:szCs w:val="22"/>
          <w:color w:val="auto"/>
        </w:rPr>
      </w:pPr>
    </w:p>
    <w:p>
      <w:pPr>
        <w:ind w:left="5520" w:hanging="106"/>
        <w:spacing w:after="0"/>
        <w:tabs>
          <w:tab w:leader="none" w:pos="55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6" w:name="page177"/>
    <w:bookmarkEnd w:id="176"/>
    <w:p>
      <w:pPr>
        <w:jc w:val="both"/>
        <w:spacing w:after="0" w:line="243" w:lineRule="auto"/>
        <w:rPr>
          <w:sz w:val="20"/>
          <w:szCs w:val="20"/>
          <w:color w:val="auto"/>
        </w:rPr>
      </w:pPr>
      <w:r>
        <w:rPr>
          <w:rFonts w:ascii="Arial" w:cs="Arial" w:eastAsia="Arial" w:hAnsi="Arial"/>
          <w:sz w:val="21"/>
          <w:szCs w:val="21"/>
          <w:color w:val="auto"/>
        </w:rPr>
        <w:t>registrations, trademark applications, service marks, service mark registrations, service mark applications, trade names, service names, Internet domain names and other source indicators, copyrights, copyright registrations, copyrightable works, databases, formulae, know-how, trade secrets, systems, procedures, proprietary or confidential information and all other intellectual property, industrial property and proprietary rights (including other unpatented and/or unpatentable proprietary confidential information, systems, or procedures), and all goodwill associated with any of the foregoing (collectively, “</w:t>
      </w:r>
      <w:r>
        <w:rPr>
          <w:rFonts w:ascii="Arial" w:cs="Arial" w:eastAsia="Arial" w:hAnsi="Arial"/>
          <w:sz w:val="21"/>
          <w:szCs w:val="21"/>
          <w:b w:val="1"/>
          <w:bCs w:val="1"/>
          <w:u w:val="single" w:color="auto"/>
          <w:color w:val="auto"/>
        </w:rPr>
        <w:t>Intellectual Property</w:t>
      </w:r>
      <w:r>
        <w:rPr>
          <w:rFonts w:ascii="Arial" w:cs="Arial" w:eastAsia="Arial" w:hAnsi="Arial"/>
          <w:sz w:val="21"/>
          <w:szCs w:val="21"/>
          <w:color w:val="auto"/>
        </w:rPr>
        <w:t>”), in each case used or held for use in, or necessary for the conduct of their respective businesses as conducted or proposed to be conducted in the Prospectus; (ii) to the Company’s knowledge, the Company’s and its subsidiaries’ conduct of their respective businesses as currently conducted or as proposed to be conducted in the Prospectus does not infringe, misappropriate or otherwise violate, and has not infringed, misappropriated, or otherwise violated, any valid and enforceable Intellectual Property of any third party; (iii) there is no pending or, to the knowledge of the Company, threatened action, suit, proceeding or claim by any third party (A) alleging that the Company or any of its subsidiaries has infringed, misappropriated or otherwise violated the Intellectual Property rights of any third party, or (B) challenging the inventorship, ownership, validity, scope or enforceability of, or any rights of the Company or any of its subsidiaries in, any Intellectual Property owned by or licensed to the Company or any of its subsidiaries; (iv) no Intellectual Property owned by or exclusively licensed to the Company or any of its subsidiaries has been adjudged invalid or unenforceable and, to the Company’s knowledge, all such Intellectual Property is valid and enforceable; (v) to the knowledge of the Company, no third party has infringed, misappropriated or otherwise violated any Intellectual Property owned by or exclusively licensed to the Company or any of its subsidiaries; (vi) the Company and its subsidiaries have at all times taken reasonable steps in accordance with normal industry practice to maintain confidentiality of all Intellectual Property whose value to the Company or its subsidiaries is contingent upon maintaining the confidentiality thereof, including by requiring employees, contractors, consultants and other third parties who receive such Intellectual Property to execute appropriate agreements to maintain such confidentiality; and (vii) all current and former employees and consultants and other parties involved in the development of Intellectual Property for the Company or any of its subsidiaries have signed agreements with the Company or its subsidiaries, pursuant to which the Company or its subsidiaries either (A) have obtained ownership of and are the exclusive owners of such Intellectual Property, or (B) have obtained a valid right to exploit such Intellectual Property, sufficient for the conduct of their respective businesses as currently conducted or as proposed to be conducted in the Prospectus.</w:t>
      </w:r>
    </w:p>
    <w:p>
      <w:pPr>
        <w:spacing w:after="0" w:line="200" w:lineRule="exact"/>
        <w:rPr>
          <w:sz w:val="20"/>
          <w:szCs w:val="20"/>
          <w:color w:val="auto"/>
        </w:rPr>
      </w:pPr>
    </w:p>
    <w:p>
      <w:pPr>
        <w:spacing w:after="0" w:line="218" w:lineRule="exact"/>
        <w:rPr>
          <w:sz w:val="20"/>
          <w:szCs w:val="20"/>
          <w:color w:val="auto"/>
        </w:rPr>
      </w:pPr>
    </w:p>
    <w:p>
      <w:pPr>
        <w:jc w:val="both"/>
        <w:ind w:firstLine="757"/>
        <w:spacing w:after="0" w:line="234" w:lineRule="auto"/>
        <w:tabs>
          <w:tab w:leader="none" w:pos="1247"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Listing</w:t>
      </w:r>
      <w:r>
        <w:rPr>
          <w:rFonts w:ascii="Arial" w:cs="Arial" w:eastAsia="Arial" w:hAnsi="Arial"/>
          <w:sz w:val="22"/>
          <w:szCs w:val="22"/>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Nasdaq,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Nasdaq is contemplating terminating such registration or listing. All of the Placement Shares that have been or may be sold under this Agreement have been approved for listing on Nasdaq; the Company has taken all necessary actions to ensure that, upon and at all times after Nasdaq shall have approved the Placement Shares for listing, it will be in compliance with all applicable corporate governance requirements set forth in Nasdaq’s listing rules that are then in effect.</w:t>
      </w:r>
    </w:p>
    <w:p>
      <w:pPr>
        <w:spacing w:after="0" w:line="179" w:lineRule="exact"/>
        <w:rPr>
          <w:rFonts w:ascii="Arial" w:cs="Arial" w:eastAsia="Arial" w:hAnsi="Arial"/>
          <w:sz w:val="22"/>
          <w:szCs w:val="22"/>
          <w:color w:val="auto"/>
        </w:rPr>
      </w:pPr>
    </w:p>
    <w:p>
      <w:pPr>
        <w:jc w:val="both"/>
        <w:ind w:firstLine="757"/>
        <w:spacing w:after="0" w:line="245" w:lineRule="auto"/>
        <w:tabs>
          <w:tab w:leader="none" w:pos="1193"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Brokers</w:t>
      </w:r>
      <w:r>
        <w:rPr>
          <w:rFonts w:ascii="Arial" w:cs="Arial" w:eastAsia="Arial" w:hAnsi="Arial"/>
          <w:sz w:val="22"/>
          <w:szCs w:val="22"/>
          <w:color w:val="auto"/>
        </w:rPr>
        <w:t>. Except for the Agent, there is no broker, finder or other party that is entitled to receive from the Company or any of its subsidiaries any brokerage or finder’s fee or other fee or commission as a result of any transactions contemplated by this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5520" w:hanging="106"/>
        <w:spacing w:after="0"/>
        <w:tabs>
          <w:tab w:leader="none" w:pos="55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7" w:name="page178"/>
    <w:bookmarkEnd w:id="177"/>
    <w:p>
      <w:pPr>
        <w:jc w:val="both"/>
        <w:ind w:left="-757" w:firstLine="757"/>
        <w:spacing w:after="0"/>
        <w:tabs>
          <w:tab w:leader="none" w:pos="463"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No Outstanding Loans or Other Indebtedness</w:t>
      </w:r>
      <w:r>
        <w:rPr>
          <w:rFonts w:ascii="Arial" w:cs="Arial" w:eastAsia="Arial" w:hAnsi="Arial"/>
          <w:sz w:val="22"/>
          <w:szCs w:val="22"/>
          <w:color w:val="auto"/>
        </w:rPr>
        <w:t>. 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them.</w:t>
      </w:r>
    </w:p>
    <w:p>
      <w:pPr>
        <w:spacing w:after="0" w:line="176" w:lineRule="exact"/>
        <w:rPr>
          <w:rFonts w:ascii="Arial" w:cs="Arial" w:eastAsia="Arial" w:hAnsi="Arial"/>
          <w:sz w:val="22"/>
          <w:szCs w:val="22"/>
          <w:color w:val="auto"/>
        </w:rPr>
      </w:pPr>
    </w:p>
    <w:p>
      <w:pPr>
        <w:ind w:left="-757" w:right="20" w:firstLine="757"/>
        <w:spacing w:after="0" w:line="259" w:lineRule="auto"/>
        <w:tabs>
          <w:tab w:leader="none" w:pos="45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No Reliance</w:t>
      </w:r>
      <w:r>
        <w:rPr>
          <w:rFonts w:ascii="Arial" w:cs="Arial" w:eastAsia="Arial" w:hAnsi="Arial"/>
          <w:sz w:val="22"/>
          <w:szCs w:val="22"/>
          <w:color w:val="auto"/>
        </w:rPr>
        <w:t>. The Company has not relied upon the Agent or legal counsel for the Agent for any legal, tax or accounting advice in connection with the offering and sale of the Placement Shares.</w:t>
      </w:r>
    </w:p>
    <w:p>
      <w:pPr>
        <w:spacing w:after="0" w:line="156" w:lineRule="exact"/>
        <w:rPr>
          <w:rFonts w:ascii="Arial" w:cs="Arial" w:eastAsia="Arial" w:hAnsi="Arial"/>
          <w:sz w:val="22"/>
          <w:szCs w:val="22"/>
          <w:color w:val="auto"/>
        </w:rPr>
      </w:pPr>
    </w:p>
    <w:p>
      <w:pPr>
        <w:jc w:val="both"/>
        <w:ind w:left="-757" w:firstLine="757"/>
        <w:spacing w:after="0" w:line="245" w:lineRule="auto"/>
        <w:tabs>
          <w:tab w:leader="none" w:pos="353"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FINRA Exemption</w:t>
      </w:r>
      <w:r>
        <w:rPr>
          <w:rFonts w:ascii="Arial" w:cs="Arial" w:eastAsia="Arial" w:hAnsi="Arial"/>
          <w:sz w:val="22"/>
          <w:szCs w:val="22"/>
          <w:color w:val="auto"/>
        </w:rPr>
        <w:t>. The Company qualifies as an “experienced issuer” (within the meaning of Financial Industry Regulatory Authority (“</w:t>
      </w:r>
      <w:r>
        <w:rPr>
          <w:rFonts w:ascii="Arial" w:cs="Arial" w:eastAsia="Arial" w:hAnsi="Arial"/>
          <w:sz w:val="22"/>
          <w:szCs w:val="22"/>
          <w:b w:val="1"/>
          <w:bCs w:val="1"/>
          <w:u w:val="single" w:color="auto"/>
          <w:color w:val="auto"/>
        </w:rPr>
        <w:t>FINRA</w:t>
      </w:r>
      <w:r>
        <w:rPr>
          <w:rFonts w:ascii="Arial" w:cs="Arial" w:eastAsia="Arial" w:hAnsi="Arial"/>
          <w:sz w:val="22"/>
          <w:szCs w:val="22"/>
          <w:color w:val="auto"/>
        </w:rPr>
        <w:t>”) Conduct Rule 5110(j)(6)) for purposes of the exemption from filing under FINRA Conduct Rule 5110(h)(1)(C).</w:t>
      </w:r>
    </w:p>
    <w:p>
      <w:pPr>
        <w:spacing w:after="0" w:line="170" w:lineRule="exact"/>
        <w:rPr>
          <w:rFonts w:ascii="Arial" w:cs="Arial" w:eastAsia="Arial" w:hAnsi="Arial"/>
          <w:sz w:val="22"/>
          <w:szCs w:val="22"/>
          <w:color w:val="auto"/>
        </w:rPr>
      </w:pPr>
    </w:p>
    <w:p>
      <w:pPr>
        <w:jc w:val="both"/>
        <w:ind w:left="-757" w:firstLine="757"/>
        <w:spacing w:after="0"/>
        <w:tabs>
          <w:tab w:leader="none" w:pos="425"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spacing w:after="0" w:line="176" w:lineRule="exact"/>
        <w:rPr>
          <w:rFonts w:ascii="Arial" w:cs="Arial" w:eastAsia="Arial" w:hAnsi="Arial"/>
          <w:sz w:val="22"/>
          <w:szCs w:val="22"/>
          <w:color w:val="auto"/>
        </w:rPr>
      </w:pPr>
    </w:p>
    <w:p>
      <w:pPr>
        <w:jc w:val="both"/>
        <w:ind w:left="-757" w:firstLine="757"/>
        <w:spacing w:after="0" w:line="232" w:lineRule="auto"/>
        <w:tabs>
          <w:tab w:leader="none" w:pos="31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Privacy Laws</w:t>
      </w:r>
      <w:r>
        <w:rPr>
          <w:rFonts w:ascii="Arial" w:cs="Arial" w:eastAsia="Arial" w:hAnsi="Arial"/>
          <w:sz w:val="22"/>
          <w:szCs w:val="22"/>
          <w:color w:val="auto"/>
        </w:rPr>
        <w:t>. The Company and its subsidiaries are presently in compliance with and, to their knowledge have complied with, all applicable laws or statutes (including without limitation, to the extent applicable, the Health Insurance Portability and Accountability Act of 1996, as amended by the Health Information Technology for Economic and Clinical Health Act, the California Consumer Privacy Act and the European Union General Data Protection Regulation) and all applicable judgments, orders, rules and regulations of any court or arbitrator or governmental or regulatory authority, approved final versions of internal and external policies, and contractual obligations relating to the privacy and security of IT Systems and the collection, use, transfer, import, export, storage, disposal and disclosure of Personal Data and to the protection of such IT Systems and Personal Data from unauthorized use, access, misappropriation or modification (“</w:t>
      </w:r>
      <w:r>
        <w:rPr>
          <w:rFonts w:ascii="Arial" w:cs="Arial" w:eastAsia="Arial" w:hAnsi="Arial"/>
          <w:sz w:val="22"/>
          <w:szCs w:val="22"/>
          <w:b w:val="1"/>
          <w:bCs w:val="1"/>
          <w:color w:val="auto"/>
        </w:rPr>
        <w:t>Data Security Obligations</w:t>
      </w:r>
      <w:r>
        <w:rPr>
          <w:rFonts w:ascii="Arial" w:cs="Arial" w:eastAsia="Arial" w:hAnsi="Arial"/>
          <w:sz w:val="22"/>
          <w:szCs w:val="22"/>
          <w:color w:val="auto"/>
        </w:rPr>
        <w:t>”); (ii) neither the Company nor any of its subsidiaries have received any notification of or complaint regarding any non-compliance with any Data Security Obligation; (iii) there is no pending or, to the Company’s knowledge, threatened, action, suit or proceeding by or before any court or governmental agency, authority or body alleging non-compliance with any Data Security Obligation; and (iv) the Company and its subsidiaries have made all disclosures as required by applicable laws and regulatory rules or requirements in connection with such Data Security Obligations, and no such disclosures have been inaccurate or in violation of any applicable laws or regulatory rules and requirements, except in the case of each of (i)-(iv) above, for any such matter as would not, individually or in the aggregate, reasonably be expected to result a Material Adverse Change.</w:t>
      </w:r>
    </w:p>
    <w:p>
      <w:pPr>
        <w:spacing w:after="0" w:line="189" w:lineRule="exact"/>
        <w:rPr>
          <w:rFonts w:ascii="Arial" w:cs="Arial" w:eastAsia="Arial" w:hAnsi="Arial"/>
          <w:sz w:val="22"/>
          <w:szCs w:val="22"/>
          <w:color w:val="auto"/>
        </w:rPr>
      </w:pPr>
    </w:p>
    <w:p>
      <w:pPr>
        <w:jc w:val="both"/>
        <w:ind w:left="-757" w:firstLine="757"/>
        <w:spacing w:after="0" w:line="234" w:lineRule="auto"/>
        <w:tabs>
          <w:tab w:leader="none" w:pos="517"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IT Systems</w:t>
      </w:r>
      <w:r>
        <w:rPr>
          <w:rFonts w:ascii="Arial" w:cs="Arial" w:eastAsia="Arial" w:hAnsi="Arial"/>
          <w:sz w:val="22"/>
          <w:szCs w:val="22"/>
          <w:color w:val="auto"/>
        </w:rPr>
        <w:t>. The Company and its subsidiaries’ information technology assets and equipment, computers, systems, networks, hardware, software, websites, applications, and databases owned or used by the Company or its subsidiaries (collectively, “</w:t>
      </w:r>
      <w:r>
        <w:rPr>
          <w:rFonts w:ascii="Arial" w:cs="Arial" w:eastAsia="Arial" w:hAnsi="Arial"/>
          <w:sz w:val="22"/>
          <w:szCs w:val="22"/>
          <w:b w:val="1"/>
          <w:bCs w:val="1"/>
          <w:color w:val="auto"/>
        </w:rPr>
        <w:t>IT Systems</w:t>
      </w:r>
      <w:r>
        <w:rPr>
          <w:rFonts w:ascii="Arial" w:cs="Arial" w:eastAsia="Arial" w:hAnsi="Arial"/>
          <w:sz w:val="22"/>
          <w:szCs w:val="22"/>
          <w:color w:val="auto"/>
        </w:rPr>
        <w:t>”) are adequate for, and operate and perform in all material respects as required in connection with the operation of the business of the Company and its subsidiaries as currently conducted and as proposed to be conducted in the Registration Statement and the Prospectus,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22"/>
          <w:szCs w:val="22"/>
          <w:b w:val="1"/>
          <w:bCs w:val="1"/>
          <w:color w:val="auto"/>
        </w:rPr>
        <w:t>Personal Data</w:t>
      </w:r>
      <w:r>
        <w:rPr>
          <w:rFonts w:ascii="Arial" w:cs="Arial" w:eastAsia="Arial" w:hAnsi="Arial"/>
          <w:sz w:val="22"/>
          <w:szCs w:val="22"/>
          <w:color w:val="auto"/>
        </w:rPr>
        <w:t>”)) collected, used, stored or processed in connection with their businesses, and, to the Company’s knowledge, there have been no breaches,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ind w:left="4763" w:hanging="106"/>
        <w:spacing w:after="0"/>
        <w:tabs>
          <w:tab w:leader="none" w:pos="4763" w:val="left"/>
        </w:tabs>
        <w:numPr>
          <w:ilvl w:val="1"/>
          <w:numId w:val="91"/>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64" w:right="339" w:bottom="1440" w:gutter="0" w:footer="0" w:header="0"/>
        </w:sectPr>
      </w:pPr>
    </w:p>
    <w:bookmarkStart w:id="178" w:name="page179"/>
    <w:bookmarkEnd w:id="178"/>
    <w:p>
      <w:pPr>
        <w:jc w:val="both"/>
        <w:spacing w:after="0" w:line="245" w:lineRule="auto"/>
        <w:rPr>
          <w:sz w:val="20"/>
          <w:szCs w:val="20"/>
          <w:color w:val="auto"/>
        </w:rPr>
      </w:pPr>
      <w:r>
        <w:rPr>
          <w:rFonts w:ascii="Arial" w:cs="Arial" w:eastAsia="Arial" w:hAnsi="Arial"/>
          <w:sz w:val="22"/>
          <w:szCs w:val="22"/>
          <w:color w:val="auto"/>
        </w:rPr>
        <w:t>violations, outages or unauthorized uses of or accesses to same, except for those that have been remedied without material cost or liability or the duty to notify any other person or entity, nor any incidents under internal review or investigations relating to the same.</w:t>
      </w:r>
    </w:p>
    <w:p>
      <w:pPr>
        <w:spacing w:after="0" w:line="170" w:lineRule="exact"/>
        <w:rPr>
          <w:sz w:val="20"/>
          <w:szCs w:val="20"/>
          <w:color w:val="auto"/>
        </w:rPr>
      </w:pPr>
    </w:p>
    <w:p>
      <w:pPr>
        <w:jc w:val="both"/>
        <w:ind w:firstLine="757"/>
        <w:spacing w:after="0" w:line="233" w:lineRule="auto"/>
        <w:tabs>
          <w:tab w:leader="none" w:pos="1169"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Export and Import Laws</w:t>
      </w:r>
      <w:r>
        <w:rPr>
          <w:rFonts w:ascii="Arial" w:cs="Arial" w:eastAsia="Arial" w:hAnsi="Arial"/>
          <w:sz w:val="22"/>
          <w:szCs w:val="22"/>
          <w:color w:val="auto"/>
        </w:rPr>
        <w:t>. Each of the Company and the Subsidiaries, and,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Arial" w:cs="Arial" w:eastAsia="Arial" w:hAnsi="Arial"/>
          <w:sz w:val="22"/>
          <w:szCs w:val="22"/>
          <w:b w:val="1"/>
          <w:bCs w:val="1"/>
          <w:u w:val="single" w:color="auto"/>
          <w:color w:val="auto"/>
        </w:rPr>
        <w:t>Export and Import Laws</w:t>
      </w:r>
      <w:r>
        <w:rPr>
          <w:rFonts w:ascii="Arial" w:cs="Arial" w:eastAsia="Arial" w:hAnsi="Arial"/>
          <w:sz w:val="22"/>
          <w:szCs w:val="22"/>
          <w:color w:val="auto"/>
        </w:rPr>
        <w:t>”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84" w:lineRule="exact"/>
        <w:rPr>
          <w:rFonts w:ascii="Arial" w:cs="Arial" w:eastAsia="Arial" w:hAnsi="Arial"/>
          <w:sz w:val="22"/>
          <w:szCs w:val="22"/>
          <w:color w:val="auto"/>
        </w:rPr>
      </w:pPr>
    </w:p>
    <w:p>
      <w:pPr>
        <w:jc w:val="both"/>
        <w:ind w:firstLine="757"/>
        <w:spacing w:after="0" w:line="245" w:lineRule="auto"/>
        <w:tabs>
          <w:tab w:leader="none" w:pos="1265"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Margin Rules.</w:t>
      </w:r>
      <w:r>
        <w:rPr>
          <w:rFonts w:ascii="Arial" w:cs="Arial" w:eastAsia="Arial" w:hAnsi="Arial"/>
          <w:sz w:val="22"/>
          <w:szCs w:val="22"/>
          <w:color w:val="auto"/>
        </w:rPr>
        <w:t xml:space="preserve"> Neither the issuance, sale and delivery of the Placement Shares nor the application of the proceeds thereof by the Company as described in the Prospectus will violate Regulation T, U or X of the Board of Governors of the Federal Reserve System or any other regulation of such Board of Governors.</w:t>
      </w:r>
    </w:p>
    <w:p>
      <w:pPr>
        <w:spacing w:after="0" w:line="170" w:lineRule="exact"/>
        <w:rPr>
          <w:rFonts w:ascii="Arial" w:cs="Arial" w:eastAsia="Arial" w:hAnsi="Arial"/>
          <w:sz w:val="22"/>
          <w:szCs w:val="22"/>
          <w:color w:val="auto"/>
        </w:rPr>
      </w:pPr>
    </w:p>
    <w:p>
      <w:pPr>
        <w:jc w:val="both"/>
        <w:ind w:firstLine="757"/>
        <w:spacing w:after="0" w:line="245" w:lineRule="auto"/>
        <w:tabs>
          <w:tab w:leader="none" w:pos="1182"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Forward-Looking Statements.</w:t>
      </w:r>
      <w:r>
        <w:rPr>
          <w:rFonts w:ascii="Arial" w:cs="Arial" w:eastAsia="Arial" w:hAnsi="Arial"/>
          <w:sz w:val="22"/>
          <w:szCs w:val="22"/>
          <w:color w:val="auto"/>
        </w:rPr>
        <w:t xml:space="preserve"> No forward-looking statement (within the meaning of Section 27A of the Securities Act and Section 21E of the Exchange Act) included in any of the Registration Statement or the Prospectus has been made or reaffirmed without a reasonable basis or has been disclosed other than in good faith.</w:t>
      </w:r>
    </w:p>
    <w:p>
      <w:pPr>
        <w:spacing w:after="0" w:line="170" w:lineRule="exact"/>
        <w:rPr>
          <w:rFonts w:ascii="Arial" w:cs="Arial" w:eastAsia="Arial" w:hAnsi="Arial"/>
          <w:sz w:val="22"/>
          <w:szCs w:val="22"/>
          <w:color w:val="auto"/>
        </w:rPr>
      </w:pPr>
    </w:p>
    <w:p>
      <w:pPr>
        <w:jc w:val="both"/>
        <w:ind w:firstLine="757"/>
        <w:spacing w:after="0" w:line="238" w:lineRule="auto"/>
        <w:tabs>
          <w:tab w:leader="none" w:pos="1196"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Statistical and Market Data.</w:t>
      </w:r>
      <w:r>
        <w:rPr>
          <w:rFonts w:ascii="Arial" w:cs="Arial" w:eastAsia="Arial" w:hAnsi="Arial"/>
          <w:sz w:val="22"/>
          <w:szCs w:val="22"/>
          <w:color w:val="auto"/>
        </w:rPr>
        <w:t xml:space="preserve"> Nothing has come to the attention of the Company that has caused the Company to believe that the statistical and market-related data included in or incorporated by reference in each of the Registration Statement and the Prospectus is not based on or derived from sources that are reliable and accurate in all material respects, and, to the extent required by such sources, the Company has obtained the written consent to the use of such data from such sources.</w:t>
      </w:r>
    </w:p>
    <w:p>
      <w:pPr>
        <w:spacing w:after="0" w:line="176" w:lineRule="exact"/>
        <w:rPr>
          <w:rFonts w:ascii="Arial" w:cs="Arial" w:eastAsia="Arial" w:hAnsi="Arial"/>
          <w:sz w:val="22"/>
          <w:szCs w:val="22"/>
          <w:color w:val="auto"/>
        </w:rPr>
      </w:pPr>
    </w:p>
    <w:p>
      <w:pPr>
        <w:jc w:val="both"/>
        <w:ind w:firstLine="757"/>
        <w:spacing w:after="0" w:line="243" w:lineRule="auto"/>
        <w:tabs>
          <w:tab w:leader="none" w:pos="1209"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Sarbanes-Oxley Act.</w:t>
      </w:r>
      <w:r>
        <w:rPr>
          <w:rFonts w:ascii="Arial" w:cs="Arial" w:eastAsia="Arial" w:hAnsi="Arial"/>
          <w:sz w:val="22"/>
          <w:szCs w:val="22"/>
          <w:color w:val="auto"/>
        </w:rPr>
        <w:t xml:space="preserve"> 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(the “</w:t>
      </w:r>
      <w:r>
        <w:rPr>
          <w:rFonts w:ascii="Arial" w:cs="Arial" w:eastAsia="Arial" w:hAnsi="Arial"/>
          <w:sz w:val="22"/>
          <w:szCs w:val="22"/>
          <w:b w:val="1"/>
          <w:bCs w:val="1"/>
          <w:u w:val="single" w:color="auto"/>
          <w:color w:val="auto"/>
        </w:rPr>
        <w:t>Sarbanes-Oxley Act</w:t>
      </w:r>
      <w:r>
        <w:rPr>
          <w:rFonts w:ascii="Arial" w:cs="Arial" w:eastAsia="Arial" w:hAnsi="Arial"/>
          <w:sz w:val="22"/>
          <w:szCs w:val="22"/>
          <w:color w:val="auto"/>
        </w:rPr>
        <w:t>”), including Section 402 related to loans and Sections 302 and 906 relating to certifications.</w:t>
      </w:r>
    </w:p>
    <w:p>
      <w:pPr>
        <w:spacing w:after="0" w:line="163" w:lineRule="exact"/>
        <w:rPr>
          <w:sz w:val="20"/>
          <w:szCs w:val="20"/>
          <w:color w:val="auto"/>
        </w:rPr>
      </w:pPr>
    </w:p>
    <w:p>
      <w:pPr>
        <w:jc w:val="both"/>
        <w:ind w:firstLine="757"/>
        <w:spacing w:after="0" w:line="247" w:lineRule="auto"/>
        <w:tabs>
          <w:tab w:leader="none" w:pos="134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Clinical Trials.</w:t>
      </w:r>
      <w:r>
        <w:rPr>
          <w:rFonts w:ascii="Arial" w:cs="Arial" w:eastAsia="Arial" w:hAnsi="Arial"/>
          <w:sz w:val="21"/>
          <w:szCs w:val="21"/>
          <w:color w:val="auto"/>
        </w:rPr>
        <w:t xml:space="preserve"> The clinical and pre-clinical trials conducted by or on behalf of or sponsored by the Company or any of its subsidiaries, or in which the Company or any of its subsidiaries has participated, that are described in the Registration Statement and the Prospectus, or the results of which are referred to in the Registration Statement and the Prospectus, as applicable, were, and if still pending are, being conducted in accordance with standard medical and scientific research standards and procedures and all applicable statutes, rules and regulations of the FDA and other applicable regulatory authorities (collectively, the “</w:t>
      </w:r>
      <w:r>
        <w:rPr>
          <w:rFonts w:ascii="Arial" w:cs="Arial" w:eastAsia="Arial" w:hAnsi="Arial"/>
          <w:sz w:val="21"/>
          <w:szCs w:val="21"/>
          <w:b w:val="1"/>
          <w:bCs w:val="1"/>
          <w:u w:val="single" w:color="auto"/>
          <w:color w:val="auto"/>
        </w:rPr>
        <w:t>Regulatory Authorities</w:t>
      </w:r>
      <w:r>
        <w:rPr>
          <w:rFonts w:ascii="Arial" w:cs="Arial" w:eastAsia="Arial" w:hAnsi="Arial"/>
          <w:sz w:val="21"/>
          <w:szCs w:val="21"/>
          <w:color w:val="auto"/>
        </w:rPr>
        <w:t>”) and current Good Clinical Practices and Good Laboratory Practices; the descriptions in the Registration Statement and the Prospectus of the results of such studies and tests are accurate and complete and fairly present the data derived from</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1" w:lineRule="exact"/>
        <w:rPr>
          <w:rFonts w:ascii="Arial" w:cs="Arial" w:eastAsia="Arial" w:hAnsi="Arial"/>
          <w:sz w:val="21"/>
          <w:szCs w:val="21"/>
          <w:color w:val="auto"/>
        </w:rPr>
      </w:pPr>
    </w:p>
    <w:p>
      <w:pPr>
        <w:ind w:left="5520" w:hanging="106"/>
        <w:spacing w:after="0"/>
        <w:tabs>
          <w:tab w:leader="none" w:pos="55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9" w:name="page180"/>
    <w:bookmarkEnd w:id="179"/>
    <w:p>
      <w:pPr>
        <w:jc w:val="both"/>
        <w:spacing w:after="0" w:line="246" w:lineRule="auto"/>
        <w:rPr>
          <w:sz w:val="20"/>
          <w:szCs w:val="20"/>
          <w:color w:val="auto"/>
        </w:rPr>
      </w:pPr>
      <w:r>
        <w:rPr>
          <w:rFonts w:ascii="Arial" w:cs="Arial" w:eastAsia="Arial" w:hAnsi="Arial"/>
          <w:sz w:val="21"/>
          <w:szCs w:val="21"/>
          <w:color w:val="auto"/>
        </w:rPr>
        <w:t>such trials; neither the Company nor any of its subsidiaries has any knowledge of any other trials, the results of which are inconsistent with or call into question the results described or referred to in the Registration Statement or the Prospectus; the Company and each of its subsidiaries have operated at all times and are currently in compliance in all material respects with all applicable statutes, rules and regulations of the Regulatory Authorities; neither the Company nor any of its subsidiaries has received any written notices, correspondence or other communications from the Regulatory Authorities or any other governmental agency requiring or threatening the termination, modification or suspension of any clinical or pre-clinical trials that are described in the Registration Statement and the Prospectus or the results of which are referred to in the Registration Statement and the Prospectus, and, to the knowledge of the Company and its subsidiaries, there are no reasonable grounds for the same.</w:t>
      </w:r>
    </w:p>
    <w:p>
      <w:pPr>
        <w:spacing w:after="0" w:line="175" w:lineRule="exact"/>
        <w:rPr>
          <w:sz w:val="20"/>
          <w:szCs w:val="20"/>
          <w:color w:val="auto"/>
        </w:rPr>
      </w:pPr>
    </w:p>
    <w:p>
      <w:pPr>
        <w:jc w:val="both"/>
        <w:ind w:firstLine="757"/>
        <w:spacing w:after="0" w:line="238" w:lineRule="auto"/>
        <w:tabs>
          <w:tab w:leader="none" w:pos="1313"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Regulatory Filings.</w:t>
      </w:r>
      <w:r>
        <w:rPr>
          <w:rFonts w:ascii="Arial" w:cs="Arial" w:eastAsia="Arial" w:hAnsi="Arial"/>
          <w:sz w:val="22"/>
          <w:szCs w:val="22"/>
          <w:color w:val="auto"/>
        </w:rPr>
        <w:t xml:space="preserve"> Neither the Company nor any of its subsidiaries has failed to file with the applicable Regulatory Authorities any required filing, declaration, listing, registration, report or submission;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Any certificate signed by an officer of the Company and delivered to the Agent or to counsel for the Agent pursuant to or in connection with this Agreement shall be deemed to be a representation and warranty by the Company to the Agent as to the matters set forth therein.</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The Company acknowledges that the Agent and, for purposes of the opinions to be delivered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hereof, counsel to the Company and counsel to the Agent, will rely upon the accuracy and truthfulness of the foregoing representations and hereby consents to such reliance.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7. </w:t>
      </w: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The Company covenants and agrees with the Agent that:</w:t>
      </w:r>
    </w:p>
    <w:p>
      <w:pPr>
        <w:spacing w:after="0" w:line="206" w:lineRule="exact"/>
        <w:rPr>
          <w:sz w:val="20"/>
          <w:szCs w:val="20"/>
          <w:color w:val="auto"/>
        </w:rPr>
      </w:pPr>
    </w:p>
    <w:p>
      <w:pPr>
        <w:jc w:val="both"/>
        <w:ind w:firstLine="757"/>
        <w:spacing w:after="0" w:line="248" w:lineRule="auto"/>
        <w:tabs>
          <w:tab w:leader="none" w:pos="1086" w:val="left"/>
        </w:tabs>
        <w:numPr>
          <w:ilvl w:val="1"/>
          <w:numId w:val="95"/>
        </w:numPr>
        <w:rPr>
          <w:rFonts w:ascii="Arial" w:cs="Arial" w:eastAsia="Arial" w:hAnsi="Arial"/>
          <w:sz w:val="21"/>
          <w:szCs w:val="21"/>
          <w:color w:val="auto"/>
        </w:rPr>
      </w:pPr>
      <w:r>
        <w:rPr>
          <w:rFonts w:ascii="Arial" w:cs="Arial" w:eastAsia="Arial" w:hAnsi="Arial"/>
          <w:sz w:val="21"/>
          <w:szCs w:val="21"/>
          <w:u w:val="single" w:color="auto"/>
          <w:color w:val="auto"/>
        </w:rPr>
        <w:t>Registration Statement Amendments</w:t>
      </w:r>
      <w:r>
        <w:rPr>
          <w:rFonts w:ascii="Arial" w:cs="Arial" w:eastAsia="Arial" w:hAnsi="Arial"/>
          <w:sz w:val="21"/>
          <w:szCs w:val="21"/>
          <w:color w:val="auto"/>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w:t>
      </w:r>
    </w:p>
    <w:p>
      <w:pPr>
        <w:jc w:val="both"/>
        <w:ind w:firstLine="8"/>
        <w:spacing w:after="0" w:line="231" w:lineRule="auto"/>
        <w:tabs>
          <w:tab w:leader="none" w:pos="289"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Company will notify the Agent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the failure of the Agent to make such request shall not relieve the Company of any obligation or liability hereunder, or affect the Agent’s right to rely on the representations and warranties made by the Company in this Agreement,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further</w:t>
      </w:r>
      <w:r>
        <w:rPr>
          <w:rFonts w:ascii="Arial" w:cs="Arial" w:eastAsia="Arial" w:hAnsi="Arial"/>
          <w:sz w:val="22"/>
          <w:szCs w:val="22"/>
          <w:color w:val="auto"/>
        </w:rPr>
        <w:t>, that the only remedy the Agent shall have with respect to the failure by the Company to make such</w:t>
      </w:r>
      <w:r>
        <w:rPr>
          <w:rFonts w:ascii="Arial" w:cs="Arial" w:eastAsia="Arial" w:hAnsi="Arial"/>
          <w:sz w:val="22"/>
          <w:szCs w:val="22"/>
          <w:i w:val="1"/>
          <w:iCs w:val="1"/>
          <w:color w:val="auto"/>
        </w:rPr>
        <w:t xml:space="preserve"> </w:t>
      </w:r>
      <w:r>
        <w:rPr>
          <w:rFonts w:ascii="Arial" w:cs="Arial" w:eastAsia="Arial" w:hAnsi="Arial"/>
          <w:sz w:val="22"/>
          <w:szCs w:val="22"/>
          <w:color w:val="auto"/>
        </w:rPr>
        <w:t>a filing (other than the Agent’s rights under Section 9 hereof)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the Agent within a reasonable period of time before the filing and the Agent has not reasonably objected thereto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failure of the Agent to make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7" w:lineRule="exact"/>
        <w:rPr>
          <w:rFonts w:ascii="Arial" w:cs="Arial" w:eastAsia="Arial" w:hAnsi="Arial"/>
          <w:sz w:val="22"/>
          <w:szCs w:val="22"/>
          <w:color w:val="auto"/>
        </w:rPr>
      </w:pPr>
    </w:p>
    <w:p>
      <w:pPr>
        <w:ind w:left="5520" w:hanging="106"/>
        <w:spacing w:after="0"/>
        <w:tabs>
          <w:tab w:leader="none" w:pos="55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0" w:name="page181"/>
    <w:bookmarkEnd w:id="180"/>
    <w:p>
      <w:pPr>
        <w:jc w:val="both"/>
        <w:spacing w:after="0" w:line="244" w:lineRule="auto"/>
        <w:rPr>
          <w:sz w:val="20"/>
          <w:szCs w:val="20"/>
          <w:color w:val="auto"/>
        </w:rPr>
      </w:pPr>
      <w:r>
        <w:rPr>
          <w:rFonts w:ascii="Arial" w:cs="Arial" w:eastAsia="Arial" w:hAnsi="Arial"/>
          <w:sz w:val="21"/>
          <w:szCs w:val="21"/>
          <w:color w:val="auto"/>
        </w:rPr>
        <w:t>such objection shall not relieve the Company of any obligation or liability hereunder, or affect the Agent’s right to rely on the representations and warranties made by the Company in this Agreement) and the Company will furnish to the Agent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w:t>
      </w:r>
    </w:p>
    <w:p>
      <w:pPr>
        <w:spacing w:after="0" w:line="5" w:lineRule="exact"/>
        <w:rPr>
          <w:sz w:val="20"/>
          <w:szCs w:val="20"/>
          <w:color w:val="auto"/>
        </w:rPr>
      </w:pPr>
    </w:p>
    <w:p>
      <w:pPr>
        <w:jc w:val="both"/>
        <w:ind w:firstLine="8"/>
        <w:spacing w:after="0" w:line="235" w:lineRule="auto"/>
        <w:tabs>
          <w:tab w:leader="none" w:pos="355" w:val="left"/>
        </w:tabs>
        <w:numPr>
          <w:ilvl w:val="0"/>
          <w:numId w:val="97"/>
        </w:numPr>
        <w:rPr>
          <w:rFonts w:ascii="Arial" w:cs="Arial" w:eastAsia="Arial" w:hAnsi="Arial"/>
          <w:sz w:val="22"/>
          <w:szCs w:val="22"/>
          <w:color w:val="auto"/>
        </w:rPr>
      </w:pPr>
      <w:r>
        <w:rPr>
          <w:rFonts w:ascii="Arial" w:cs="Arial" w:eastAsia="Arial" w:hAnsi="Arial"/>
          <w:sz w:val="22"/>
          <w:szCs w:val="22"/>
          <w:color w:val="auto"/>
        </w:rPr>
        <w:t>prior to the termination of this Agreement, the Company will notify the Agent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w:t>
      </w:r>
    </w:p>
    <w:p>
      <w:pPr>
        <w:spacing w:after="0" w:line="177" w:lineRule="exact"/>
        <w:rPr>
          <w:rFonts w:ascii="Arial" w:cs="Arial" w:eastAsia="Arial" w:hAnsi="Arial"/>
          <w:sz w:val="22"/>
          <w:szCs w:val="22"/>
          <w:color w:val="auto"/>
        </w:rPr>
      </w:pPr>
    </w:p>
    <w:p>
      <w:pPr>
        <w:jc w:val="both"/>
        <w:ind w:firstLine="757"/>
        <w:spacing w:after="0" w:line="234" w:lineRule="auto"/>
        <w:tabs>
          <w:tab w:leader="none" w:pos="1086"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Notice of Commission Stop Orders</w:t>
      </w:r>
      <w:r>
        <w:rPr>
          <w:rFonts w:ascii="Arial" w:cs="Arial" w:eastAsia="Arial" w:hAnsi="Arial"/>
          <w:sz w:val="22"/>
          <w:szCs w:val="22"/>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83" w:lineRule="exact"/>
        <w:rPr>
          <w:rFonts w:ascii="Arial" w:cs="Arial" w:eastAsia="Arial" w:hAnsi="Arial"/>
          <w:sz w:val="22"/>
          <w:szCs w:val="22"/>
          <w:color w:val="auto"/>
        </w:rPr>
      </w:pPr>
    </w:p>
    <w:p>
      <w:pPr>
        <w:jc w:val="both"/>
        <w:ind w:firstLine="757"/>
        <w:spacing w:after="0" w:line="244" w:lineRule="auto"/>
        <w:tabs>
          <w:tab w:leader="none" w:pos="1088" w:val="left"/>
        </w:tabs>
        <w:numPr>
          <w:ilvl w:val="1"/>
          <w:numId w:val="97"/>
        </w:numPr>
        <w:rPr>
          <w:rFonts w:ascii="Arial" w:cs="Arial" w:eastAsia="Arial" w:hAnsi="Arial"/>
          <w:sz w:val="21"/>
          <w:szCs w:val="21"/>
          <w:color w:val="auto"/>
        </w:rPr>
      </w:pPr>
      <w:r>
        <w:rPr>
          <w:rFonts w:ascii="Arial" w:cs="Arial" w:eastAsia="Arial" w:hAnsi="Arial"/>
          <w:sz w:val="21"/>
          <w:szCs w:val="21"/>
          <w:u w:val="single" w:color="auto"/>
          <w:color w:val="auto"/>
        </w:rPr>
        <w:t>Delivery of Prospectus; Subsequent Changes</w:t>
      </w:r>
      <w:r>
        <w:rPr>
          <w:rFonts w:ascii="Arial" w:cs="Arial" w:eastAsia="Arial" w:hAnsi="Arial"/>
          <w:sz w:val="21"/>
          <w:szCs w:val="21"/>
          <w:color w:val="auto"/>
        </w:rPr>
        <w:t>. During any period in which a Prospectus relating to the Placement Shares is required to be delivered by the Agent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183" w:lineRule="exact"/>
        <w:rPr>
          <w:rFonts w:ascii="Arial" w:cs="Arial" w:eastAsia="Arial" w:hAnsi="Arial"/>
          <w:sz w:val="21"/>
          <w:szCs w:val="21"/>
          <w:color w:val="auto"/>
        </w:rPr>
      </w:pPr>
    </w:p>
    <w:p>
      <w:pPr>
        <w:jc w:val="both"/>
        <w:ind w:firstLine="757"/>
        <w:spacing w:after="0" w:line="248" w:lineRule="auto"/>
        <w:tabs>
          <w:tab w:leader="none" w:pos="1073" w:val="left"/>
        </w:tabs>
        <w:numPr>
          <w:ilvl w:val="1"/>
          <w:numId w:val="97"/>
        </w:numPr>
        <w:rPr>
          <w:rFonts w:ascii="Arial" w:cs="Arial" w:eastAsia="Arial" w:hAnsi="Arial"/>
          <w:sz w:val="21"/>
          <w:szCs w:val="21"/>
          <w:color w:val="auto"/>
        </w:rPr>
      </w:pPr>
      <w:r>
        <w:rPr>
          <w:rFonts w:ascii="Arial" w:cs="Arial" w:eastAsia="Arial" w:hAnsi="Arial"/>
          <w:sz w:val="21"/>
          <w:szCs w:val="21"/>
          <w:u w:val="single" w:color="auto"/>
          <w:color w:val="auto"/>
        </w:rPr>
        <w:t>Listing of Placement Shares</w:t>
      </w:r>
      <w:r>
        <w:rPr>
          <w:rFonts w:ascii="Arial" w:cs="Arial" w:eastAsia="Arial" w:hAnsi="Arial"/>
          <w:sz w:val="21"/>
          <w:szCs w:val="21"/>
          <w:color w:val="auto"/>
        </w:rPr>
        <w:t xml:space="preserve">. During any period in which the Prospectus relating to the Placement Shares is required to be delivered by the Agent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the Agent reasonably designates and to continue such qualifications in effect so long as required for the distribution of the Placement Shares;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Company shall not be required in connection therewith to qualify as a</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9" w:lineRule="exact"/>
        <w:rPr>
          <w:rFonts w:ascii="Arial" w:cs="Arial" w:eastAsia="Arial" w:hAnsi="Arial"/>
          <w:sz w:val="21"/>
          <w:szCs w:val="21"/>
          <w:color w:val="auto"/>
        </w:rPr>
      </w:pPr>
    </w:p>
    <w:p>
      <w:pPr>
        <w:ind w:left="5520" w:hanging="106"/>
        <w:spacing w:after="0"/>
        <w:tabs>
          <w:tab w:leader="none" w:pos="5520" w:val="left"/>
        </w:tabs>
        <w:numPr>
          <w:ilvl w:val="2"/>
          <w:numId w:val="97"/>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foreign corporation or dealer in securities or file a general consent to service of process in any jurisdiction.</w:t>
      </w:r>
    </w:p>
    <w:p>
      <w:pPr>
        <w:spacing w:after="0" w:line="206" w:lineRule="exact"/>
        <w:rPr>
          <w:sz w:val="20"/>
          <w:szCs w:val="20"/>
          <w:color w:val="auto"/>
        </w:rPr>
      </w:pPr>
    </w:p>
    <w:p>
      <w:pPr>
        <w:jc w:val="both"/>
        <w:ind w:firstLine="757"/>
        <w:spacing w:after="0" w:line="234" w:lineRule="auto"/>
        <w:tabs>
          <w:tab w:leader="none" w:pos="1073"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Delivery of Registration Statement and Prospectus</w:t>
      </w:r>
      <w:r>
        <w:rPr>
          <w:rFonts w:ascii="Arial" w:cs="Arial" w:eastAsia="Arial" w:hAnsi="Arial"/>
          <w:sz w:val="22"/>
          <w:szCs w:val="22"/>
          <w:color w:val="auto"/>
        </w:rPr>
        <w:t xml:space="preserve">.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the Company shall not be required to furnish any document (other than the Prospectus) to</w:t>
      </w:r>
      <w:r>
        <w:rPr>
          <w:rFonts w:ascii="Arial" w:cs="Arial" w:eastAsia="Arial" w:hAnsi="Arial"/>
          <w:sz w:val="22"/>
          <w:szCs w:val="22"/>
          <w:i w:val="1"/>
          <w:iCs w:val="1"/>
          <w:color w:val="auto"/>
        </w:rPr>
        <w:t xml:space="preserve"> </w:t>
      </w:r>
      <w:r>
        <w:rPr>
          <w:rFonts w:ascii="Arial" w:cs="Arial" w:eastAsia="Arial" w:hAnsi="Arial"/>
          <w:sz w:val="22"/>
          <w:szCs w:val="22"/>
          <w:color w:val="auto"/>
        </w:rPr>
        <w:t>the Agent to the extent such document is available on EDGAR.</w:t>
      </w:r>
    </w:p>
    <w:p>
      <w:pPr>
        <w:spacing w:after="0" w:line="179" w:lineRule="exact"/>
        <w:rPr>
          <w:rFonts w:ascii="Arial" w:cs="Arial" w:eastAsia="Arial" w:hAnsi="Arial"/>
          <w:sz w:val="22"/>
          <w:szCs w:val="22"/>
          <w:color w:val="auto"/>
        </w:rPr>
      </w:pPr>
    </w:p>
    <w:p>
      <w:pPr>
        <w:jc w:val="both"/>
        <w:ind w:firstLine="757"/>
        <w:spacing w:after="0"/>
        <w:tabs>
          <w:tab w:leader="none" w:pos="1067"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Earnings Statement</w:t>
      </w:r>
      <w:r>
        <w:rPr>
          <w:rFonts w:ascii="Arial" w:cs="Arial" w:eastAsia="Arial" w:hAnsi="Arial"/>
          <w:sz w:val="22"/>
          <w:szCs w:val="22"/>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76" w:lineRule="exact"/>
        <w:rPr>
          <w:rFonts w:ascii="Arial" w:cs="Arial" w:eastAsia="Arial" w:hAnsi="Arial"/>
          <w:sz w:val="22"/>
          <w:szCs w:val="22"/>
          <w:color w:val="auto"/>
        </w:rPr>
      </w:pPr>
    </w:p>
    <w:p>
      <w:pPr>
        <w:jc w:val="both"/>
        <w:ind w:firstLine="757"/>
        <w:spacing w:after="0" w:line="243" w:lineRule="auto"/>
        <w:tabs>
          <w:tab w:leader="none" w:pos="1086"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xml:space="preserve">. The Company, whether or not the transactions contemplated hereunder are consummated or this Agreement is terminated, in accordance with the provisions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including any stamp duties, similar taxes or duties or other taxes, if any, incurred by the Agent in connection with issuance and sale of Placement Shares, (iii) the qualification of the Placement Shares under securities laws in accordance with the provisions of </w:t>
      </w:r>
      <w:r>
        <w:rPr>
          <w:rFonts w:ascii="Arial" w:cs="Arial" w:eastAsia="Arial" w:hAnsi="Arial"/>
          <w:sz w:val="21"/>
          <w:szCs w:val="21"/>
          <w:u w:val="single" w:color="auto"/>
          <w:color w:val="auto"/>
        </w:rPr>
        <w:t>Section 7(d)</w:t>
      </w:r>
      <w:r>
        <w:rPr>
          <w:rFonts w:ascii="Arial" w:cs="Arial" w:eastAsia="Arial" w:hAnsi="Arial"/>
          <w:sz w:val="21"/>
          <w:szCs w:val="21"/>
          <w:color w:val="auto"/>
        </w:rPr>
        <w:t xml:space="preserve"> of this Agreement, including filing fees (provided, however, that any fees or disbursements of counsel for the Agent in connection therewith shall be paid by the Agent except as set forth in (vii) below), (iv) the printing and delivery to the Agent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the Agent’s outside counsel for filings with the FINRA Corporate Financing Department, such legal expense reimbursement not to exceed $25,000 and, (viii) the reasonable fees and disbursements of the Agent’s counsel in the amount of (a) $75,000 for the initial preparation of documents; (b) $50,000 for any delivery of documents in connection with an annual report on Form 10-K or for which a disclosure letter has not previously been delivered in connection with a given annual report on Form 10-K; and (c) $25,000 for any delivery of documents in connection with a quarterly report on Form 10-Q or for which a disclosure letter has not previously been delivered in connection with a given quarterly report on Form 10-Q.</w:t>
      </w:r>
    </w:p>
    <w:p>
      <w:pPr>
        <w:spacing w:after="0" w:line="187" w:lineRule="exact"/>
        <w:rPr>
          <w:rFonts w:ascii="Arial" w:cs="Arial" w:eastAsia="Arial" w:hAnsi="Arial"/>
          <w:sz w:val="21"/>
          <w:szCs w:val="21"/>
          <w:color w:val="auto"/>
        </w:rPr>
      </w:pPr>
    </w:p>
    <w:p>
      <w:pPr>
        <w:ind w:right="20" w:firstLine="757"/>
        <w:spacing w:after="0" w:line="259" w:lineRule="auto"/>
        <w:tabs>
          <w:tab w:leader="none" w:pos="1073"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The Company will use the Net Proceeds as described in the Prospectus in the section entitled “Use of Proceeds.”</w:t>
      </w:r>
    </w:p>
    <w:p>
      <w:pPr>
        <w:spacing w:after="0" w:line="156" w:lineRule="exact"/>
        <w:rPr>
          <w:rFonts w:ascii="Arial" w:cs="Arial" w:eastAsia="Arial" w:hAnsi="Arial"/>
          <w:sz w:val="22"/>
          <w:szCs w:val="22"/>
          <w:color w:val="auto"/>
        </w:rPr>
      </w:pPr>
    </w:p>
    <w:p>
      <w:pPr>
        <w:jc w:val="both"/>
        <w:ind w:firstLine="757"/>
        <w:spacing w:after="0" w:line="245" w:lineRule="auto"/>
        <w:tabs>
          <w:tab w:leader="none" w:pos="1028"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Notice of Other Sales</w:t>
      </w:r>
      <w:r>
        <w:rPr>
          <w:rFonts w:ascii="Arial" w:cs="Arial" w:eastAsia="Arial" w:hAnsi="Arial"/>
          <w:sz w:val="22"/>
          <w:szCs w:val="22"/>
          <w:color w:val="auto"/>
        </w:rPr>
        <w:t>. During the pendency of any Placement Notice given hereunder, and for five (5) Trading Days following the termination of any Placement Notice given hereunder, the Company shall provide the Agent notice as promptly as reasonably possible before it offers to sell,</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5520" w:hanging="106"/>
        <w:spacing w:after="0"/>
        <w:tabs>
          <w:tab w:leader="none" w:pos="55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2" w:name="page183"/>
    <w:bookmarkEnd w:id="182"/>
    <w:p>
      <w:pPr>
        <w:jc w:val="both"/>
        <w:spacing w:after="0" w:line="232" w:lineRule="auto"/>
        <w:rPr>
          <w:sz w:val="20"/>
          <w:szCs w:val="20"/>
          <w:color w:val="auto"/>
        </w:rPr>
      </w:pPr>
      <w:r>
        <w:rPr>
          <w:rFonts w:ascii="Arial" w:cs="Arial" w:eastAsia="Arial" w:hAnsi="Arial"/>
          <w:sz w:val="22"/>
          <w:szCs w:val="22"/>
          <w:color w:val="auto"/>
        </w:rPr>
        <w:t xml:space="preserve">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Arial" w:cs="Arial" w:eastAsia="Arial" w:hAnsi="Arial"/>
          <w:sz w:val="22"/>
          <w:szCs w:val="22"/>
          <w:i w:val="1"/>
          <w:iCs w:val="1"/>
          <w:color w:val="auto"/>
        </w:rPr>
        <w:t>provided</w:t>
      </w:r>
      <w:r>
        <w:rPr>
          <w:rFonts w:ascii="Arial" w:cs="Arial" w:eastAsia="Arial" w:hAnsi="Arial"/>
          <w:sz w:val="22"/>
          <w:szCs w:val="22"/>
          <w:color w:val="auto"/>
        </w:rPr>
        <w:t>, that such notice shall not be required in connection with the (i) issuance, grant or sale of Common Stock, options to purchase shares of Common Stock or Common Stock issuable upon the exercise of options or other equity awards pursuant to any equity incentive plan, stock option, stock bonus or other stock plan or arrangement whether now in effect or hereafter implemented, including pursuant to any qualifying inducement award under Nasdaq rules (and the issuance by the Company of shares of Common Stock upon the exercise or vesting thereof),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the Agent in advance or (iv) any shares of common stock issuable upon the exchange, conversion or redemption of securities or the exercise of warrants, options or other rights in effect or outstanding as disclosed in filings by the Company available on EDGAR, or (v) the issuance of Common Stock, securities convertible into or exercisable for Common Stock or other securities offered and sold in a privately negotiated transaction to vendors, customers, strategic partners or other investors conducted or in connection with a transaction that includes a commercial relationship (including joint ventures, marketing or distribution arrangements, collaboration agreements or intellectual property license agreements) in a manner so as not to be integrated with the offering of the Placement Shares hereby. For the avoidance of doubt, nothing herein shall be construed to restrict the Company’s ability, or require the Company to provide notice to the Agent, to file a registration statement with the Commission.</w:t>
      </w:r>
    </w:p>
    <w:p>
      <w:pPr>
        <w:spacing w:after="0" w:line="185" w:lineRule="exact"/>
        <w:rPr>
          <w:sz w:val="20"/>
          <w:szCs w:val="20"/>
          <w:color w:val="auto"/>
        </w:rPr>
      </w:pPr>
    </w:p>
    <w:p>
      <w:pPr>
        <w:jc w:val="both"/>
        <w:ind w:firstLine="757"/>
        <w:spacing w:after="0"/>
        <w:tabs>
          <w:tab w:leader="none" w:pos="1014"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Change of Circumstances</w:t>
      </w:r>
      <w:r>
        <w:rPr>
          <w:rFonts w:ascii="Arial" w:cs="Arial" w:eastAsia="Arial" w:hAnsi="Arial"/>
          <w:sz w:val="22"/>
          <w:szCs w:val="22"/>
          <w:color w:val="auto"/>
        </w:rPr>
        <w:t>. The Company will, at any time during a fiscal quarter in which the Company intends to tender a Placement Notice or sell Placement Shares, advise the Agent promptly after it shall have received notice or obtained knowledge thereof, of any information or fact that would alter or affect in any material respect any opinion, certificate, letter or other document provided to the Agent pursuant to this Agreement.</w:t>
      </w:r>
    </w:p>
    <w:p>
      <w:pPr>
        <w:spacing w:after="0" w:line="176" w:lineRule="exact"/>
        <w:rPr>
          <w:rFonts w:ascii="Arial" w:cs="Arial" w:eastAsia="Arial" w:hAnsi="Arial"/>
          <w:sz w:val="22"/>
          <w:szCs w:val="22"/>
          <w:color w:val="auto"/>
        </w:rPr>
      </w:pPr>
    </w:p>
    <w:p>
      <w:pPr>
        <w:jc w:val="both"/>
        <w:ind w:firstLine="757"/>
        <w:spacing w:after="0"/>
        <w:tabs>
          <w:tab w:leader="none" w:pos="1115"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Due Diligence Cooperation</w:t>
      </w:r>
      <w:r>
        <w:rPr>
          <w:rFonts w:ascii="Arial" w:cs="Arial" w:eastAsia="Arial" w:hAnsi="Arial"/>
          <w:sz w:val="22"/>
          <w:szCs w:val="22"/>
          <w:color w:val="auto"/>
        </w:rPr>
        <w:t>. The Company will cooperate with any reasonable due diligence review conducted by the Agent or its agents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76" w:lineRule="exact"/>
        <w:rPr>
          <w:rFonts w:ascii="Arial" w:cs="Arial" w:eastAsia="Arial" w:hAnsi="Arial"/>
          <w:sz w:val="22"/>
          <w:szCs w:val="22"/>
          <w:color w:val="auto"/>
        </w:rPr>
      </w:pPr>
    </w:p>
    <w:p>
      <w:pPr>
        <w:jc w:val="both"/>
        <w:ind w:firstLine="757"/>
        <w:spacing w:after="0" w:line="246" w:lineRule="auto"/>
        <w:tabs>
          <w:tab w:leader="none" w:pos="1001"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Required Filings Relating to Placement of Placement Shares</w:t>
      </w:r>
      <w:r>
        <w:rPr>
          <w:rFonts w:ascii="Arial" w:cs="Arial" w:eastAsia="Arial" w:hAnsi="Arial"/>
          <w:sz w:val="21"/>
          <w:szCs w:val="21"/>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Arial" w:cs="Arial" w:eastAsia="Arial" w:hAnsi="Arial"/>
          <w:sz w:val="21"/>
          <w:szCs w:val="21"/>
          <w:b w:val="1"/>
          <w:bCs w:val="1"/>
          <w:u w:val="single" w:color="auto"/>
          <w:color w:val="auto"/>
        </w:rPr>
        <w:t>Filing</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Date</w:t>
      </w:r>
      <w:r>
        <w:rPr>
          <w:rFonts w:ascii="Arial" w:cs="Arial" w:eastAsia="Arial" w:hAnsi="Arial"/>
          <w:sz w:val="21"/>
          <w:szCs w:val="21"/>
          <w:color w:val="auto"/>
        </w:rPr>
        <w:t>”), and (ii) deliver such number of copies of each such prospectus supplement to each exchange or market on</w:t>
      </w:r>
      <w:r>
        <w:rPr>
          <w:rFonts w:ascii="Arial" w:cs="Arial" w:eastAsia="Arial" w:hAnsi="Arial"/>
          <w:sz w:val="21"/>
          <w:szCs w:val="21"/>
          <w:b w:val="1"/>
          <w:bCs w:val="1"/>
          <w:color w:val="auto"/>
        </w:rPr>
        <w:t xml:space="preserve"> </w:t>
      </w:r>
      <w:r>
        <w:rPr>
          <w:rFonts w:ascii="Arial" w:cs="Arial" w:eastAsia="Arial" w:hAnsi="Arial"/>
          <w:sz w:val="21"/>
          <w:szCs w:val="21"/>
          <w:color w:val="auto"/>
        </w:rPr>
        <w:t>which such sales were effected as may be required by the rules or regulations of such exchange or market. The Company shall disclose in its quarterly reports on Form 10-Q and in its annual report on Form 10-K, the number of the Placement Shares sold through the Agent under this Agreement, and the gross proceeds and Net Proceeds to the Company from the sale of the Placement Shares and the compensation paid by the Company with respect to sales of the Placement Shares pursuant to this Agreement during the relevant quarter or, in the case of an Annual Report on Form 10-K, during the fiscal year covered by such Annual Report and the fourth quarter of such fiscal year.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0" w:lineRule="exact"/>
        <w:rPr>
          <w:rFonts w:ascii="Arial" w:cs="Arial" w:eastAsia="Arial" w:hAnsi="Arial"/>
          <w:sz w:val="21"/>
          <w:szCs w:val="21"/>
          <w:color w:val="auto"/>
        </w:rPr>
      </w:pPr>
    </w:p>
    <w:p>
      <w:pPr>
        <w:ind w:left="5520" w:hanging="106"/>
        <w:spacing w:after="0"/>
        <w:tabs>
          <w:tab w:leader="none" w:pos="55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3" w:name="page184"/>
    <w:bookmarkEnd w:id="183"/>
    <w:p>
      <w:pPr>
        <w:jc w:val="both"/>
        <w:ind w:left="-757" w:firstLine="757"/>
        <w:spacing w:after="0" w:line="243" w:lineRule="auto"/>
        <w:tabs>
          <w:tab w:leader="none" w:pos="376"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Bring-Down Dates; Certificate</w:t>
      </w:r>
      <w:r>
        <w:rPr>
          <w:rFonts w:ascii="Arial" w:cs="Arial" w:eastAsia="Arial" w:hAnsi="Arial"/>
          <w:sz w:val="21"/>
          <w:szCs w:val="21"/>
          <w:color w:val="auto"/>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7(l)</w:t>
      </w:r>
      <w:r>
        <w:rPr>
          <w:rFonts w:ascii="Arial" w:cs="Arial" w:eastAsia="Arial" w:hAnsi="Arial"/>
          <w:sz w:val="21"/>
          <w:szCs w:val="21"/>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current report on Form 8-K containing amended financial information (other than an earnings release or other information “furnished” pursuant to Items 2.02 or 7.01 of Form 8-K) under the Exchange Act and the Agent reasonably determines that the information contained in such report on Form 8-K is material (each date of filing of one or more of the documents referred to in clauses (i) through (iv) shall be a "</w:t>
      </w:r>
      <w:r>
        <w:rPr>
          <w:rFonts w:ascii="Arial" w:cs="Arial" w:eastAsia="Arial" w:hAnsi="Arial"/>
          <w:sz w:val="21"/>
          <w:szCs w:val="21"/>
          <w:b w:val="1"/>
          <w:bCs w:val="1"/>
          <w:u w:val="single" w:color="auto"/>
          <w:color w:val="auto"/>
        </w:rPr>
        <w:t>Bring-Down Date</w:t>
      </w:r>
      <w:r>
        <w:rPr>
          <w:rFonts w:ascii="Arial" w:cs="Arial" w:eastAsia="Arial" w:hAnsi="Arial"/>
          <w:sz w:val="21"/>
          <w:szCs w:val="21"/>
          <w:color w:val="auto"/>
        </w:rPr>
        <w:t xml:space="preserve">"); the Company shall furnish the Agent with a certificate, in the form attached hereto as </w:t>
      </w:r>
      <w:r>
        <w:rPr>
          <w:rFonts w:ascii="Arial" w:cs="Arial" w:eastAsia="Arial" w:hAnsi="Arial"/>
          <w:sz w:val="21"/>
          <w:szCs w:val="21"/>
          <w:u w:val="single" w:color="auto"/>
          <w:color w:val="auto"/>
        </w:rPr>
        <w:t>Exhibit 7(m)</w:t>
      </w:r>
      <w:r>
        <w:rPr>
          <w:rFonts w:ascii="Arial" w:cs="Arial" w:eastAsia="Arial" w:hAnsi="Arial"/>
          <w:sz w:val="21"/>
          <w:szCs w:val="21"/>
          <w:color w:val="auto"/>
        </w:rPr>
        <w:t xml:space="preserve"> within three (3) Trading Days of any Bring-Down Date if requested by the Agent. The requirement to provide a certificate under this </w:t>
      </w:r>
      <w:r>
        <w:rPr>
          <w:rFonts w:ascii="Arial" w:cs="Arial" w:eastAsia="Arial" w:hAnsi="Arial"/>
          <w:sz w:val="21"/>
          <w:szCs w:val="21"/>
          <w:u w:val="single" w:color="auto"/>
          <w:color w:val="auto"/>
        </w:rPr>
        <w:t>Section 7(m)</w:t>
      </w:r>
      <w:r>
        <w:rPr>
          <w:rFonts w:ascii="Arial" w:cs="Arial" w:eastAsia="Arial" w:hAnsi="Arial"/>
          <w:sz w:val="21"/>
          <w:szCs w:val="21"/>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the Agent with a certificate under this </w:t>
      </w:r>
      <w:r>
        <w:rPr>
          <w:rFonts w:ascii="Arial" w:cs="Arial" w:eastAsia="Arial" w:hAnsi="Arial"/>
          <w:sz w:val="21"/>
          <w:szCs w:val="21"/>
          <w:u w:val="single" w:color="auto"/>
          <w:color w:val="auto"/>
        </w:rPr>
        <w:t>Section 7(m)</w:t>
      </w:r>
      <w:r>
        <w:rPr>
          <w:rFonts w:ascii="Arial" w:cs="Arial" w:eastAsia="Arial" w:hAnsi="Arial"/>
          <w:sz w:val="21"/>
          <w:szCs w:val="21"/>
          <w:color w:val="auto"/>
        </w:rPr>
        <w:t xml:space="preserve">, then before the Company delivers the Placement Notice or the Agent sells any Placement Shares, the Company shall provide the Agent with a certificate, in the form attached hereto as </w:t>
      </w:r>
      <w:r>
        <w:rPr>
          <w:rFonts w:ascii="Arial" w:cs="Arial" w:eastAsia="Arial" w:hAnsi="Arial"/>
          <w:sz w:val="21"/>
          <w:szCs w:val="21"/>
          <w:u w:val="single" w:color="auto"/>
          <w:color w:val="auto"/>
        </w:rPr>
        <w:t>Exhibit 7(m)</w:t>
      </w:r>
      <w:r>
        <w:rPr>
          <w:rFonts w:ascii="Arial" w:cs="Arial" w:eastAsia="Arial" w:hAnsi="Arial"/>
          <w:sz w:val="21"/>
          <w:szCs w:val="21"/>
          <w:color w:val="auto"/>
        </w:rPr>
        <w:t>, dated the date of the Placement Notice.</w:t>
      </w:r>
    </w:p>
    <w:p>
      <w:pPr>
        <w:spacing w:after="0" w:line="184" w:lineRule="exact"/>
        <w:rPr>
          <w:rFonts w:ascii="Arial" w:cs="Arial" w:eastAsia="Arial" w:hAnsi="Arial"/>
          <w:sz w:val="21"/>
          <w:szCs w:val="21"/>
          <w:color w:val="auto"/>
        </w:rPr>
      </w:pPr>
    </w:p>
    <w:p>
      <w:pPr>
        <w:jc w:val="both"/>
        <w:ind w:left="-757" w:firstLine="757"/>
        <w:spacing w:after="0" w:line="233" w:lineRule="auto"/>
        <w:tabs>
          <w:tab w:leader="none" w:pos="33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Legal Opinion</w:t>
      </w:r>
      <w:r>
        <w:rPr>
          <w:rFonts w:ascii="Arial" w:cs="Arial" w:eastAsia="Arial" w:hAnsi="Arial"/>
          <w:sz w:val="22"/>
          <w:szCs w:val="22"/>
          <w:color w:val="auto"/>
        </w:rPr>
        <w:t xml:space="preserve">. On or prior to the First Delivery Date and within three Trading Days of each Bring-Down Date with respect to which the Company is obligated to deliver a certificate in the form attached hereto as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7(m)</w:t>
      </w:r>
      <w:r>
        <w:rPr>
          <w:rFonts w:ascii="Arial" w:cs="Arial" w:eastAsia="Arial" w:hAnsi="Arial"/>
          <w:sz w:val="22"/>
          <w:szCs w:val="22"/>
          <w:color w:val="auto"/>
        </w:rPr>
        <w:t xml:space="preserve"> for which no waiver is applicable, the Company shall cause to be furnished to the Agent a written opinion (the </w:t>
      </w: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auto"/>
        </w:rPr>
        <w:t>Corporate Legal Opinion</w:t>
      </w:r>
      <w:r>
        <w:rPr>
          <w:rFonts w:ascii="Arial" w:cs="Arial" w:eastAsia="Arial" w:hAnsi="Arial"/>
          <w:sz w:val="22"/>
          <w:szCs w:val="22"/>
          <w:u w:val="single" w:color="auto"/>
          <w:color w:val="auto"/>
        </w:rPr>
        <w:t>”) and negative assurance letter</w:t>
      </w:r>
      <w:r>
        <w:rPr>
          <w:rFonts w:ascii="Arial" w:cs="Arial" w:eastAsia="Arial" w:hAnsi="Arial"/>
          <w:sz w:val="22"/>
          <w:szCs w:val="22"/>
          <w:color w:val="auto"/>
        </w:rPr>
        <w:t xml:space="preserve"> of Cooley LLP (“</w:t>
      </w:r>
      <w:r>
        <w:rPr>
          <w:rFonts w:ascii="Arial" w:cs="Arial" w:eastAsia="Arial" w:hAnsi="Arial"/>
          <w:sz w:val="22"/>
          <w:szCs w:val="22"/>
          <w:b w:val="1"/>
          <w:bCs w:val="1"/>
          <w:u w:val="single" w:color="auto"/>
          <w:color w:val="auto"/>
        </w:rPr>
        <w:t>Company Counsel</w:t>
      </w:r>
      <w:r>
        <w:rPr>
          <w:rFonts w:ascii="Arial" w:cs="Arial" w:eastAsia="Arial" w:hAnsi="Arial"/>
          <w:sz w:val="22"/>
          <w:szCs w:val="22"/>
          <w:color w:val="auto"/>
        </w:rPr>
        <w:t xml:space="preserve">”), or other counsel satisfactory to the Agent, each in form and substance satisfactory to the Agent and its counsel, dated the date that the opinion and negative assurance letter are required to be delivered, modified, as necessary, to relate to the Registration Statement and the Prospectus as then amended or supplemented;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lieu of such opinion and/or negative assurance letter for subsequent Bring-Down Dates, counsel may furnish the Agent with a letter (a “</w:t>
      </w:r>
      <w:r>
        <w:rPr>
          <w:rFonts w:ascii="Arial" w:cs="Arial" w:eastAsia="Arial" w:hAnsi="Arial"/>
          <w:sz w:val="22"/>
          <w:szCs w:val="22"/>
          <w:b w:val="1"/>
          <w:bCs w:val="1"/>
          <w:u w:val="single" w:color="auto"/>
          <w:color w:val="auto"/>
        </w:rPr>
        <w:t>Reliance Letter</w:t>
      </w:r>
      <w:r>
        <w:rPr>
          <w:rFonts w:ascii="Arial" w:cs="Arial" w:eastAsia="Arial" w:hAnsi="Arial"/>
          <w:sz w:val="22"/>
          <w:szCs w:val="22"/>
          <w:color w:val="auto"/>
        </w:rPr>
        <w:t xml:space="preserve">”) to the effect that the Agent may rely on a prior opinion and/or negative assurance letter delivered under this </w:t>
      </w:r>
      <w:r>
        <w:rPr>
          <w:rFonts w:ascii="Arial" w:cs="Arial" w:eastAsia="Arial" w:hAnsi="Arial"/>
          <w:sz w:val="22"/>
          <w:szCs w:val="22"/>
          <w:u w:val="single" w:color="auto"/>
          <w:color w:val="auto"/>
        </w:rPr>
        <w:t>Section 7(n)</w:t>
      </w:r>
      <w:r>
        <w:rPr>
          <w:rFonts w:ascii="Arial" w:cs="Arial" w:eastAsia="Arial" w:hAnsi="Arial"/>
          <w:sz w:val="22"/>
          <w:szCs w:val="22"/>
          <w:color w:val="auto"/>
        </w:rPr>
        <w:t xml:space="preserve"> to the same extent as if it were dated the date of such letter (except that statements in such prior opinion and/or negative assurance letter shall be deemed to relate to the Registration Statement and the Prospectus as amended or supplemented at such Bring-Down Date).</w:t>
      </w:r>
    </w:p>
    <w:p>
      <w:pPr>
        <w:spacing w:after="0" w:line="184" w:lineRule="exact"/>
        <w:rPr>
          <w:rFonts w:ascii="Arial" w:cs="Arial" w:eastAsia="Arial" w:hAnsi="Arial"/>
          <w:sz w:val="22"/>
          <w:szCs w:val="22"/>
          <w:color w:val="auto"/>
        </w:rPr>
      </w:pPr>
    </w:p>
    <w:p>
      <w:pPr>
        <w:jc w:val="both"/>
        <w:ind w:left="-757" w:firstLine="757"/>
        <w:spacing w:after="0" w:line="247" w:lineRule="auto"/>
        <w:tabs>
          <w:tab w:leader="none" w:pos="316"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Intellectual Property Opinion.</w:t>
      </w:r>
      <w:r>
        <w:rPr>
          <w:rFonts w:ascii="Arial" w:cs="Arial" w:eastAsia="Arial" w:hAnsi="Arial"/>
          <w:sz w:val="21"/>
          <w:szCs w:val="21"/>
          <w:color w:val="auto"/>
        </w:rPr>
        <w:t xml:space="preserve"> If requested by the Agent, on or prior to the First Delivery Date and no more than once per fiscal year, provided that the Company is obligated to deliver a certificate in the form attached hereto as Exhibit 7(m) for which no waiver is applicable, the Company shall cause to be furnished to the Agent the written opinion of Choate, Hall &amp; Stewart LLP, counsel for the Company with respect to intellectual property matters, or such other intellectual property counsel satisfactory to the Agent (“</w:t>
      </w:r>
      <w:r>
        <w:rPr>
          <w:rFonts w:ascii="Arial" w:cs="Arial" w:eastAsia="Arial" w:hAnsi="Arial"/>
          <w:sz w:val="21"/>
          <w:szCs w:val="21"/>
          <w:b w:val="1"/>
          <w:bCs w:val="1"/>
          <w:color w:val="auto"/>
        </w:rPr>
        <w:t>Intellectual Property Counsel</w:t>
      </w:r>
      <w:r>
        <w:rPr>
          <w:rFonts w:ascii="Arial" w:cs="Arial" w:eastAsia="Arial" w:hAnsi="Arial"/>
          <w:sz w:val="21"/>
          <w:szCs w:val="21"/>
          <w:color w:val="auto"/>
        </w:rPr>
        <w:t>”), in form and substance satisfactory to the Agent and its counsel, dated the date that the opinion letter is required to be delivered, modified, as necessary, to relate to the Registration Statement and the Prospectus as then amended or supplemented; provided, however, that in lieu of such written opinion for subsequent Representation Dates, Intellectual Property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1" w:lineRule="exact"/>
        <w:rPr>
          <w:rFonts w:ascii="Arial" w:cs="Arial" w:eastAsia="Arial" w:hAnsi="Arial"/>
          <w:sz w:val="21"/>
          <w:szCs w:val="21"/>
          <w:color w:val="auto"/>
        </w:rPr>
      </w:pPr>
    </w:p>
    <w:p>
      <w:pPr>
        <w:ind w:left="4763" w:hanging="106"/>
        <w:spacing w:after="0"/>
        <w:tabs>
          <w:tab w:leader="none" w:pos="476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64" w:right="339" w:bottom="1440" w:gutter="0" w:footer="0" w:header="0"/>
        </w:sectPr>
      </w:pPr>
    </w:p>
    <w:bookmarkStart w:id="184" w:name="page185"/>
    <w:bookmarkEnd w:id="184"/>
    <w:p>
      <w:pPr>
        <w:jc w:val="both"/>
        <w:spacing w:after="0"/>
        <w:rPr>
          <w:sz w:val="20"/>
          <w:szCs w:val="20"/>
          <w:color w:val="auto"/>
        </w:rPr>
      </w:pPr>
      <w:r>
        <w:rPr>
          <w:rFonts w:ascii="Arial" w:cs="Arial" w:eastAsia="Arial" w:hAnsi="Arial"/>
          <w:sz w:val="22"/>
          <w:szCs w:val="22"/>
          <w:color w:val="auto"/>
        </w:rPr>
        <w:t>Counsel may furnish the Agent with a letter 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176" w:lineRule="exact"/>
        <w:rPr>
          <w:sz w:val="20"/>
          <w:szCs w:val="20"/>
          <w:color w:val="auto"/>
        </w:rPr>
      </w:pPr>
    </w:p>
    <w:p>
      <w:pPr>
        <w:jc w:val="both"/>
        <w:ind w:firstLine="757"/>
        <w:spacing w:after="0" w:line="234" w:lineRule="auto"/>
        <w:tabs>
          <w:tab w:leader="none" w:pos="1086"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Comfort Letter</w:t>
      </w:r>
      <w:r>
        <w:rPr>
          <w:rFonts w:ascii="Arial" w:cs="Arial" w:eastAsia="Arial" w:hAnsi="Arial"/>
          <w:sz w:val="22"/>
          <w:szCs w:val="22"/>
          <w:color w:val="auto"/>
        </w:rPr>
        <w:t xml:space="preserve">. On or prior to the First Delivery Date and within three Trading Days of each Bring-Down Date with respect to which the Company is obligated to deliver a certificate in the form attached hereto as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7(m)</w:t>
      </w:r>
      <w:r>
        <w:rPr>
          <w:rFonts w:ascii="Arial" w:cs="Arial" w:eastAsia="Arial" w:hAnsi="Arial"/>
          <w:sz w:val="22"/>
          <w:szCs w:val="22"/>
          <w:color w:val="auto"/>
        </w:rPr>
        <w:t xml:space="preserve"> for which no waiver is applicable, the Company shall cause its independent accountants to furnish the Agent letters (the "</w:t>
      </w:r>
      <w:r>
        <w:rPr>
          <w:rFonts w:ascii="Arial" w:cs="Arial" w:eastAsia="Arial" w:hAnsi="Arial"/>
          <w:sz w:val="22"/>
          <w:szCs w:val="22"/>
          <w:b w:val="1"/>
          <w:bCs w:val="1"/>
          <w:u w:val="single" w:color="auto"/>
          <w:color w:val="auto"/>
        </w:rPr>
        <w:t>Comfort Letters</w:t>
      </w:r>
      <w:r>
        <w:rPr>
          <w:rFonts w:ascii="Arial" w:cs="Arial" w:eastAsia="Arial" w:hAnsi="Arial"/>
          <w:sz w:val="22"/>
          <w:szCs w:val="22"/>
          <w:color w:val="auto"/>
        </w:rPr>
        <w:t>"), dated the date the Comfort Letter is delivered, in form and substance satisfactory to the Agent,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the Agent in connection with registered public offerings (the first such letter, the “</w:t>
      </w:r>
      <w:r>
        <w:rPr>
          <w:rFonts w:ascii="Arial" w:cs="Arial" w:eastAsia="Arial" w:hAnsi="Arial"/>
          <w:sz w:val="22"/>
          <w:szCs w:val="22"/>
          <w:b w:val="1"/>
          <w:bCs w:val="1"/>
          <w:u w:val="single" w:color="auto"/>
          <w:color w:val="auto"/>
        </w:rPr>
        <w:t>Initial Comfort Letter</w:t>
      </w:r>
      <w:r>
        <w:rPr>
          <w:rFonts w:ascii="Arial" w:cs="Arial" w:eastAsia="Arial" w:hAnsi="Arial"/>
          <w:sz w:val="22"/>
          <w:szCs w:val="22"/>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5" w:lineRule="exact"/>
        <w:rPr>
          <w:rFonts w:ascii="Arial" w:cs="Arial" w:eastAsia="Arial" w:hAnsi="Arial"/>
          <w:sz w:val="22"/>
          <w:szCs w:val="22"/>
          <w:color w:val="auto"/>
        </w:rPr>
      </w:pPr>
    </w:p>
    <w:p>
      <w:pPr>
        <w:jc w:val="both"/>
        <w:ind w:firstLine="757"/>
        <w:spacing w:after="0" w:line="236" w:lineRule="auto"/>
        <w:tabs>
          <w:tab w:leader="none" w:pos="110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Market Activities</w:t>
      </w:r>
      <w:r>
        <w:rPr>
          <w:rFonts w:ascii="Arial" w:cs="Arial" w:eastAsia="Arial" w:hAnsi="Arial"/>
          <w:sz w:val="22"/>
          <w:szCs w:val="22"/>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the Agent; provided, however, that the Company may bid for and purchase shares of its common stock in accordance with Rule 10b-18 under the Exchange Act.</w:t>
      </w:r>
    </w:p>
    <w:p>
      <w:pPr>
        <w:spacing w:after="0" w:line="181" w:lineRule="exact"/>
        <w:rPr>
          <w:rFonts w:ascii="Arial" w:cs="Arial" w:eastAsia="Arial" w:hAnsi="Arial"/>
          <w:sz w:val="22"/>
          <w:szCs w:val="22"/>
          <w:color w:val="auto"/>
        </w:rPr>
      </w:pPr>
    </w:p>
    <w:p>
      <w:pPr>
        <w:ind w:firstLine="757"/>
        <w:spacing w:after="0" w:line="259" w:lineRule="auto"/>
        <w:tabs>
          <w:tab w:leader="none" w:pos="1025"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The Company and its subsidiaries shall maintain, or cause to be maintained, insurance in such amounts and covering such risks as is reasonable and customary for the business for which it is engaged.</w:t>
      </w:r>
    </w:p>
    <w:p>
      <w:pPr>
        <w:spacing w:after="0" w:line="156" w:lineRule="exact"/>
        <w:rPr>
          <w:rFonts w:ascii="Arial" w:cs="Arial" w:eastAsia="Arial" w:hAnsi="Arial"/>
          <w:sz w:val="22"/>
          <w:szCs w:val="22"/>
          <w:color w:val="auto"/>
        </w:rPr>
      </w:pPr>
    </w:p>
    <w:p>
      <w:pPr>
        <w:jc w:val="both"/>
        <w:ind w:firstLine="757"/>
        <w:spacing w:after="0" w:line="236" w:lineRule="auto"/>
        <w:tabs>
          <w:tab w:leader="none" w:pos="1115"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Company and each of its subsidiaries shall maintain, or cause to be maintained, all material environmental certificates, authorizations or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175" w:lineRule="exact"/>
        <w:rPr>
          <w:rFonts w:ascii="Arial" w:cs="Arial" w:eastAsia="Arial" w:hAnsi="Arial"/>
          <w:sz w:val="22"/>
          <w:szCs w:val="22"/>
          <w:color w:val="auto"/>
        </w:rPr>
      </w:pPr>
    </w:p>
    <w:p>
      <w:pPr>
        <w:jc w:val="both"/>
        <w:ind w:firstLine="757"/>
        <w:spacing w:after="0"/>
        <w:tabs>
          <w:tab w:leader="none" w:pos="104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76" w:lineRule="exact"/>
        <w:rPr>
          <w:rFonts w:ascii="Arial" w:cs="Arial" w:eastAsia="Arial" w:hAnsi="Arial"/>
          <w:sz w:val="22"/>
          <w:szCs w:val="22"/>
          <w:color w:val="auto"/>
        </w:rPr>
      </w:pPr>
    </w:p>
    <w:p>
      <w:pPr>
        <w:ind w:firstLine="757"/>
        <w:spacing w:after="0" w:line="259" w:lineRule="auto"/>
        <w:tabs>
          <w:tab w:leader="none" w:pos="110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Securities Act and Exchange Act</w:t>
      </w:r>
      <w:r>
        <w:rPr>
          <w:rFonts w:ascii="Arial" w:cs="Arial" w:eastAsia="Arial" w:hAnsi="Arial"/>
          <w:sz w:val="22"/>
          <w:szCs w:val="22"/>
          <w:color w:val="auto"/>
        </w:rPr>
        <w:t>. The Company will use its reasonable best efforts to comply with all requirements imposed upon it by the Securities Act and the Exchange Act as from time to time</w:t>
      </w:r>
    </w:p>
    <w:p>
      <w:pPr>
        <w:spacing w:after="0" w:line="200" w:lineRule="exact"/>
        <w:rPr>
          <w:rFonts w:ascii="Arial" w:cs="Arial" w:eastAsia="Arial" w:hAnsi="Arial"/>
          <w:sz w:val="22"/>
          <w:szCs w:val="22"/>
          <w:color w:val="auto"/>
        </w:rPr>
      </w:pPr>
    </w:p>
    <w:p>
      <w:pPr>
        <w:spacing w:after="0" w:line="395" w:lineRule="exact"/>
        <w:rPr>
          <w:rFonts w:ascii="Arial" w:cs="Arial" w:eastAsia="Arial" w:hAnsi="Arial"/>
          <w:sz w:val="22"/>
          <w:szCs w:val="22"/>
          <w:color w:val="auto"/>
        </w:rPr>
      </w:pPr>
    </w:p>
    <w:p>
      <w:pPr>
        <w:ind w:left="5520" w:hanging="106"/>
        <w:spacing w:after="0"/>
        <w:tabs>
          <w:tab w:leader="none" w:pos="55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5" w:name="page186"/>
    <w:bookmarkEnd w:id="185"/>
    <w:p>
      <w:pPr>
        <w:spacing w:after="0" w:line="259" w:lineRule="auto"/>
        <w:rPr>
          <w:sz w:val="20"/>
          <w:szCs w:val="20"/>
          <w:color w:val="auto"/>
        </w:rPr>
      </w:pPr>
      <w:r>
        <w:rPr>
          <w:rFonts w:ascii="Arial" w:cs="Arial" w:eastAsia="Arial" w:hAnsi="Arial"/>
          <w:sz w:val="22"/>
          <w:szCs w:val="22"/>
          <w:color w:val="auto"/>
        </w:rPr>
        <w:t>in force, so far as necessary to permit the continuance of sales of, or dealings in, the Placement Shares as contemplated by the provisions hereof and the Prospectus.</w:t>
      </w:r>
    </w:p>
    <w:p>
      <w:pPr>
        <w:spacing w:after="0" w:line="156" w:lineRule="exact"/>
        <w:rPr>
          <w:sz w:val="20"/>
          <w:szCs w:val="20"/>
          <w:color w:val="auto"/>
        </w:rPr>
      </w:pPr>
    </w:p>
    <w:p>
      <w:pPr>
        <w:jc w:val="both"/>
        <w:ind w:firstLine="757"/>
        <w:spacing w:after="0" w:line="238" w:lineRule="auto"/>
        <w:tabs>
          <w:tab w:leader="none" w:pos="1061"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No Offer to Sell</w:t>
      </w:r>
      <w:r>
        <w:rPr>
          <w:rFonts w:ascii="Arial" w:cs="Arial" w:eastAsia="Arial" w:hAnsi="Arial"/>
          <w:sz w:val="22"/>
          <w:szCs w:val="22"/>
          <w:color w:val="auto"/>
        </w:rPr>
        <w:t>. Other than the Prospectus or a Permitted Free Writing Prospectus,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176" w:lineRule="exact"/>
        <w:rPr>
          <w:rFonts w:ascii="Arial" w:cs="Arial" w:eastAsia="Arial" w:hAnsi="Arial"/>
          <w:sz w:val="22"/>
          <w:szCs w:val="22"/>
          <w:color w:val="auto"/>
        </w:rPr>
      </w:pPr>
    </w:p>
    <w:p>
      <w:pPr>
        <w:ind w:firstLine="757"/>
        <w:spacing w:after="0" w:line="259" w:lineRule="auto"/>
        <w:tabs>
          <w:tab w:leader="none" w:pos="1149"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Sarbanes-Oxley Act</w:t>
      </w:r>
      <w:r>
        <w:rPr>
          <w:rFonts w:ascii="Arial" w:cs="Arial" w:eastAsia="Arial" w:hAnsi="Arial"/>
          <w:sz w:val="22"/>
          <w:szCs w:val="22"/>
          <w:color w:val="auto"/>
        </w:rPr>
        <w:t>. The Company and its subsidiaries will use their best efforts to comply with all effective applicable provisions of the Sarbanes-Oxley Act.</w:t>
      </w:r>
    </w:p>
    <w:p>
      <w:pPr>
        <w:spacing w:after="0" w:line="156" w:lineRule="exact"/>
        <w:rPr>
          <w:rFonts w:ascii="Arial" w:cs="Arial" w:eastAsia="Arial" w:hAnsi="Arial"/>
          <w:sz w:val="22"/>
          <w:szCs w:val="22"/>
          <w:color w:val="auto"/>
        </w:rPr>
      </w:pPr>
    </w:p>
    <w:p>
      <w:pPr>
        <w:jc w:val="both"/>
        <w:ind w:firstLine="757"/>
        <w:spacing w:after="0" w:line="236" w:lineRule="auto"/>
        <w:tabs>
          <w:tab w:leader="none" w:pos="1074"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Affirmation</w:t>
      </w:r>
      <w:r>
        <w:rPr>
          <w:rFonts w:ascii="Arial" w:cs="Arial" w:eastAsia="Arial" w:hAnsi="Arial"/>
          <w:sz w:val="22"/>
          <w:szCs w:val="22"/>
          <w:color w:val="auto"/>
        </w:rPr>
        <w:t>. Each Placement Notice delivered by the Company to the Agent shall be deemed to be (i) an affirmation that the representations, warranties and agreements of the Company herein contained and contained in any certificate delivered to the Agent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73" w:lineRule="exact"/>
        <w:rPr>
          <w:rFonts w:ascii="Arial" w:cs="Arial" w:eastAsia="Arial" w:hAnsi="Arial"/>
          <w:sz w:val="22"/>
          <w:szCs w:val="22"/>
          <w:color w:val="auto"/>
        </w:rPr>
      </w:pPr>
    </w:p>
    <w:p>
      <w:pPr>
        <w:jc w:val="both"/>
        <w:ind w:firstLine="757"/>
        <w:spacing w:after="0" w:line="234" w:lineRule="auto"/>
        <w:tabs>
          <w:tab w:leader="none" w:pos="1061"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Renewal</w:t>
      </w:r>
      <w:r>
        <w:rPr>
          <w:rFonts w:ascii="Arial" w:cs="Arial" w:eastAsia="Arial" w:hAnsi="Arial"/>
          <w:sz w:val="22"/>
          <w:szCs w:val="22"/>
          <w:color w:val="auto"/>
        </w:rPr>
        <w:t>. If immediately prior to the third anniversary (the “</w:t>
      </w:r>
      <w:r>
        <w:rPr>
          <w:rFonts w:ascii="Arial" w:cs="Arial" w:eastAsia="Arial" w:hAnsi="Arial"/>
          <w:sz w:val="22"/>
          <w:szCs w:val="22"/>
          <w:b w:val="1"/>
          <w:bCs w:val="1"/>
          <w:u w:val="single" w:color="auto"/>
          <w:color w:val="auto"/>
        </w:rPr>
        <w:t>Renewal Deadline</w:t>
      </w:r>
      <w:r>
        <w:rPr>
          <w:rFonts w:ascii="Arial" w:cs="Arial" w:eastAsia="Arial" w:hAnsi="Arial"/>
          <w:sz w:val="22"/>
          <w:szCs w:val="22"/>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use reasonable efforts to file, if it has not already done so and is eligible to do so, a new shelf registration statement relating to the Placement Shares, in a form reasonably satisfactory to the Agent, and, if not automatically effective, will use its reasonable efforts to cause such registration statement to be declared effective within 60 days after the Renewal Deadline. The Company will take all other action it reasonably determines to be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182" w:lineRule="exact"/>
        <w:rPr>
          <w:sz w:val="20"/>
          <w:szCs w:val="20"/>
          <w:color w:val="auto"/>
        </w:rPr>
      </w:pPr>
    </w:p>
    <w:p>
      <w:pPr>
        <w:jc w:val="both"/>
        <w:ind w:firstLine="757"/>
        <w:spacing w:after="0" w:line="251" w:lineRule="auto"/>
        <w:tabs>
          <w:tab w:leader="none" w:pos="989"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Conditions to the Agent’s Obligations</w:t>
      </w:r>
      <w:r>
        <w:rPr>
          <w:rFonts w:ascii="Arial" w:cs="Arial" w:eastAsia="Arial" w:hAnsi="Arial"/>
          <w:sz w:val="21"/>
          <w:szCs w:val="21"/>
          <w:color w:val="auto"/>
        </w:rPr>
        <w:t>. The obligations of the Agent hereunder with respect to a Placement Notice will be subject to the continuing accuracy and completeness of the representations and warranties made by the Company herein, to the due performance by the Company of its obligations hereunder and thereunder, to the completion by the Agent of a due diligence review satisfactory to the Agent in its reasonable judgment, and to the continuing satisfaction (or waiver by the Agent in its sole discretion) of the following additional conditions:</w:t>
      </w:r>
    </w:p>
    <w:p>
      <w:pPr>
        <w:spacing w:after="0" w:line="168" w:lineRule="exact"/>
        <w:rPr>
          <w:sz w:val="20"/>
          <w:szCs w:val="20"/>
          <w:color w:val="auto"/>
        </w:rPr>
      </w:pPr>
    </w:p>
    <w:p>
      <w:pPr>
        <w:ind w:left="1100" w:hanging="343"/>
        <w:spacing w:after="0"/>
        <w:tabs>
          <w:tab w:leader="none" w:pos="1100" w:val="left"/>
        </w:tabs>
        <w:numPr>
          <w:ilvl w:val="1"/>
          <w:numId w:val="104"/>
        </w:numPr>
        <w:rPr>
          <w:rFonts w:ascii="Arial" w:cs="Arial" w:eastAsia="Arial" w:hAnsi="Arial"/>
          <w:sz w:val="22"/>
          <w:szCs w:val="22"/>
          <w:color w:val="auto"/>
        </w:rPr>
      </w:pPr>
      <w:r>
        <w:rPr>
          <w:rFonts w:ascii="Arial" w:cs="Arial" w:eastAsia="Arial" w:hAnsi="Arial"/>
          <w:sz w:val="22"/>
          <w:szCs w:val="22"/>
          <w:u w:val="single" w:color="auto"/>
          <w:color w:val="auto"/>
        </w:rPr>
        <w:t>Registration Statement Effective</w:t>
      </w:r>
      <w:r>
        <w:rPr>
          <w:rFonts w:ascii="Arial" w:cs="Arial" w:eastAsia="Arial" w:hAnsi="Arial"/>
          <w:sz w:val="22"/>
          <w:szCs w:val="22"/>
          <w:color w:val="auto"/>
        </w:rPr>
        <w:t>. The Registration Statement shall be effective and shall be available for</w:t>
      </w:r>
    </w:p>
    <w:p>
      <w:pPr>
        <w:spacing w:after="0" w:line="10" w:lineRule="exact"/>
        <w:rPr>
          <w:rFonts w:ascii="Arial" w:cs="Arial" w:eastAsia="Arial" w:hAnsi="Arial"/>
          <w:sz w:val="22"/>
          <w:szCs w:val="22"/>
          <w:color w:val="auto"/>
        </w:rPr>
      </w:pPr>
    </w:p>
    <w:p>
      <w:pPr>
        <w:ind w:firstLine="8"/>
        <w:spacing w:after="0"/>
        <w:tabs>
          <w:tab w:leader="none" w:pos="2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all sales of Placement Shares issued pursuant to all prior Placement Notices and (ii) the sale of all Placement Shares contemplated to be issued pursuant to any Placement Notice.</w:t>
      </w:r>
    </w:p>
    <w:p>
      <w:pPr>
        <w:spacing w:after="0" w:line="176" w:lineRule="exact"/>
        <w:rPr>
          <w:rFonts w:ascii="Arial" w:cs="Arial" w:eastAsia="Arial" w:hAnsi="Arial"/>
          <w:sz w:val="22"/>
          <w:szCs w:val="22"/>
          <w:color w:val="auto"/>
        </w:rPr>
      </w:pPr>
    </w:p>
    <w:p>
      <w:pPr>
        <w:jc w:val="both"/>
        <w:ind w:firstLine="757"/>
        <w:spacing w:after="0" w:line="246" w:lineRule="auto"/>
        <w:tabs>
          <w:tab w:leader="none" w:pos="1073" w:val="left"/>
        </w:tabs>
        <w:numPr>
          <w:ilvl w:val="1"/>
          <w:numId w:val="105"/>
        </w:numPr>
        <w:rPr>
          <w:rFonts w:ascii="Arial" w:cs="Arial" w:eastAsia="Arial" w:hAnsi="Arial"/>
          <w:sz w:val="21"/>
          <w:szCs w:val="21"/>
          <w:color w:val="auto"/>
        </w:rPr>
      </w:pPr>
      <w:r>
        <w:rPr>
          <w:rFonts w:ascii="Arial" w:cs="Arial" w:eastAsia="Arial" w:hAnsi="Arial"/>
          <w:sz w:val="21"/>
          <w:szCs w:val="21"/>
          <w:u w:val="single" w:color="auto"/>
          <w:color w:val="auto"/>
        </w:rPr>
        <w:t>No Material Notices</w:t>
      </w:r>
      <w:r>
        <w:rPr>
          <w:rFonts w:ascii="Arial" w:cs="Arial" w:eastAsia="Arial" w:hAnsi="Arial"/>
          <w:sz w:val="21"/>
          <w:szCs w:val="21"/>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spacing w:after="0" w:line="1" w:lineRule="exact"/>
        <w:rPr>
          <w:rFonts w:ascii="Arial" w:cs="Arial" w:eastAsia="Arial" w:hAnsi="Arial"/>
          <w:sz w:val="21"/>
          <w:szCs w:val="21"/>
          <w:color w:val="auto"/>
        </w:rPr>
      </w:pPr>
    </w:p>
    <w:p>
      <w:pPr>
        <w:ind w:left="300" w:hanging="292"/>
        <w:spacing w:after="0"/>
        <w:tabs>
          <w:tab w:leader="none" w:pos="3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issuance by the Commission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left="5520" w:hanging="106"/>
        <w:spacing w:after="0"/>
        <w:tabs>
          <w:tab w:leader="none" w:pos="552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6" w:name="page187"/>
    <w:bookmarkEnd w:id="186"/>
    <w:p>
      <w:pPr>
        <w:jc w:val="both"/>
        <w:spacing w:after="0" w:line="233" w:lineRule="auto"/>
        <w:rPr>
          <w:sz w:val="20"/>
          <w:szCs w:val="20"/>
          <w:color w:val="auto"/>
        </w:rPr>
      </w:pPr>
      <w:r>
        <w:rPr>
          <w:rFonts w:ascii="Arial" w:cs="Arial" w:eastAsia="Arial" w:hAnsi="Arial"/>
          <w:sz w:val="22"/>
          <w:szCs w:val="22"/>
          <w:color w:val="auto"/>
        </w:rPr>
        <w:t>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5" w:lineRule="exact"/>
        <w:rPr>
          <w:sz w:val="20"/>
          <w:szCs w:val="20"/>
          <w:color w:val="auto"/>
        </w:rPr>
      </w:pPr>
    </w:p>
    <w:p>
      <w:pPr>
        <w:jc w:val="both"/>
        <w:ind w:firstLine="757"/>
        <w:spacing w:after="0"/>
        <w:tabs>
          <w:tab w:leader="none" w:pos="1128"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No Misstatement or Material Omission</w:t>
      </w:r>
      <w:r>
        <w:rPr>
          <w:rFonts w:ascii="Arial" w:cs="Arial" w:eastAsia="Arial" w:hAnsi="Arial"/>
          <w:sz w:val="22"/>
          <w:szCs w:val="22"/>
          <w:color w:val="auto"/>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6" w:lineRule="exact"/>
        <w:rPr>
          <w:rFonts w:ascii="Arial" w:cs="Arial" w:eastAsia="Arial" w:hAnsi="Arial"/>
          <w:sz w:val="22"/>
          <w:szCs w:val="22"/>
          <w:color w:val="auto"/>
        </w:rPr>
      </w:pPr>
    </w:p>
    <w:p>
      <w:pPr>
        <w:jc w:val="both"/>
        <w:ind w:firstLine="757"/>
        <w:spacing w:after="0" w:line="234" w:lineRule="auto"/>
        <w:tabs>
          <w:tab w:leader="none" w:pos="1073"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Material Changes</w:t>
      </w:r>
      <w:r>
        <w:rPr>
          <w:rFonts w:ascii="Arial" w:cs="Arial" w:eastAsia="Arial" w:hAnsi="Arial"/>
          <w:sz w:val="22"/>
          <w:szCs w:val="22"/>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79" w:lineRule="exact"/>
        <w:rPr>
          <w:rFonts w:ascii="Arial" w:cs="Arial" w:eastAsia="Arial" w:hAnsi="Arial"/>
          <w:sz w:val="22"/>
          <w:szCs w:val="22"/>
          <w:color w:val="auto"/>
        </w:rPr>
      </w:pPr>
    </w:p>
    <w:p>
      <w:pPr>
        <w:jc w:val="both"/>
        <w:ind w:firstLine="757"/>
        <w:spacing w:after="0" w:line="245" w:lineRule="auto"/>
        <w:tabs>
          <w:tab w:leader="none" w:pos="1113"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Company Counsel Legal Opinion and Negative Assurance Letter</w:t>
      </w:r>
      <w:r>
        <w:rPr>
          <w:rFonts w:ascii="Arial" w:cs="Arial" w:eastAsia="Arial" w:hAnsi="Arial"/>
          <w:sz w:val="22"/>
          <w:szCs w:val="22"/>
          <w:color w:val="auto"/>
        </w:rPr>
        <w:t>. The Agent shall have received the Corporate Legal Opinion and negative assurance letter of Company Counsel required to be delivered pursuant to Section 7(n), on or before the date on which such delivery of such opinion is required pursuant to Section 7(n).</w:t>
      </w:r>
    </w:p>
    <w:p>
      <w:pPr>
        <w:spacing w:after="0" w:line="170" w:lineRule="exact"/>
        <w:rPr>
          <w:rFonts w:ascii="Arial" w:cs="Arial" w:eastAsia="Arial" w:hAnsi="Arial"/>
          <w:sz w:val="22"/>
          <w:szCs w:val="22"/>
          <w:color w:val="auto"/>
        </w:rPr>
      </w:pPr>
    </w:p>
    <w:p>
      <w:pPr>
        <w:jc w:val="both"/>
        <w:ind w:firstLine="757"/>
        <w:spacing w:after="0" w:line="245" w:lineRule="auto"/>
        <w:tabs>
          <w:tab w:leader="none" w:pos="1053"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Intellectual Counsel Legal Opinion</w:t>
      </w:r>
      <w:r>
        <w:rPr>
          <w:rFonts w:ascii="Arial" w:cs="Arial" w:eastAsia="Arial" w:hAnsi="Arial"/>
          <w:sz w:val="22"/>
          <w:szCs w:val="22"/>
          <w:color w:val="auto"/>
        </w:rPr>
        <w:t>. The Agent shall have received the opinion of Intellectual Property Counsel required to be delivered pursuant to Section 7(o), on or before the date on which such delivery of such opinion is required pursuant to Section 7(o).</w:t>
      </w:r>
    </w:p>
    <w:p>
      <w:pPr>
        <w:spacing w:after="0" w:line="170" w:lineRule="exact"/>
        <w:rPr>
          <w:rFonts w:ascii="Arial" w:cs="Arial" w:eastAsia="Arial" w:hAnsi="Arial"/>
          <w:sz w:val="22"/>
          <w:szCs w:val="22"/>
          <w:color w:val="auto"/>
        </w:rPr>
      </w:pPr>
    </w:p>
    <w:p>
      <w:pPr>
        <w:jc w:val="both"/>
        <w:ind w:firstLine="757"/>
        <w:spacing w:after="0" w:line="238" w:lineRule="auto"/>
        <w:tabs>
          <w:tab w:leader="none" w:pos="1073"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Agent’s Counsel Legal Opinion</w:t>
      </w:r>
      <w:r>
        <w:rPr>
          <w:rFonts w:ascii="Arial" w:cs="Arial" w:eastAsia="Arial" w:hAnsi="Arial"/>
          <w:sz w:val="22"/>
          <w:szCs w:val="22"/>
          <w:color w:val="auto"/>
        </w:rPr>
        <w:t xml:space="preserve">. The Agent shall have received from Davis Polk &amp; Wardwell LLP, counsel for the Agent, such opinion or opinions, on or before the date on which the delivery of the Company Counsel legal opinion is required pursuant to </w:t>
      </w:r>
      <w:r>
        <w:rPr>
          <w:rFonts w:ascii="Arial" w:cs="Arial" w:eastAsia="Arial" w:hAnsi="Arial"/>
          <w:sz w:val="22"/>
          <w:szCs w:val="22"/>
          <w:u w:val="single" w:color="auto"/>
          <w:color w:val="auto"/>
        </w:rPr>
        <w:t>Section 7(n)</w:t>
      </w:r>
      <w:r>
        <w:rPr>
          <w:rFonts w:ascii="Arial" w:cs="Arial" w:eastAsia="Arial" w:hAnsi="Arial"/>
          <w:sz w:val="22"/>
          <w:szCs w:val="22"/>
          <w:color w:val="auto"/>
        </w:rPr>
        <w:t>, with respect to such matters as the Agent may reasonably require, and the Company shall have furnished to such counsel such documents as they may request to enable them to pass upon such matters.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5520" w:hanging="106"/>
        <w:spacing w:after="0"/>
        <w:tabs>
          <w:tab w:leader="none" w:pos="55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7" w:name="page188"/>
    <w:bookmarkEnd w:id="187"/>
    <w:p>
      <w:pPr>
        <w:jc w:val="both"/>
        <w:ind w:left="-8" w:firstLine="757"/>
        <w:spacing w:after="0" w:line="283" w:lineRule="auto"/>
        <w:tabs>
          <w:tab w:leader="none" w:pos="1092"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Comfort Letter</w:t>
      </w:r>
      <w:r>
        <w:rPr>
          <w:rFonts w:ascii="Arial" w:cs="Arial" w:eastAsia="Arial" w:hAnsi="Arial"/>
          <w:sz w:val="21"/>
          <w:szCs w:val="21"/>
          <w:color w:val="auto"/>
        </w:rPr>
        <w:t xml:space="preserve">. The Agent shall have received the Comfort Letter required to be delivered pursuant to </w:t>
      </w:r>
      <w:r>
        <w:rPr>
          <w:rFonts w:ascii="Arial" w:cs="Arial" w:eastAsia="Arial" w:hAnsi="Arial"/>
          <w:sz w:val="21"/>
          <w:szCs w:val="21"/>
          <w:u w:val="single" w:color="auto"/>
          <w:color w:val="auto"/>
        </w:rPr>
        <w:t>Section 7(p)</w:t>
      </w:r>
      <w:r>
        <w:rPr>
          <w:rFonts w:ascii="Arial" w:cs="Arial" w:eastAsia="Arial" w:hAnsi="Arial"/>
          <w:sz w:val="21"/>
          <w:szCs w:val="21"/>
          <w:color w:val="auto"/>
        </w:rPr>
        <w:t xml:space="preserve"> on or before the date on which such delivery of such Comfort Letter is required pursuant to </w:t>
      </w:r>
      <w:r>
        <w:rPr>
          <w:rFonts w:ascii="Arial" w:cs="Arial" w:eastAsia="Arial" w:hAnsi="Arial"/>
          <w:sz w:val="21"/>
          <w:szCs w:val="21"/>
          <w:u w:val="single" w:color="auto"/>
          <w:color w:val="auto"/>
        </w:rPr>
        <w:t>Section 7(p)</w:t>
      </w:r>
      <w:r>
        <w:rPr>
          <w:rFonts w:ascii="Arial" w:cs="Arial" w:eastAsia="Arial" w:hAnsi="Arial"/>
          <w:sz w:val="21"/>
          <w:szCs w:val="21"/>
          <w:color w:val="auto"/>
        </w:rPr>
        <w:t>.</w:t>
      </w:r>
    </w:p>
    <w:p>
      <w:pPr>
        <w:spacing w:after="0" w:line="132" w:lineRule="exact"/>
        <w:rPr>
          <w:rFonts w:ascii="Arial" w:cs="Arial" w:eastAsia="Arial" w:hAnsi="Arial"/>
          <w:sz w:val="21"/>
          <w:szCs w:val="21"/>
          <w:color w:val="auto"/>
        </w:rPr>
      </w:pPr>
    </w:p>
    <w:p>
      <w:pPr>
        <w:ind w:left="-8" w:right="20" w:firstLine="757"/>
        <w:spacing w:after="0" w:line="283" w:lineRule="auto"/>
        <w:tabs>
          <w:tab w:leader="none" w:pos="993"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Representation Certificate</w:t>
      </w:r>
      <w:r>
        <w:rPr>
          <w:rFonts w:ascii="Arial" w:cs="Arial" w:eastAsia="Arial" w:hAnsi="Arial"/>
          <w:sz w:val="21"/>
          <w:szCs w:val="21"/>
          <w:color w:val="auto"/>
        </w:rPr>
        <w:t xml:space="preserve">. The Agent shall have received the certificate required to be delivered pursuant to </w:t>
      </w:r>
      <w:r>
        <w:rPr>
          <w:rFonts w:ascii="Arial" w:cs="Arial" w:eastAsia="Arial" w:hAnsi="Arial"/>
          <w:sz w:val="21"/>
          <w:szCs w:val="21"/>
          <w:u w:val="single" w:color="auto"/>
          <w:color w:val="auto"/>
        </w:rPr>
        <w:t>Section 7(m)</w:t>
      </w:r>
      <w:r>
        <w:rPr>
          <w:rFonts w:ascii="Arial" w:cs="Arial" w:eastAsia="Arial" w:hAnsi="Arial"/>
          <w:sz w:val="21"/>
          <w:szCs w:val="21"/>
          <w:color w:val="auto"/>
        </w:rPr>
        <w:t xml:space="preserve"> on or before the date on which delivery of such certificate is required pursuant to </w:t>
      </w:r>
      <w:r>
        <w:rPr>
          <w:rFonts w:ascii="Arial" w:cs="Arial" w:eastAsia="Arial" w:hAnsi="Arial"/>
          <w:sz w:val="21"/>
          <w:szCs w:val="21"/>
          <w:u w:val="single" w:color="auto"/>
          <w:color w:val="auto"/>
        </w:rPr>
        <w:t>Section 7(m)</w:t>
      </w:r>
      <w:r>
        <w:rPr>
          <w:rFonts w:ascii="Arial" w:cs="Arial" w:eastAsia="Arial" w:hAnsi="Arial"/>
          <w:sz w:val="21"/>
          <w:szCs w:val="21"/>
          <w:color w:val="auto"/>
        </w:rPr>
        <w:t>.</w:t>
      </w:r>
    </w:p>
    <w:p>
      <w:pPr>
        <w:spacing w:after="0" w:line="132" w:lineRule="exact"/>
        <w:rPr>
          <w:rFonts w:ascii="Arial" w:cs="Arial" w:eastAsia="Arial" w:hAnsi="Arial"/>
          <w:sz w:val="21"/>
          <w:szCs w:val="21"/>
          <w:color w:val="auto"/>
        </w:rPr>
      </w:pPr>
    </w:p>
    <w:p>
      <w:pPr>
        <w:jc w:val="both"/>
        <w:ind w:left="-8" w:firstLine="757"/>
        <w:spacing w:after="0" w:line="245" w:lineRule="auto"/>
        <w:tabs>
          <w:tab w:leader="none" w:pos="1006"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Secretary’s Certificate</w:t>
      </w:r>
      <w:r>
        <w:rPr>
          <w:rFonts w:ascii="Arial" w:cs="Arial" w:eastAsia="Arial" w:hAnsi="Arial"/>
          <w:sz w:val="22"/>
          <w:szCs w:val="22"/>
          <w:color w:val="auto"/>
        </w:rPr>
        <w:t>. On or prior to the First Delivery Date, the Agent shall have received a certificate, signed on behalf of the Company by its corporate secretary, in form and substance satisfactory to the Agent and its counsel.</w:t>
      </w:r>
    </w:p>
    <w:p>
      <w:pPr>
        <w:spacing w:after="0" w:line="170" w:lineRule="exact"/>
        <w:rPr>
          <w:rFonts w:ascii="Arial" w:cs="Arial" w:eastAsia="Arial" w:hAnsi="Arial"/>
          <w:sz w:val="22"/>
          <w:szCs w:val="22"/>
          <w:color w:val="auto"/>
        </w:rPr>
      </w:pPr>
    </w:p>
    <w:p>
      <w:pPr>
        <w:jc w:val="both"/>
        <w:ind w:left="-8" w:firstLine="757"/>
        <w:spacing w:after="0" w:line="245" w:lineRule="auto"/>
        <w:tabs>
          <w:tab w:leader="none" w:pos="1093"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No Suspension</w:t>
      </w:r>
      <w:r>
        <w:rPr>
          <w:rFonts w:ascii="Arial" w:cs="Arial" w:eastAsia="Arial" w:hAnsi="Arial"/>
          <w:sz w:val="22"/>
          <w:szCs w:val="22"/>
          <w:color w:val="auto"/>
        </w:rPr>
        <w:t>. The Common Stock shall be duly listed, and admitted and authorized for trading on Nasdaq. Trading in the Common Stock shall not have been suspended on, and the Common Stock shall not have been delisted from, Nasdaq.</w:t>
      </w:r>
    </w:p>
    <w:p>
      <w:pPr>
        <w:spacing w:after="0" w:line="170" w:lineRule="exact"/>
        <w:rPr>
          <w:rFonts w:ascii="Arial" w:cs="Arial" w:eastAsia="Arial" w:hAnsi="Arial"/>
          <w:sz w:val="22"/>
          <w:szCs w:val="22"/>
          <w:color w:val="auto"/>
        </w:rPr>
      </w:pPr>
    </w:p>
    <w:p>
      <w:pPr>
        <w:jc w:val="both"/>
        <w:ind w:left="-8" w:firstLine="757"/>
        <w:spacing w:after="0" w:line="251" w:lineRule="auto"/>
        <w:tabs>
          <w:tab w:leader="none" w:pos="1033"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Other Materials</w:t>
      </w:r>
      <w:r>
        <w:rPr>
          <w:rFonts w:ascii="Arial" w:cs="Arial" w:eastAsia="Arial" w:hAnsi="Arial"/>
          <w:sz w:val="21"/>
          <w:szCs w:val="21"/>
          <w:color w:val="auto"/>
        </w:rPr>
        <w:t xml:space="preserve">. On each date on which the Company is required to deliver a certificate pursuant to </w:t>
      </w:r>
      <w:r>
        <w:rPr>
          <w:rFonts w:ascii="Arial" w:cs="Arial" w:eastAsia="Arial" w:hAnsi="Arial"/>
          <w:sz w:val="21"/>
          <w:szCs w:val="21"/>
          <w:u w:val="single" w:color="auto"/>
          <w:color w:val="auto"/>
        </w:rPr>
        <w:t>Section 7(m)</w:t>
      </w:r>
      <w:r>
        <w:rPr>
          <w:rFonts w:ascii="Arial" w:cs="Arial" w:eastAsia="Arial" w:hAnsi="Arial"/>
          <w:sz w:val="21"/>
          <w:szCs w:val="21"/>
          <w:color w:val="auto"/>
        </w:rPr>
        <w:t>, the Company shall have furnished to the Agent such appropriate further information, certificates and documents as the Agent may have reasonably requested. All such opinions, certificates, letters and other documents shall have been in compliance with the provisions hereof. The Company will furnish the Agent with such conformed copies of such opinions, certificates, letters and other documents as the Agent shall have reasonably requested.</w:t>
      </w:r>
    </w:p>
    <w:p>
      <w:pPr>
        <w:spacing w:after="0" w:line="168" w:lineRule="exact"/>
        <w:rPr>
          <w:rFonts w:ascii="Arial" w:cs="Arial" w:eastAsia="Arial" w:hAnsi="Arial"/>
          <w:sz w:val="21"/>
          <w:szCs w:val="21"/>
          <w:color w:val="auto"/>
        </w:rPr>
      </w:pPr>
    </w:p>
    <w:p>
      <w:pPr>
        <w:jc w:val="both"/>
        <w:ind w:left="-8" w:firstLine="757"/>
        <w:spacing w:after="0" w:line="245" w:lineRule="auto"/>
        <w:tabs>
          <w:tab w:leader="none" w:pos="1179"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Securities Act Filings Made</w:t>
      </w:r>
      <w:r>
        <w:rPr>
          <w:rFonts w:ascii="Arial" w:cs="Arial" w:eastAsia="Arial" w:hAnsi="Arial"/>
          <w:sz w:val="22"/>
          <w:szCs w:val="22"/>
          <w:color w:val="auto"/>
        </w:rPr>
        <w:t>. All filings with the Commission with respect to the Placement Shares required by Rule 424 under the Securities Act to have been filed prior to the issuance of any Placement Notice hereunder shall have been made within the applicable time period prescribed for such filing by Rule 424.</w:t>
      </w:r>
    </w:p>
    <w:p>
      <w:pPr>
        <w:spacing w:after="0" w:line="170" w:lineRule="exact"/>
        <w:rPr>
          <w:rFonts w:ascii="Arial" w:cs="Arial" w:eastAsia="Arial" w:hAnsi="Arial"/>
          <w:sz w:val="22"/>
          <w:szCs w:val="22"/>
          <w:color w:val="auto"/>
        </w:rPr>
      </w:pPr>
    </w:p>
    <w:p>
      <w:pPr>
        <w:ind w:left="1092" w:hanging="343"/>
        <w:spacing w:after="0"/>
        <w:tabs>
          <w:tab w:leader="none" w:pos="1092"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Approval for Listing</w:t>
      </w:r>
      <w:r>
        <w:rPr>
          <w:rFonts w:ascii="Arial" w:cs="Arial" w:eastAsia="Arial" w:hAnsi="Arial"/>
          <w:sz w:val="22"/>
          <w:szCs w:val="22"/>
          <w:color w:val="auto"/>
        </w:rPr>
        <w:t>. The Placement Shares shall either have been (i) approved for listing on Nasdaq, or</w:t>
      </w:r>
    </w:p>
    <w:p>
      <w:pPr>
        <w:spacing w:after="0" w:line="10" w:lineRule="exact"/>
        <w:rPr>
          <w:rFonts w:ascii="Arial" w:cs="Arial" w:eastAsia="Arial" w:hAnsi="Arial"/>
          <w:sz w:val="22"/>
          <w:szCs w:val="22"/>
          <w:color w:val="auto"/>
        </w:rPr>
      </w:pPr>
    </w:p>
    <w:p>
      <w:pPr>
        <w:ind w:left="-8" w:right="20" w:firstLine="8"/>
        <w:spacing w:after="0"/>
        <w:tabs>
          <w:tab w:leader="none" w:pos="32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Company shall have filed an application for listing of the Placement Shares on Nasdaq at, or prior to, the issuance of any Placement Notice.</w:t>
      </w:r>
    </w:p>
    <w:p>
      <w:pPr>
        <w:spacing w:after="0" w:line="176" w:lineRule="exact"/>
        <w:rPr>
          <w:rFonts w:ascii="Arial" w:cs="Arial" w:eastAsia="Arial" w:hAnsi="Arial"/>
          <w:sz w:val="22"/>
          <w:szCs w:val="22"/>
          <w:color w:val="auto"/>
        </w:rPr>
      </w:pPr>
    </w:p>
    <w:p>
      <w:pPr>
        <w:ind w:left="-8" w:right="20" w:firstLine="757"/>
        <w:spacing w:after="0" w:line="259" w:lineRule="auto"/>
        <w:tabs>
          <w:tab w:leader="none" w:pos="1078"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FINRA.</w:t>
      </w:r>
      <w:r>
        <w:rPr>
          <w:rFonts w:ascii="Arial" w:cs="Arial" w:eastAsia="Arial" w:hAnsi="Arial"/>
          <w:sz w:val="22"/>
          <w:szCs w:val="22"/>
          <w:color w:val="auto"/>
        </w:rPr>
        <w:t xml:space="preserve"> FINRA shall have raised no objection to the terms of the offering contemplated hereby and the amount of compensation allowable or payable to the Agent as described in the Prospectus.</w:t>
      </w:r>
    </w:p>
    <w:p>
      <w:pPr>
        <w:spacing w:after="0" w:line="156" w:lineRule="exact"/>
        <w:rPr>
          <w:rFonts w:ascii="Arial" w:cs="Arial" w:eastAsia="Arial" w:hAnsi="Arial"/>
          <w:sz w:val="22"/>
          <w:szCs w:val="22"/>
          <w:color w:val="auto"/>
        </w:rPr>
      </w:pPr>
    </w:p>
    <w:p>
      <w:pPr>
        <w:ind w:left="-8" w:firstLine="757"/>
        <w:spacing w:after="0" w:line="259" w:lineRule="auto"/>
        <w:tabs>
          <w:tab w:leader="none" w:pos="1078"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No Termination Event</w:t>
      </w:r>
      <w:r>
        <w:rPr>
          <w:rFonts w:ascii="Arial" w:cs="Arial" w:eastAsia="Arial" w:hAnsi="Arial"/>
          <w:sz w:val="22"/>
          <w:szCs w:val="22"/>
          <w:color w:val="auto"/>
        </w:rPr>
        <w:t xml:space="preserve">. There shall not have occurred any event that would permit the Agent to terminate this Agreement pursuant to </w:t>
      </w:r>
      <w:r>
        <w:rPr>
          <w:rFonts w:ascii="Arial" w:cs="Arial" w:eastAsia="Arial" w:hAnsi="Arial"/>
          <w:sz w:val="22"/>
          <w:szCs w:val="22"/>
          <w:u w:val="single" w:color="auto"/>
          <w:color w:val="auto"/>
        </w:rPr>
        <w:t>Section 11(a)</w:t>
      </w:r>
      <w:r>
        <w:rPr>
          <w:rFonts w:ascii="Arial" w:cs="Arial" w:eastAsia="Arial" w:hAnsi="Arial"/>
          <w:sz w:val="22"/>
          <w:szCs w:val="22"/>
          <w:color w:val="auto"/>
        </w:rPr>
        <w:t>.</w:t>
      </w:r>
    </w:p>
    <w:p>
      <w:pPr>
        <w:spacing w:after="0" w:line="156" w:lineRule="exact"/>
        <w:rPr>
          <w:sz w:val="20"/>
          <w:szCs w:val="20"/>
          <w:color w:val="auto"/>
        </w:rPr>
      </w:pPr>
    </w:p>
    <w:p>
      <w:pPr>
        <w:ind w:left="992" w:hanging="243"/>
        <w:spacing w:after="0"/>
        <w:tabs>
          <w:tab w:leader="none" w:pos="99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06" w:lineRule="exact"/>
        <w:rPr>
          <w:sz w:val="20"/>
          <w:szCs w:val="20"/>
          <w:color w:val="auto"/>
        </w:rPr>
      </w:pPr>
    </w:p>
    <w:p>
      <w:pPr>
        <w:jc w:val="both"/>
        <w:ind w:left="-8" w:firstLine="757"/>
        <w:spacing w:after="0" w:line="247" w:lineRule="auto"/>
        <w:tabs>
          <w:tab w:leader="none" w:pos="1065"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Company Indemnification</w:t>
      </w:r>
      <w:r>
        <w:rPr>
          <w:rFonts w:ascii="Arial" w:cs="Arial" w:eastAsia="Arial" w:hAnsi="Arial"/>
          <w:sz w:val="21"/>
          <w:szCs w:val="21"/>
          <w:color w:val="auto"/>
        </w:rPr>
        <w:t xml:space="preserve">. The Company agrees to indemnify and hold harmless the Agent, the directors, officers, partners, employees and agents of the Agent and each person, if any, who (i) controls the Agent within the meaning of Section 15 of the Securities Act or Section 20 of the Exchange Act, or (ii) is controlled by or is under common control with the Agent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Arial" w:cs="Arial" w:eastAsia="Arial" w:hAnsi="Arial"/>
          <w:sz w:val="21"/>
          <w:szCs w:val="21"/>
          <w:u w:val="single" w:color="auto"/>
          <w:color w:val="auto"/>
        </w:rPr>
        <w:t>Section 9(c)</w:t>
      </w:r>
      <w:r>
        <w:rPr>
          <w:rFonts w:ascii="Arial" w:cs="Arial" w:eastAsia="Arial" w:hAnsi="Arial"/>
          <w:sz w:val="21"/>
          <w:szCs w:val="21"/>
          <w:color w:val="auto"/>
        </w:rPr>
        <w:t>) of, any action, suit or proceeding between any of the indemnified parties and any indemnifying parties or between any indemnified party and any third party, or otherwise, or any claim asserted), as and when incurred, to which the Agent, or any such person,</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1" w:lineRule="exact"/>
        <w:rPr>
          <w:rFonts w:ascii="Arial" w:cs="Arial" w:eastAsia="Arial" w:hAnsi="Arial"/>
          <w:sz w:val="21"/>
          <w:szCs w:val="21"/>
          <w:color w:val="auto"/>
        </w:rPr>
      </w:pPr>
    </w:p>
    <w:p>
      <w:pPr>
        <w:ind w:left="5512" w:hanging="106"/>
        <w:spacing w:after="0"/>
        <w:tabs>
          <w:tab w:leader="none" w:pos="551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64" w:right="339" w:bottom="1440" w:gutter="0" w:footer="0" w:header="0"/>
        </w:sectPr>
      </w:pPr>
    </w:p>
    <w:bookmarkStart w:id="188" w:name="page189"/>
    <w:bookmarkEnd w:id="188"/>
    <w:p>
      <w:pPr>
        <w:jc w:val="both"/>
        <w:spacing w:after="0" w:line="232" w:lineRule="auto"/>
        <w:rPr>
          <w:sz w:val="20"/>
          <w:szCs w:val="20"/>
          <w:color w:val="auto"/>
        </w:rPr>
      </w:pPr>
      <w:r>
        <w:rPr>
          <w:rFonts w:ascii="Arial" w:cs="Arial" w:eastAsia="Arial" w:hAnsi="Arial"/>
          <w:sz w:val="22"/>
          <w:szCs w:val="22"/>
          <w:color w:val="auto"/>
        </w:rPr>
        <w:t xml:space="preserve">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fifth paragraph and the last sentence of the eighth paragraph under the caption “Plan of Distribution” in the Prospectus. This indemnity agreement will be in addition to any liability that the Company might otherwise have.</w:t>
      </w:r>
    </w:p>
    <w:p>
      <w:pPr>
        <w:spacing w:after="0" w:line="191" w:lineRule="exact"/>
        <w:rPr>
          <w:sz w:val="20"/>
          <w:szCs w:val="20"/>
          <w:color w:val="auto"/>
        </w:rPr>
      </w:pPr>
    </w:p>
    <w:p>
      <w:pPr>
        <w:jc w:val="both"/>
        <w:ind w:firstLine="757"/>
        <w:spacing w:after="0" w:line="235" w:lineRule="auto"/>
        <w:tabs>
          <w:tab w:leader="none" w:pos="1086"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Agent Indemnification</w:t>
      </w:r>
      <w:r>
        <w:rPr>
          <w:rFonts w:ascii="Arial" w:cs="Arial" w:eastAsia="Arial" w:hAnsi="Arial"/>
          <w:sz w:val="22"/>
          <w:szCs w:val="22"/>
          <w:color w:val="auto"/>
        </w:rPr>
        <w:t xml:space="preserve">. The Agent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Arial" w:cs="Arial" w:eastAsia="Arial" w:hAnsi="Arial"/>
          <w:sz w:val="22"/>
          <w:szCs w:val="22"/>
          <w:u w:val="single" w:color="auto"/>
          <w:color w:val="auto"/>
        </w:rPr>
        <w:t>Section 9(a)</w:t>
      </w:r>
      <w:r>
        <w:rPr>
          <w:rFonts w:ascii="Arial" w:cs="Arial" w:eastAsia="Arial" w:hAnsi="Arial"/>
          <w:sz w:val="22"/>
          <w:szCs w:val="22"/>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78" w:lineRule="exact"/>
        <w:rPr>
          <w:rFonts w:ascii="Arial" w:cs="Arial" w:eastAsia="Arial" w:hAnsi="Arial"/>
          <w:sz w:val="22"/>
          <w:szCs w:val="22"/>
          <w:color w:val="auto"/>
        </w:rPr>
      </w:pPr>
    </w:p>
    <w:p>
      <w:pPr>
        <w:jc w:val="both"/>
        <w:ind w:firstLine="757"/>
        <w:spacing w:after="0" w:line="232" w:lineRule="auto"/>
        <w:tabs>
          <w:tab w:leader="none" w:pos="1061"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 xml:space="preserve">. Any party that proposes to assert the right to be indemnified under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and (ii) any liability that it may have to any indemnified party under the foregoing provision of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reasonable and documented fees, expenses and other charges of such counsel will be at the expense of such indemnified party unless (1) the employment of counsel by the indemnified party has been authorized in writing by the indemnifying party, (2) the indemnified party has reasonably concluded (based 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6" w:lineRule="exact"/>
        <w:rPr>
          <w:rFonts w:ascii="Arial" w:cs="Arial" w:eastAsia="Arial" w:hAnsi="Arial"/>
          <w:sz w:val="22"/>
          <w:szCs w:val="22"/>
          <w:color w:val="auto"/>
        </w:rPr>
      </w:pPr>
    </w:p>
    <w:p>
      <w:pPr>
        <w:ind w:left="5520" w:hanging="106"/>
        <w:spacing w:after="0"/>
        <w:tabs>
          <w:tab w:leader="none" w:pos="55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9" w:name="page190"/>
    <w:bookmarkEnd w:id="189"/>
    <w:p>
      <w:pPr>
        <w:jc w:val="both"/>
        <w:spacing w:after="0" w:line="232" w:lineRule="auto"/>
        <w:rPr>
          <w:sz w:val="20"/>
          <w:szCs w:val="20"/>
          <w:color w:val="auto"/>
        </w:rPr>
      </w:pPr>
      <w:r>
        <w:rPr>
          <w:rFonts w:ascii="Arial" w:cs="Arial" w:eastAsia="Arial" w:hAnsi="Arial"/>
          <w:sz w:val="22"/>
          <w:szCs w:val="22"/>
          <w:color w:val="auto"/>
        </w:rPr>
        <w:t xml:space="preserve">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190" w:lineRule="exact"/>
        <w:rPr>
          <w:sz w:val="20"/>
          <w:szCs w:val="20"/>
          <w:color w:val="auto"/>
        </w:rPr>
      </w:pPr>
    </w:p>
    <w:p>
      <w:pPr>
        <w:jc w:val="both"/>
        <w:ind w:firstLine="757"/>
        <w:spacing w:after="0" w:line="232" w:lineRule="auto"/>
        <w:tabs>
          <w:tab w:leader="none" w:pos="1127"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Contribution</w:t>
      </w:r>
      <w:r>
        <w:rPr>
          <w:rFonts w:ascii="Arial" w:cs="Arial" w:eastAsia="Arial" w:hAnsi="Arial"/>
          <w:sz w:val="22"/>
          <w:szCs w:val="22"/>
          <w:color w:val="auto"/>
        </w:rPr>
        <w:t xml:space="preserve">. In order to provide for just and equitable contribution in circumstances in which the indemnification provided for in the foregoing paragraphs of this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is applicable in accordance with its terms but for any reason is held to be unavailable from the Company or the Agent, the Company and the Agent will contribute to the total losses, claims, liabilities, reasonable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Arial" w:cs="Arial" w:eastAsia="Arial" w:hAnsi="Arial"/>
          <w:sz w:val="22"/>
          <w:szCs w:val="22"/>
          <w:u w:val="single" w:color="auto"/>
          <w:color w:val="auto"/>
        </w:rPr>
        <w:t>Section 9(d)</w:t>
      </w:r>
      <w:r>
        <w:rPr>
          <w:rFonts w:ascii="Arial" w:cs="Arial" w:eastAsia="Arial" w:hAnsi="Arial"/>
          <w:sz w:val="22"/>
          <w:szCs w:val="22"/>
          <w:color w:val="auto"/>
        </w:rPr>
        <w:t xml:space="preserve"> were to be determined by pro rata allocation or by any other method of allocation that does not take into account the equitable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8" w:lineRule="exact"/>
        <w:rPr>
          <w:rFonts w:ascii="Arial" w:cs="Arial" w:eastAsia="Arial" w:hAnsi="Arial"/>
          <w:sz w:val="22"/>
          <w:szCs w:val="22"/>
          <w:color w:val="auto"/>
        </w:rPr>
      </w:pPr>
    </w:p>
    <w:p>
      <w:pPr>
        <w:ind w:left="5520" w:hanging="106"/>
        <w:spacing w:after="0"/>
        <w:tabs>
          <w:tab w:leader="none" w:pos="55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0" w:name="page191"/>
    <w:bookmarkEnd w:id="190"/>
    <w:p>
      <w:pPr>
        <w:jc w:val="both"/>
        <w:spacing w:after="0" w:line="243" w:lineRule="auto"/>
        <w:rPr>
          <w:sz w:val="20"/>
          <w:szCs w:val="20"/>
          <w:color w:val="auto"/>
        </w:rPr>
      </w:pPr>
      <w:r>
        <w:rPr>
          <w:rFonts w:ascii="Arial" w:cs="Arial" w:eastAsia="Arial" w:hAnsi="Arial"/>
          <w:sz w:val="21"/>
          <w:szCs w:val="21"/>
          <w:color w:val="auto"/>
        </w:rPr>
        <w:t xml:space="preserve">considerations referred to herein. The amount paid or payable by an indemnified party as a result of the loss, claim, liability, expense, or damage, or action in respect thereof, referred to above in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shall be deemed to include, for the purpose of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21"/>
          <w:szCs w:val="21"/>
          <w:u w:val="single" w:color="auto"/>
          <w:color w:val="auto"/>
        </w:rPr>
        <w:t>Section 9(c)</w:t>
      </w:r>
      <w:r>
        <w:rPr>
          <w:rFonts w:ascii="Arial" w:cs="Arial" w:eastAsia="Arial" w:hAnsi="Arial"/>
          <w:sz w:val="21"/>
          <w:szCs w:val="21"/>
          <w:color w:val="auto"/>
        </w:rPr>
        <w:t xml:space="preserve"> hereof. Notwithstanding the foregoing provisions of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any person who controls a party to this Agreement within the meaning of the Securities Act, and any officers, directors, partners, employees or agents of the Agent,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21"/>
          <w:szCs w:val="21"/>
          <w:u w:val="single" w:color="auto"/>
          <w:color w:val="auto"/>
        </w:rPr>
        <w:t>Section 9(c)</w:t>
      </w:r>
      <w:r>
        <w:rPr>
          <w:rFonts w:ascii="Arial" w:cs="Arial" w:eastAsia="Arial" w:hAnsi="Arial"/>
          <w:sz w:val="21"/>
          <w:szCs w:val="21"/>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21"/>
          <w:szCs w:val="21"/>
          <w:u w:val="single" w:color="auto"/>
          <w:color w:val="auto"/>
        </w:rPr>
        <w:t>Section 9(c)</w:t>
      </w:r>
      <w:r>
        <w:rPr>
          <w:rFonts w:ascii="Arial" w:cs="Arial" w:eastAsia="Arial" w:hAnsi="Arial"/>
          <w:sz w:val="21"/>
          <w:szCs w:val="21"/>
          <w:color w:val="auto"/>
        </w:rPr>
        <w:t xml:space="preserve"> hereof.</w:t>
      </w:r>
    </w:p>
    <w:p>
      <w:pPr>
        <w:spacing w:after="0" w:line="187" w:lineRule="exact"/>
        <w:rPr>
          <w:sz w:val="20"/>
          <w:szCs w:val="20"/>
          <w:color w:val="auto"/>
        </w:rPr>
      </w:pPr>
    </w:p>
    <w:p>
      <w:pPr>
        <w:jc w:val="both"/>
        <w:ind w:firstLine="757"/>
        <w:spacing w:after="0" w:line="236" w:lineRule="auto"/>
        <w:tabs>
          <w:tab w:leader="none" w:pos="1177"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Representations and Agreements to Survive Delivery</w:t>
      </w:r>
      <w:r>
        <w:rPr>
          <w:rFonts w:ascii="Arial" w:cs="Arial" w:eastAsia="Arial" w:hAnsi="Arial"/>
          <w:sz w:val="22"/>
          <w:szCs w:val="22"/>
          <w:color w:val="auto"/>
        </w:rPr>
        <w:t xml:space="preserve">. The indemnity and contribution agreements contained in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Shares and payment therefor or (iii) any termination of this Agreement.</w:t>
      </w:r>
    </w:p>
    <w:p>
      <w:pPr>
        <w:spacing w:after="0" w:line="181" w:lineRule="exact"/>
        <w:rPr>
          <w:rFonts w:ascii="Arial" w:cs="Arial" w:eastAsia="Arial" w:hAnsi="Arial"/>
          <w:sz w:val="22"/>
          <w:szCs w:val="22"/>
          <w:color w:val="auto"/>
        </w:rPr>
      </w:pPr>
    </w:p>
    <w:p>
      <w:pPr>
        <w:ind w:left="1100" w:hanging="343"/>
        <w:spacing w:after="0"/>
        <w:tabs>
          <w:tab w:leader="none" w:pos="110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Termination.</w:t>
      </w:r>
    </w:p>
    <w:p>
      <w:pPr>
        <w:spacing w:after="0" w:line="206" w:lineRule="exact"/>
        <w:rPr>
          <w:sz w:val="20"/>
          <w:szCs w:val="20"/>
          <w:color w:val="auto"/>
        </w:rPr>
      </w:pPr>
    </w:p>
    <w:p>
      <w:pPr>
        <w:jc w:val="both"/>
        <w:ind w:firstLine="757"/>
        <w:spacing w:after="0" w:line="233" w:lineRule="auto"/>
        <w:tabs>
          <w:tab w:leader="none" w:pos="111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the Agent shall have the right by giving notice as hereinafter specified at any time to terminate this Agreement if (i) any Material Adverse Change, or any development that could reasonably be expected to result in a Material Adverse Change has occurred that, in the reasonable judgment of the Agent, may materially impair the ability of the Agent to sell the Placement Shares hereunder, (ii) the Company shall have failed, refused or been unable to perform any agreement on its part to be performed hereunder, or (iii) any other condition of the Agent’s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(Expenses),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(Indemnification and Contribution),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(Representations and Agreements to Survive Delivery),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(Applicable Law; Consent to Jurisdiction)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(Waiver of Jury Trial) hereof shall remain in full force and effect notwithstanding such termination. If the Agent elects to terminate this Agreement as provided in this </w:t>
      </w:r>
      <w:r>
        <w:rPr>
          <w:rFonts w:ascii="Arial" w:cs="Arial" w:eastAsia="Arial" w:hAnsi="Arial"/>
          <w:sz w:val="22"/>
          <w:szCs w:val="22"/>
          <w:u w:val="single" w:color="auto"/>
          <w:color w:val="auto"/>
        </w:rPr>
        <w:t>Section 11(a)</w:t>
      </w:r>
      <w:r>
        <w:rPr>
          <w:rFonts w:ascii="Arial" w:cs="Arial" w:eastAsia="Arial" w:hAnsi="Arial"/>
          <w:sz w:val="22"/>
          <w:szCs w:val="22"/>
          <w:color w:val="auto"/>
        </w:rPr>
        <w:t xml:space="preserve">, the Agent shall provide the required notice as specified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(Notices).</w:t>
      </w:r>
    </w:p>
    <w:p>
      <w:pPr>
        <w:spacing w:after="0" w:line="184" w:lineRule="exact"/>
        <w:rPr>
          <w:rFonts w:ascii="Arial" w:cs="Arial" w:eastAsia="Arial" w:hAnsi="Arial"/>
          <w:sz w:val="22"/>
          <w:szCs w:val="22"/>
          <w:color w:val="auto"/>
        </w:rPr>
      </w:pPr>
    </w:p>
    <w:p>
      <w:pPr>
        <w:jc w:val="both"/>
        <w:ind w:firstLine="757"/>
        <w:spacing w:after="0" w:line="245" w:lineRule="auto"/>
        <w:tabs>
          <w:tab w:leader="none" w:pos="107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5520" w:hanging="106"/>
        <w:spacing w:after="0"/>
        <w:tabs>
          <w:tab w:leader="none" w:pos="55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1" w:name="page192"/>
    <w:bookmarkEnd w:id="191"/>
    <w:p>
      <w:pPr>
        <w:spacing w:after="0" w:line="259" w:lineRule="auto"/>
        <w:rPr>
          <w:sz w:val="20"/>
          <w:szCs w:val="20"/>
          <w:color w:val="auto"/>
        </w:rPr>
      </w:pPr>
      <w:r>
        <w:rPr>
          <w:rFonts w:ascii="Arial" w:cs="Arial" w:eastAsia="Arial" w:hAnsi="Arial"/>
          <w:sz w:val="22"/>
          <w:szCs w:val="22"/>
          <w:u w:val="single" w:color="auto"/>
          <w:color w:val="auto"/>
        </w:rPr>
        <w:t>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156" w:lineRule="exact"/>
        <w:rPr>
          <w:sz w:val="20"/>
          <w:szCs w:val="20"/>
          <w:color w:val="auto"/>
        </w:rPr>
      </w:pPr>
    </w:p>
    <w:p>
      <w:pPr>
        <w:jc w:val="both"/>
        <w:ind w:firstLine="757"/>
        <w:spacing w:after="0"/>
        <w:tabs>
          <w:tab w:leader="none" w:pos="108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176" w:lineRule="exact"/>
        <w:rPr>
          <w:rFonts w:ascii="Arial" w:cs="Arial" w:eastAsia="Arial" w:hAnsi="Arial"/>
          <w:sz w:val="22"/>
          <w:szCs w:val="22"/>
          <w:color w:val="auto"/>
        </w:rPr>
      </w:pPr>
    </w:p>
    <w:p>
      <w:pPr>
        <w:jc w:val="both"/>
        <w:ind w:firstLine="757"/>
        <w:spacing w:after="0"/>
        <w:tabs>
          <w:tab w:leader="none" w:pos="109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Unless earlier terminated pursuant to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this Agreement shall automatically terminate upon the issuance and sale of all of the Placement Shares through the Agent on the terms and subject to the conditions set forth herein;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provisions of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176" w:lineRule="exact"/>
        <w:rPr>
          <w:rFonts w:ascii="Arial" w:cs="Arial" w:eastAsia="Arial" w:hAnsi="Arial"/>
          <w:sz w:val="22"/>
          <w:szCs w:val="22"/>
          <w:color w:val="auto"/>
        </w:rPr>
      </w:pPr>
    </w:p>
    <w:p>
      <w:pPr>
        <w:jc w:val="both"/>
        <w:ind w:firstLine="757"/>
        <w:spacing w:after="0" w:line="236" w:lineRule="auto"/>
        <w:tabs>
          <w:tab w:leader="none" w:pos="108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This Agreement shall remain in full force and effect unless terminated pursuant to </w:t>
      </w:r>
      <w:r>
        <w:rPr>
          <w:rFonts w:ascii="Arial" w:cs="Arial" w:eastAsia="Arial" w:hAnsi="Arial"/>
          <w:sz w:val="22"/>
          <w:szCs w:val="22"/>
          <w:u w:val="single" w:color="auto"/>
          <w:color w:val="auto"/>
        </w:rPr>
        <w:t>Sections 11(a)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or (d)</w:t>
      </w:r>
      <w:r>
        <w:rPr>
          <w:rFonts w:ascii="Arial" w:cs="Arial" w:eastAsia="Arial" w:hAnsi="Arial"/>
          <w:sz w:val="22"/>
          <w:szCs w:val="22"/>
          <w:color w:val="auto"/>
        </w:rPr>
        <w:t xml:space="preserve"> above or otherwise by mutual agreement of the parties;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any such termination by mutual agreement shall in all cases be deemed to provide that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17</w:t>
      </w:r>
      <w:r>
        <w:rPr>
          <w:rFonts w:ascii="Arial" w:cs="Arial" w:eastAsia="Arial" w:hAnsi="Arial"/>
          <w:sz w:val="22"/>
          <w:szCs w:val="22"/>
          <w:color w:val="auto"/>
        </w:rPr>
        <w:t xml:space="preserve"> shall remain in full force and effect. Upon termination of this Agreement, the Company shall not have any liability to the Agent for any discount, commission or other compensation with respect to any Placement Shares not otherwise sold by the Agent under this Agreement, or otherwise, except with respect to reimbursement of expenses pursuant to Section 7(g).</w:t>
      </w:r>
    </w:p>
    <w:p>
      <w:pPr>
        <w:spacing w:after="0" w:line="175" w:lineRule="exact"/>
        <w:rPr>
          <w:rFonts w:ascii="Arial" w:cs="Arial" w:eastAsia="Arial" w:hAnsi="Arial"/>
          <w:sz w:val="22"/>
          <w:szCs w:val="22"/>
          <w:color w:val="auto"/>
        </w:rPr>
      </w:pPr>
    </w:p>
    <w:p>
      <w:pPr>
        <w:jc w:val="both"/>
        <w:ind w:firstLine="757"/>
        <w:spacing w:after="0" w:line="238" w:lineRule="auto"/>
        <w:tabs>
          <w:tab w:leader="none" w:pos="103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Any termination of this Agreement shall be effective on the date specified in such notice of termination; </w:t>
      </w: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such termination shall not be effective until the close of business on the date of receipt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notice by the Agent or the Company, as the case may be. If such termination shall occur prior to the Settlement Date for any sale of Placement Shares, such Placement Shares shall settle in accordance with the provisions of this Agreement.</w:t>
      </w:r>
    </w:p>
    <w:p>
      <w:pPr>
        <w:spacing w:after="0" w:line="177" w:lineRule="exact"/>
        <w:rPr>
          <w:sz w:val="20"/>
          <w:szCs w:val="20"/>
          <w:color w:val="auto"/>
        </w:rPr>
      </w:pPr>
    </w:p>
    <w:p>
      <w:pPr>
        <w:jc w:val="both"/>
        <w:ind w:firstLine="757"/>
        <w:spacing w:after="0" w:line="245" w:lineRule="auto"/>
        <w:tabs>
          <w:tab w:leader="none" w:pos="1123"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Oppenheimer &amp; Co. Inc.</w:t>
      </w:r>
    </w:p>
    <w:p>
      <w:pPr>
        <w:ind w:left="760"/>
        <w:spacing w:after="0"/>
        <w:rPr>
          <w:sz w:val="20"/>
          <w:szCs w:val="20"/>
          <w:color w:val="auto"/>
        </w:rPr>
      </w:pPr>
      <w:r>
        <w:rPr>
          <w:rFonts w:ascii="Arial" w:cs="Arial" w:eastAsia="Arial" w:hAnsi="Arial"/>
          <w:sz w:val="22"/>
          <w:szCs w:val="22"/>
          <w:color w:val="auto"/>
        </w:rPr>
        <w:t>85 Broad Street</w:t>
      </w:r>
    </w:p>
    <w:p>
      <w:pPr>
        <w:ind w:left="760"/>
        <w:spacing w:after="0" w:line="230" w:lineRule="auto"/>
        <w:rPr>
          <w:sz w:val="20"/>
          <w:szCs w:val="20"/>
          <w:color w:val="auto"/>
        </w:rPr>
      </w:pPr>
      <w:r>
        <w:rPr>
          <w:rFonts w:ascii="Arial" w:cs="Arial" w:eastAsia="Arial" w:hAnsi="Arial"/>
          <w:sz w:val="22"/>
          <w:szCs w:val="22"/>
          <w:color w:val="auto"/>
        </w:rPr>
        <w:t>New York, New York 10004</w:t>
      </w:r>
    </w:p>
    <w:p>
      <w:pPr>
        <w:ind w:left="760"/>
        <w:spacing w:after="0" w:line="231" w:lineRule="auto"/>
        <w:rPr>
          <w:sz w:val="20"/>
          <w:szCs w:val="20"/>
          <w:color w:val="auto"/>
        </w:rPr>
      </w:pPr>
      <w:r>
        <w:rPr>
          <w:rFonts w:ascii="Arial" w:cs="Arial" w:eastAsia="Arial" w:hAnsi="Arial"/>
          <w:sz w:val="22"/>
          <w:szCs w:val="22"/>
          <w:color w:val="auto"/>
        </w:rPr>
        <w:t>Attention:</w:t>
      </w:r>
    </w:p>
    <w:p>
      <w:pPr>
        <w:ind w:left="760"/>
        <w:spacing w:after="0" w:line="230" w:lineRule="auto"/>
        <w:rPr>
          <w:sz w:val="20"/>
          <w:szCs w:val="20"/>
          <w:color w:val="auto"/>
        </w:rPr>
      </w:pPr>
      <w:r>
        <w:rPr>
          <w:rFonts w:ascii="Arial" w:cs="Arial" w:eastAsia="Arial" w:hAnsi="Arial"/>
          <w:sz w:val="22"/>
          <w:szCs w:val="22"/>
          <w:color w:val="auto"/>
        </w:rPr>
        <w:t>Michael Margolis, MichaelA.Margolis@opco.com</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Jason Fenton, Jason.Fenton@opco.com</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With a copy to:</w:t>
      </w:r>
    </w:p>
    <w:p>
      <w:pPr>
        <w:spacing w:after="0" w:line="1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Peter Vogelsang, Peter.Vogelsang@opco.com</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Oppenheimer &amp; Co. Inc.</w:t>
      </w:r>
    </w:p>
    <w:p>
      <w:pPr>
        <w:ind w:left="760"/>
        <w:spacing w:after="0"/>
        <w:rPr>
          <w:sz w:val="20"/>
          <w:szCs w:val="20"/>
          <w:color w:val="auto"/>
        </w:rPr>
      </w:pPr>
      <w:r>
        <w:rPr>
          <w:rFonts w:ascii="Arial" w:cs="Arial" w:eastAsia="Arial" w:hAnsi="Arial"/>
          <w:sz w:val="22"/>
          <w:szCs w:val="22"/>
          <w:color w:val="auto"/>
        </w:rPr>
        <w:t>85 Broad Street</w:t>
      </w:r>
    </w:p>
    <w:p>
      <w:pPr>
        <w:ind w:left="760"/>
        <w:spacing w:after="0"/>
        <w:rPr>
          <w:sz w:val="20"/>
          <w:szCs w:val="20"/>
          <w:color w:val="auto"/>
        </w:rPr>
      </w:pPr>
      <w:r>
        <w:rPr>
          <w:rFonts w:ascii="Arial" w:cs="Arial" w:eastAsia="Arial" w:hAnsi="Arial"/>
          <w:sz w:val="22"/>
          <w:szCs w:val="22"/>
          <w:color w:val="auto"/>
        </w:rPr>
        <w:t>New York, New York 10004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2" w:name="page193"/>
    <w:bookmarkEnd w:id="192"/>
    <w:p>
      <w:pPr>
        <w:ind w:left="760"/>
        <w:spacing w:after="0"/>
        <w:rPr>
          <w:sz w:val="20"/>
          <w:szCs w:val="20"/>
          <w:color w:val="auto"/>
        </w:rPr>
      </w:pPr>
      <w:r>
        <w:rPr>
          <w:rFonts w:ascii="Arial" w:cs="Arial" w:eastAsia="Arial" w:hAnsi="Arial"/>
          <w:sz w:val="22"/>
          <w:szCs w:val="22"/>
          <w:color w:val="auto"/>
        </w:rPr>
        <w:t>Attention: Office of the General Counsel</w:t>
      </w:r>
    </w:p>
    <w:p>
      <w:pPr>
        <w:spacing w:after="0" w:line="1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Telephone: (212) 668-5771</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Olema Pharmaceuticals, Inc.</w:t>
      </w:r>
    </w:p>
    <w:p>
      <w:pPr>
        <w:ind w:left="760"/>
        <w:spacing w:after="0" w:line="198" w:lineRule="auto"/>
        <w:rPr>
          <w:sz w:val="20"/>
          <w:szCs w:val="20"/>
          <w:color w:val="auto"/>
        </w:rPr>
      </w:pPr>
      <w:r>
        <w:rPr>
          <w:rFonts w:ascii="Arial" w:cs="Arial" w:eastAsia="Arial" w:hAnsi="Arial"/>
          <w:sz w:val="22"/>
          <w:szCs w:val="22"/>
          <w:color w:val="auto"/>
        </w:rPr>
        <w:t>512 2nd Street,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760"/>
        <w:spacing w:after="0" w:line="231" w:lineRule="auto"/>
        <w:rPr>
          <w:sz w:val="20"/>
          <w:szCs w:val="20"/>
          <w:color w:val="auto"/>
        </w:rPr>
      </w:pPr>
      <w:r>
        <w:rPr>
          <w:rFonts w:ascii="Arial" w:cs="Arial" w:eastAsia="Arial" w:hAnsi="Arial"/>
          <w:sz w:val="22"/>
          <w:szCs w:val="22"/>
          <w:color w:val="auto"/>
        </w:rPr>
        <w:t>San Francisco, California 94107</w:t>
      </w:r>
    </w:p>
    <w:p>
      <w:pPr>
        <w:ind w:left="760"/>
        <w:spacing w:after="0" w:line="230" w:lineRule="auto"/>
        <w:rPr>
          <w:sz w:val="20"/>
          <w:szCs w:val="20"/>
          <w:color w:val="auto"/>
        </w:rPr>
      </w:pPr>
      <w:r>
        <w:rPr>
          <w:rFonts w:ascii="Arial" w:cs="Arial" w:eastAsia="Arial" w:hAnsi="Arial"/>
          <w:sz w:val="22"/>
          <w:szCs w:val="22"/>
          <w:color w:val="auto"/>
        </w:rPr>
        <w:t>Attention: Sean Bohen, sean@olema.com, with a copy (which shall not constitute notice)</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to</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Cooley LLP</w:t>
      </w:r>
    </w:p>
    <w:p>
      <w:pPr>
        <w:ind w:left="760"/>
        <w:spacing w:after="0"/>
        <w:rPr>
          <w:sz w:val="20"/>
          <w:szCs w:val="20"/>
          <w:color w:val="auto"/>
        </w:rPr>
      </w:pPr>
      <w:r>
        <w:rPr>
          <w:rFonts w:ascii="Arial" w:cs="Arial" w:eastAsia="Arial" w:hAnsi="Arial"/>
          <w:sz w:val="22"/>
          <w:szCs w:val="22"/>
          <w:color w:val="auto"/>
        </w:rPr>
        <w:t>101 California Street, Suite 101</w:t>
      </w:r>
    </w:p>
    <w:p>
      <w:pPr>
        <w:ind w:left="760"/>
        <w:spacing w:after="0" w:line="230" w:lineRule="auto"/>
        <w:rPr>
          <w:sz w:val="20"/>
          <w:szCs w:val="20"/>
          <w:color w:val="auto"/>
        </w:rPr>
      </w:pPr>
      <w:r>
        <w:rPr>
          <w:rFonts w:ascii="Arial" w:cs="Arial" w:eastAsia="Arial" w:hAnsi="Arial"/>
          <w:sz w:val="22"/>
          <w:szCs w:val="22"/>
          <w:color w:val="auto"/>
        </w:rPr>
        <w:t>San Francisco, California, 94105</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Jodie Bourdet, jbourdet@cooley.com</w:t>
      </w:r>
    </w:p>
    <w:p>
      <w:pPr>
        <w:spacing w:after="0" w:line="213"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“Business Day” shall mean any day on which Nasdaq and commercial banks in the City of New York are open for business.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An electronic communication (“</w:t>
      </w:r>
      <w:r>
        <w:rPr>
          <w:rFonts w:ascii="Arial" w:cs="Arial" w:eastAsia="Arial" w:hAnsi="Arial"/>
          <w:sz w:val="22"/>
          <w:szCs w:val="22"/>
          <w:b w:val="1"/>
          <w:bCs w:val="1"/>
          <w:color w:val="auto"/>
        </w:rPr>
        <w:t>Electronic Notice</w:t>
      </w:r>
      <w:r>
        <w:rPr>
          <w:rFonts w:ascii="Arial" w:cs="Arial" w:eastAsia="Arial" w:hAnsi="Arial"/>
          <w:sz w:val="22"/>
          <w:szCs w:val="22"/>
          <w:color w:val="auto"/>
        </w:rPr>
        <w:t>”) shall be deemed written notice for purposes of this Section 12 if sent to the electronic mail address specified by the receiving party under separate cover. Electronic Notice shall be deemed received at the time the party sending Electronic Notice receives actual acknowledgment of receipt from the person to whom the notice is sent, other than via auto-reply. Any party receiving Electronic Notice may request and shall be entitled to receive the notice on paper, in a nonelectronic form (“</w:t>
      </w:r>
      <w:r>
        <w:rPr>
          <w:rFonts w:ascii="Arial" w:cs="Arial" w:eastAsia="Arial" w:hAnsi="Arial"/>
          <w:sz w:val="22"/>
          <w:szCs w:val="22"/>
          <w:b w:val="1"/>
          <w:bCs w:val="1"/>
          <w:color w:val="auto"/>
        </w:rPr>
        <w:t>Nonelectronic Notice</w:t>
      </w:r>
      <w:r>
        <w:rPr>
          <w:rFonts w:ascii="Arial" w:cs="Arial" w:eastAsia="Arial" w:hAnsi="Arial"/>
          <w:sz w:val="22"/>
          <w:szCs w:val="22"/>
          <w:color w:val="auto"/>
        </w:rPr>
        <w:t>”), which shall be sent to the requesting party within ten (10) days of receipt of the written request for Nonelectronic Notice.</w:t>
      </w:r>
    </w:p>
    <w:p>
      <w:pPr>
        <w:spacing w:after="0" w:line="204" w:lineRule="exact"/>
        <w:rPr>
          <w:sz w:val="20"/>
          <w:szCs w:val="20"/>
          <w:color w:val="auto"/>
        </w:rPr>
      </w:pPr>
    </w:p>
    <w:p>
      <w:pPr>
        <w:jc w:val="both"/>
        <w:ind w:firstLine="757"/>
        <w:spacing w:after="0" w:line="234" w:lineRule="auto"/>
        <w:tabs>
          <w:tab w:leader="none" w:pos="1109"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Agreement shall inure to the benefit of and be binding upon the Company and the Agent and their respective successors and the affiliates, controlling persons, officers and directors referred to in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Agent may assign its rights and obligations hereunder to an affiliate of the Agent without obtaining the Company’s consent.</w:t>
      </w:r>
    </w:p>
    <w:p>
      <w:pPr>
        <w:spacing w:after="0" w:line="183" w:lineRule="exact"/>
        <w:rPr>
          <w:rFonts w:ascii="Arial" w:cs="Arial" w:eastAsia="Arial" w:hAnsi="Arial"/>
          <w:sz w:val="22"/>
          <w:szCs w:val="22"/>
          <w:color w:val="auto"/>
        </w:rPr>
      </w:pPr>
    </w:p>
    <w:p>
      <w:pPr>
        <w:jc w:val="both"/>
        <w:ind w:firstLine="757"/>
        <w:spacing w:after="0" w:line="245" w:lineRule="auto"/>
        <w:tabs>
          <w:tab w:leader="none" w:pos="1177"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Adjustments for Share Splits</w:t>
      </w:r>
      <w:r>
        <w:rPr>
          <w:rFonts w:ascii="Arial" w:cs="Arial" w:eastAsia="Arial" w:hAnsi="Arial"/>
          <w:sz w:val="22"/>
          <w:szCs w:val="22"/>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5520" w:hanging="106"/>
        <w:spacing w:after="0"/>
        <w:tabs>
          <w:tab w:leader="none" w:pos="55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3" w:name="page194"/>
    <w:bookmarkEnd w:id="193"/>
    <w:p>
      <w:pPr>
        <w:jc w:val="both"/>
        <w:ind w:left="-757" w:firstLine="757"/>
        <w:spacing w:after="0" w:line="234" w:lineRule="auto"/>
        <w:tabs>
          <w:tab w:leader="none" w:pos="42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Entire Agreement; Amendment; Severability</w:t>
      </w:r>
      <w:r>
        <w:rPr>
          <w:rFonts w:ascii="Arial" w:cs="Arial" w:eastAsia="Arial" w:hAnsi="Arial"/>
          <w:sz w:val="22"/>
          <w:szCs w:val="22"/>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75" w:lineRule="exact"/>
        <w:rPr>
          <w:rFonts w:ascii="Arial" w:cs="Arial" w:eastAsia="Arial" w:hAnsi="Arial"/>
          <w:sz w:val="22"/>
          <w:szCs w:val="22"/>
          <w:color w:val="auto"/>
        </w:rPr>
      </w:pPr>
    </w:p>
    <w:p>
      <w:pPr>
        <w:jc w:val="both"/>
        <w:ind w:left="-757" w:firstLine="757"/>
        <w:spacing w:after="0" w:line="233" w:lineRule="auto"/>
        <w:tabs>
          <w:tab w:leader="none" w:pos="42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Applicable Law; Consent to Jurisdiction</w:t>
      </w:r>
      <w:r>
        <w:rPr>
          <w:rFonts w:ascii="Arial" w:cs="Arial" w:eastAsia="Arial" w:hAnsi="Arial"/>
          <w:sz w:val="22"/>
          <w:szCs w:val="22"/>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4" w:lineRule="exact"/>
        <w:rPr>
          <w:rFonts w:ascii="Arial" w:cs="Arial" w:eastAsia="Arial" w:hAnsi="Arial"/>
          <w:sz w:val="22"/>
          <w:szCs w:val="22"/>
          <w:color w:val="auto"/>
        </w:rPr>
      </w:pPr>
    </w:p>
    <w:p>
      <w:pPr>
        <w:jc w:val="both"/>
        <w:ind w:left="-757" w:firstLine="757"/>
        <w:spacing w:after="0" w:line="245" w:lineRule="auto"/>
        <w:tabs>
          <w:tab w:leader="none" w:pos="352"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Company and the Agent each hereby irrevocably waives any right it may have to a trial by jury in respect of any claim based upon or arising out of this Agreement or any transaction contemplated hereby.</w:t>
      </w:r>
    </w:p>
    <w:p>
      <w:pPr>
        <w:spacing w:after="0" w:line="170" w:lineRule="exact"/>
        <w:rPr>
          <w:rFonts w:ascii="Arial" w:cs="Arial" w:eastAsia="Arial" w:hAnsi="Arial"/>
          <w:sz w:val="22"/>
          <w:szCs w:val="22"/>
          <w:color w:val="auto"/>
        </w:rPr>
      </w:pPr>
    </w:p>
    <w:p>
      <w:pPr>
        <w:ind w:left="363" w:hanging="363"/>
        <w:spacing w:after="0"/>
        <w:tabs>
          <w:tab w:leader="none" w:pos="363"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Absence of Fiduciary Relationship</w:t>
      </w:r>
      <w:r>
        <w:rPr>
          <w:rFonts w:ascii="Arial" w:cs="Arial" w:eastAsia="Arial" w:hAnsi="Arial"/>
          <w:sz w:val="22"/>
          <w:szCs w:val="22"/>
          <w:i w:val="1"/>
          <w:iCs w:val="1"/>
          <w:color w:val="auto"/>
        </w:rPr>
        <w:t>.</w:t>
      </w:r>
      <w:r>
        <w:rPr>
          <w:rFonts w:ascii="Arial" w:cs="Arial" w:eastAsia="Arial" w:hAnsi="Arial"/>
          <w:sz w:val="22"/>
          <w:szCs w:val="22"/>
          <w:color w:val="auto"/>
        </w:rPr>
        <w:t xml:space="preserve"> The Company acknowledges and agrees that:</w:t>
      </w:r>
    </w:p>
    <w:p>
      <w:pPr>
        <w:spacing w:after="0" w:line="206" w:lineRule="exact"/>
        <w:rPr>
          <w:sz w:val="20"/>
          <w:szCs w:val="20"/>
          <w:color w:val="auto"/>
        </w:rPr>
      </w:pPr>
    </w:p>
    <w:p>
      <w:pPr>
        <w:jc w:val="both"/>
        <w:ind w:left="-757" w:firstLine="757"/>
        <w:spacing w:after="0" w:line="238" w:lineRule="auto"/>
        <w:tabs>
          <w:tab w:leader="none" w:pos="32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Agent has been retained solely to act as an arm’s length contractual counterparty to the Company in connection with the sale of the Placement Shares contemplated hereby and that no fiduciary, advisory or agency relationship between the Company and the Agent has been created in respect of any of the transactions contemplated by this Agreement, irrespective of whether the Agent has advised or is advising the Company on other matters;</w:t>
      </w:r>
    </w:p>
    <w:p>
      <w:pPr>
        <w:spacing w:after="0" w:line="176" w:lineRule="exact"/>
        <w:rPr>
          <w:rFonts w:ascii="Arial" w:cs="Arial" w:eastAsia="Arial" w:hAnsi="Arial"/>
          <w:sz w:val="22"/>
          <w:szCs w:val="22"/>
          <w:color w:val="auto"/>
        </w:rPr>
      </w:pPr>
    </w:p>
    <w:p>
      <w:pPr>
        <w:ind w:left="-757" w:firstLine="757"/>
        <w:spacing w:after="0" w:line="259" w:lineRule="auto"/>
        <w:tabs>
          <w:tab w:leader="none" w:pos="33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Company is capable of evaluating and understanding and understands and accepts the terms, risks and conditions of the transactions contemplated by this Agreement;</w:t>
      </w:r>
    </w:p>
    <w:p>
      <w:pPr>
        <w:spacing w:after="0" w:line="156" w:lineRule="exact"/>
        <w:rPr>
          <w:rFonts w:ascii="Arial" w:cs="Arial" w:eastAsia="Arial" w:hAnsi="Arial"/>
          <w:sz w:val="22"/>
          <w:szCs w:val="22"/>
          <w:color w:val="auto"/>
        </w:rPr>
      </w:pPr>
    </w:p>
    <w:p>
      <w:pPr>
        <w:jc w:val="both"/>
        <w:ind w:left="-757" w:firstLine="757"/>
        <w:spacing w:after="0"/>
        <w:tabs>
          <w:tab w:leader="none" w:pos="36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Company has been advised that the Agent and its affiliates are engaged in a broad range of transactions which may involve interests that differ from those of the Company and that the Agent has no obligation to disclose such interests and transactions to the Company by virtue of any fiduciary, advisory or agency relationship; and</w:t>
      </w:r>
    </w:p>
    <w:p>
      <w:pPr>
        <w:spacing w:after="0" w:line="176" w:lineRule="exact"/>
        <w:rPr>
          <w:rFonts w:ascii="Arial" w:cs="Arial" w:eastAsia="Arial" w:hAnsi="Arial"/>
          <w:sz w:val="22"/>
          <w:szCs w:val="22"/>
          <w:color w:val="auto"/>
        </w:rPr>
      </w:pPr>
    </w:p>
    <w:p>
      <w:pPr>
        <w:ind w:left="-757" w:firstLine="757"/>
        <w:spacing w:after="0" w:line="259" w:lineRule="auto"/>
        <w:tabs>
          <w:tab w:leader="none" w:pos="32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Company waives, to the fullest extent permitted by law, any claims it may have against the Agent, for breach of fiduciary duty or alleged breach of fiduciary duty and agrees that the Agent</w:t>
      </w:r>
    </w:p>
    <w:p>
      <w:pPr>
        <w:spacing w:after="0" w:line="200" w:lineRule="exact"/>
        <w:rPr>
          <w:rFonts w:ascii="Arial" w:cs="Arial" w:eastAsia="Arial" w:hAnsi="Arial"/>
          <w:sz w:val="22"/>
          <w:szCs w:val="22"/>
          <w:color w:val="auto"/>
        </w:rPr>
      </w:pPr>
    </w:p>
    <w:p>
      <w:pPr>
        <w:spacing w:after="0" w:line="395" w:lineRule="exact"/>
        <w:rPr>
          <w:rFonts w:ascii="Arial" w:cs="Arial" w:eastAsia="Arial" w:hAnsi="Arial"/>
          <w:sz w:val="22"/>
          <w:szCs w:val="22"/>
          <w:color w:val="auto"/>
        </w:rPr>
      </w:pPr>
    </w:p>
    <w:p>
      <w:pPr>
        <w:ind w:left="4763" w:hanging="106"/>
        <w:spacing w:after="0"/>
        <w:tabs>
          <w:tab w:leader="none" w:pos="476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64" w:right="339" w:bottom="1440" w:gutter="0" w:footer="0" w:header="0"/>
        </w:sectPr>
      </w:pPr>
    </w:p>
    <w:bookmarkStart w:id="194" w:name="page195"/>
    <w:bookmarkEnd w:id="194"/>
    <w:p>
      <w:pPr>
        <w:jc w:val="both"/>
        <w:spacing w:after="0" w:line="245" w:lineRule="auto"/>
        <w:rPr>
          <w:sz w:val="20"/>
          <w:szCs w:val="20"/>
          <w:color w:val="auto"/>
        </w:rPr>
      </w:pPr>
      <w:r>
        <w:rPr>
          <w:rFonts w:ascii="Arial" w:cs="Arial" w:eastAsia="Arial" w:hAnsi="Arial"/>
          <w:sz w:val="22"/>
          <w:szCs w:val="22"/>
          <w:color w:val="auto"/>
        </w:rPr>
        <w:t>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70" w:lineRule="exact"/>
        <w:rPr>
          <w:sz w:val="20"/>
          <w:szCs w:val="20"/>
          <w:color w:val="auto"/>
        </w:rPr>
      </w:pPr>
    </w:p>
    <w:p>
      <w:pPr>
        <w:jc w:val="both"/>
        <w:ind w:firstLine="757"/>
        <w:spacing w:after="0" w:line="236" w:lineRule="auto"/>
        <w:tabs>
          <w:tab w:leader="none" w:pos="1136"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5" w:name="page196"/>
    <w:bookmarkEnd w:id="195"/>
    <w:p>
      <w:pPr>
        <w:jc w:val="both"/>
        <w:ind w:firstLine="749"/>
        <w:spacing w:after="0" w:line="245" w:lineRule="auto"/>
        <w:rPr>
          <w:sz w:val="20"/>
          <w:szCs w:val="20"/>
          <w:color w:val="auto"/>
        </w:rPr>
      </w:pPr>
      <w:r>
        <w:rPr>
          <w:rFonts w:ascii="Arial" w:cs="Arial" w:eastAsia="Arial" w:hAnsi="Arial"/>
          <w:sz w:val="22"/>
          <w:szCs w:val="22"/>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Very truly yours,</w:t>
      </w:r>
    </w:p>
    <w:p>
      <w:pPr>
        <w:spacing w:after="0" w:line="285"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OPPENHEIMER &amp; CO. INC.</w:t>
      </w:r>
    </w:p>
    <w:p>
      <w:pPr>
        <w:spacing w:after="0" w:line="28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Michael Margolis, R.Ph.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19050</wp:posOffset>
            </wp:positionV>
            <wp:extent cx="32658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120"/>
        <w:spacing w:after="0"/>
        <w:tabs>
          <w:tab w:leader="none" w:pos="6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1"/>
          <w:szCs w:val="21"/>
          <w:color w:val="auto"/>
        </w:rPr>
        <w:t>Michael Margolis, R.Ph.</w:t>
      </w:r>
    </w:p>
    <w:p>
      <w:pPr>
        <w:spacing w:after="0" w:line="31" w:lineRule="exact"/>
        <w:rPr>
          <w:sz w:val="20"/>
          <w:szCs w:val="20"/>
          <w:color w:val="auto"/>
        </w:rPr>
      </w:pPr>
    </w:p>
    <w:p>
      <w:pPr>
        <w:ind w:left="6120"/>
        <w:spacing w:after="0"/>
        <w:tabs>
          <w:tab w:leader="none" w:pos="6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Senior Managing Director, Co-Head</w:t>
      </w:r>
    </w:p>
    <w:p>
      <w:pPr>
        <w:spacing w:after="0" w:line="17"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Healthcare IB</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ACCEPTED as of the date</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first-above written:</w:t>
      </w:r>
    </w:p>
    <w:p>
      <w:pPr>
        <w:spacing w:after="0" w:line="265"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OLEMA PHARMACEUTICALS, INC.</w:t>
      </w:r>
    </w:p>
    <w:p>
      <w:pPr>
        <w:spacing w:after="0" w:line="28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Shane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19050</wp:posOffset>
            </wp:positionV>
            <wp:extent cx="32575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6120"/>
        <w:spacing w:after="0"/>
        <w:tabs>
          <w:tab w:leader="none" w:pos="6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1"/>
          <w:szCs w:val="21"/>
          <w:color w:val="auto"/>
        </w:rPr>
        <w:t>Shane Kovacs</w:t>
      </w:r>
    </w:p>
    <w:p>
      <w:pPr>
        <w:spacing w:after="0" w:line="31" w:lineRule="exact"/>
        <w:rPr>
          <w:sz w:val="20"/>
          <w:szCs w:val="20"/>
          <w:color w:val="auto"/>
        </w:rPr>
      </w:pPr>
    </w:p>
    <w:p>
      <w:pPr>
        <w:ind w:left="6120"/>
        <w:spacing w:after="0"/>
        <w:tabs>
          <w:tab w:leader="none" w:pos="6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Operating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b w:val="1"/>
          <w:bCs w:val="1"/>
          <w:u w:val="single" w:color="auto"/>
          <w:color w:val="auto"/>
        </w:rPr>
        <w:t>SCHEDULE 1</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720" w:type="dxa"/>
            <w:vAlign w:val="bottom"/>
            <w:gridSpan w:val="2"/>
          </w:tcPr>
          <w:p>
            <w:pPr>
              <w:ind w:left="2440"/>
              <w:spacing w:after="0"/>
              <w:rPr>
                <w:sz w:val="20"/>
                <w:szCs w:val="20"/>
                <w:color w:val="auto"/>
              </w:rPr>
            </w:pPr>
            <w:r>
              <w:rPr>
                <w:rFonts w:ascii="Arial" w:cs="Arial" w:eastAsia="Arial" w:hAnsi="Arial"/>
                <w:sz w:val="22"/>
                <w:szCs w:val="22"/>
                <w:b w:val="1"/>
                <w:bCs w:val="1"/>
                <w:color w:val="auto"/>
                <w:w w:val="97"/>
              </w:rPr>
              <w:t>FORM OF PLACEMENT NOTICE</w:t>
            </w:r>
          </w:p>
        </w:tc>
      </w:tr>
      <w:tr>
        <w:trPr>
          <w:trHeight w:val="980"/>
        </w:trPr>
        <w:tc>
          <w:tcPr>
            <w:tcW w:w="860" w:type="dxa"/>
            <w:vAlign w:val="bottom"/>
          </w:tcPr>
          <w:p>
            <w:pPr>
              <w:spacing w:after="0"/>
              <w:rPr>
                <w:sz w:val="20"/>
                <w:szCs w:val="20"/>
                <w:color w:val="auto"/>
              </w:rPr>
            </w:pPr>
            <w:r>
              <w:rPr>
                <w:rFonts w:ascii="Arial" w:cs="Arial" w:eastAsia="Arial" w:hAnsi="Arial"/>
                <w:sz w:val="22"/>
                <w:szCs w:val="22"/>
                <w:color w:val="auto"/>
              </w:rPr>
              <w:t>From:</w:t>
            </w:r>
          </w:p>
        </w:tc>
        <w:tc>
          <w:tcPr>
            <w:tcW w:w="660" w:type="dxa"/>
            <w:vAlign w:val="bottom"/>
          </w:tcPr>
          <w:p>
            <w:pPr>
              <w:ind w:left="80"/>
              <w:spacing w:after="0"/>
              <w:rPr>
                <w:sz w:val="20"/>
                <w:szCs w:val="20"/>
                <w:color w:val="auto"/>
              </w:rPr>
            </w:pPr>
            <w:r>
              <w:rPr>
                <w:rFonts w:ascii="Arial" w:cs="Arial" w:eastAsia="Arial" w:hAnsi="Arial"/>
                <w:sz w:val="22"/>
                <w:szCs w:val="22"/>
                <w:color w:val="auto"/>
              </w:rPr>
              <w:t>[</w:t>
            </w:r>
          </w:p>
        </w:tc>
        <w:tc>
          <w:tcPr>
            <w:tcW w:w="2440" w:type="dxa"/>
            <w:vAlign w:val="bottom"/>
          </w:tcPr>
          <w:p>
            <w:pPr>
              <w:jc w:val="right"/>
              <w:ind w:right="1772"/>
              <w:spacing w:after="0"/>
              <w:rPr>
                <w:sz w:val="20"/>
                <w:szCs w:val="20"/>
                <w:color w:val="auto"/>
              </w:rPr>
            </w:pPr>
            <w:r>
              <w:rPr>
                <w:rFonts w:ascii="Arial" w:cs="Arial" w:eastAsia="Arial" w:hAnsi="Arial"/>
                <w:sz w:val="22"/>
                <w:szCs w:val="22"/>
                <w:color w:val="auto"/>
              </w:rPr>
              <w:t>]</w:t>
            </w:r>
          </w:p>
        </w:tc>
        <w:tc>
          <w:tcPr>
            <w:tcW w:w="3280" w:type="dxa"/>
            <w:vAlign w:val="bottom"/>
            <w:tcBorders>
              <w:top w:val="single" w:sz="8" w:color="auto"/>
            </w:tcBorders>
          </w:tcPr>
          <w:p>
            <w:pPr>
              <w:spacing w:after="0"/>
              <w:rPr>
                <w:sz w:val="24"/>
                <w:szCs w:val="24"/>
                <w:color w:val="auto"/>
              </w:rPr>
            </w:pPr>
          </w:p>
        </w:tc>
      </w:tr>
      <w:tr>
        <w:trPr>
          <w:trHeight w:val="270"/>
        </w:trPr>
        <w:tc>
          <w:tcPr>
            <w:tcW w:w="860" w:type="dxa"/>
            <w:vAlign w:val="bottom"/>
          </w:tcPr>
          <w:p>
            <w:pPr>
              <w:spacing w:after="0"/>
              <w:rPr>
                <w:sz w:val="20"/>
                <w:szCs w:val="20"/>
                <w:color w:val="auto"/>
              </w:rPr>
            </w:pPr>
            <w:r>
              <w:rPr>
                <w:rFonts w:ascii="Arial" w:cs="Arial" w:eastAsia="Arial" w:hAnsi="Arial"/>
                <w:sz w:val="22"/>
                <w:szCs w:val="22"/>
                <w:color w:val="auto"/>
              </w:rPr>
              <w:t>Cc:</w:t>
            </w:r>
          </w:p>
        </w:tc>
        <w:tc>
          <w:tcPr>
            <w:tcW w:w="660" w:type="dxa"/>
            <w:vAlign w:val="bottom"/>
          </w:tcPr>
          <w:p>
            <w:pPr>
              <w:ind w:left="80"/>
              <w:spacing w:after="0"/>
              <w:rPr>
                <w:sz w:val="20"/>
                <w:szCs w:val="20"/>
                <w:color w:val="auto"/>
              </w:rPr>
            </w:pPr>
            <w:r>
              <w:rPr>
                <w:rFonts w:ascii="Arial" w:cs="Arial" w:eastAsia="Arial" w:hAnsi="Arial"/>
                <w:sz w:val="22"/>
                <w:szCs w:val="22"/>
                <w:color w:val="auto"/>
              </w:rPr>
              <w:t>[</w:t>
            </w:r>
          </w:p>
        </w:tc>
        <w:tc>
          <w:tcPr>
            <w:tcW w:w="2440" w:type="dxa"/>
            <w:vAlign w:val="bottom"/>
          </w:tcPr>
          <w:p>
            <w:pPr>
              <w:jc w:val="right"/>
              <w:ind w:right="1772"/>
              <w:spacing w:after="0"/>
              <w:rPr>
                <w:sz w:val="20"/>
                <w:szCs w:val="20"/>
                <w:color w:val="auto"/>
              </w:rPr>
            </w:pPr>
            <w:r>
              <w:rPr>
                <w:rFonts w:ascii="Arial" w:cs="Arial" w:eastAsia="Arial" w:hAnsi="Arial"/>
                <w:sz w:val="22"/>
                <w:szCs w:val="22"/>
                <w:color w:val="auto"/>
              </w:rPr>
              <w:t>]</w:t>
            </w:r>
          </w:p>
        </w:tc>
        <w:tc>
          <w:tcPr>
            <w:tcW w:w="328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22"/>
                <w:szCs w:val="22"/>
                <w:color w:val="auto"/>
              </w:rPr>
              <w:t>To:</w:t>
            </w:r>
          </w:p>
        </w:tc>
        <w:tc>
          <w:tcPr>
            <w:tcW w:w="660" w:type="dxa"/>
            <w:vAlign w:val="bottom"/>
          </w:tcPr>
          <w:p>
            <w:pPr>
              <w:ind w:left="80"/>
              <w:spacing w:after="0"/>
              <w:rPr>
                <w:sz w:val="20"/>
                <w:szCs w:val="20"/>
                <w:color w:val="auto"/>
              </w:rPr>
            </w:pPr>
            <w:r>
              <w:rPr>
                <w:rFonts w:ascii="Arial" w:cs="Arial" w:eastAsia="Arial" w:hAnsi="Arial"/>
                <w:sz w:val="22"/>
                <w:szCs w:val="22"/>
                <w:color w:val="auto"/>
              </w:rPr>
              <w:t>[</w:t>
            </w:r>
          </w:p>
        </w:tc>
        <w:tc>
          <w:tcPr>
            <w:tcW w:w="2440" w:type="dxa"/>
            <w:vAlign w:val="bottom"/>
          </w:tcPr>
          <w:p>
            <w:pPr>
              <w:jc w:val="right"/>
              <w:ind w:right="1772"/>
              <w:spacing w:after="0"/>
              <w:rPr>
                <w:sz w:val="20"/>
                <w:szCs w:val="20"/>
                <w:color w:val="auto"/>
              </w:rPr>
            </w:pPr>
            <w:r>
              <w:rPr>
                <w:rFonts w:ascii="Arial" w:cs="Arial" w:eastAsia="Arial" w:hAnsi="Arial"/>
                <w:sz w:val="22"/>
                <w:szCs w:val="22"/>
                <w:color w:val="auto"/>
              </w:rPr>
              <w:t>]</w:t>
            </w:r>
          </w:p>
        </w:tc>
        <w:tc>
          <w:tcPr>
            <w:tcW w:w="3280" w:type="dxa"/>
            <w:vAlign w:val="bottom"/>
          </w:tcPr>
          <w:p>
            <w:pPr>
              <w:spacing w:after="0"/>
              <w:rPr>
                <w:sz w:val="23"/>
                <w:szCs w:val="23"/>
                <w:color w:val="auto"/>
              </w:rPr>
            </w:pPr>
          </w:p>
        </w:tc>
      </w:tr>
      <w:tr>
        <w:trPr>
          <w:trHeight w:val="283"/>
        </w:trPr>
        <w:tc>
          <w:tcPr>
            <w:tcW w:w="860" w:type="dxa"/>
            <w:vAlign w:val="bottom"/>
          </w:tcPr>
          <w:p>
            <w:pPr>
              <w:spacing w:after="0"/>
              <w:rPr>
                <w:sz w:val="20"/>
                <w:szCs w:val="20"/>
                <w:color w:val="auto"/>
              </w:rPr>
            </w:pPr>
            <w:r>
              <w:rPr>
                <w:rFonts w:ascii="Arial" w:cs="Arial" w:eastAsia="Arial" w:hAnsi="Arial"/>
                <w:sz w:val="22"/>
                <w:szCs w:val="22"/>
                <w:color w:val="auto"/>
              </w:rPr>
              <w:t>Subject:</w:t>
            </w:r>
          </w:p>
        </w:tc>
        <w:tc>
          <w:tcPr>
            <w:tcW w:w="6380" w:type="dxa"/>
            <w:vAlign w:val="bottom"/>
            <w:gridSpan w:val="3"/>
          </w:tcPr>
          <w:p>
            <w:pPr>
              <w:ind w:left="80"/>
              <w:spacing w:after="0"/>
              <w:rPr>
                <w:sz w:val="20"/>
                <w:szCs w:val="20"/>
                <w:color w:val="auto"/>
              </w:rPr>
            </w:pPr>
            <w:r>
              <w:rPr>
                <w:rFonts w:ascii="Arial" w:cs="Arial" w:eastAsia="Arial" w:hAnsi="Arial"/>
                <w:sz w:val="22"/>
                <w:szCs w:val="22"/>
                <w:color w:val="auto"/>
              </w:rPr>
              <w:t>Oppenheimer At the Market Offering—Placement Notice</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Gentlemen:</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Pursuant to the terms and subject to the conditions contained in the Sales Agreement between Olema Pharmaceuticals,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Oppenheimer &amp; Co. Inc. (“</w:t>
      </w:r>
      <w:r>
        <w:rPr>
          <w:rFonts w:ascii="Arial" w:cs="Arial" w:eastAsia="Arial" w:hAnsi="Arial"/>
          <w:sz w:val="22"/>
          <w:szCs w:val="22"/>
          <w:u w:val="single" w:color="auto"/>
          <w:color w:val="auto"/>
        </w:rPr>
        <w:t>Oppenheimer</w:t>
      </w:r>
      <w:r>
        <w:rPr>
          <w:rFonts w:ascii="Arial" w:cs="Arial" w:eastAsia="Arial" w:hAnsi="Arial"/>
          <w:sz w:val="22"/>
          <w:szCs w:val="22"/>
          <w:color w:val="auto"/>
        </w:rPr>
        <w:t>”) dated March 9, 2023 (the “</w:t>
      </w:r>
      <w:r>
        <w:rPr>
          <w:rFonts w:ascii="Arial" w:cs="Arial" w:eastAsia="Arial" w:hAnsi="Arial"/>
          <w:sz w:val="22"/>
          <w:szCs w:val="22"/>
          <w:u w:val="single" w:color="auto"/>
          <w:color w:val="auto"/>
        </w:rPr>
        <w:t>Agreement</w:t>
      </w:r>
      <w:r>
        <w:rPr>
          <w:rFonts w:ascii="Arial" w:cs="Arial" w:eastAsia="Arial" w:hAnsi="Arial"/>
          <w:sz w:val="22"/>
          <w:szCs w:val="22"/>
          <w:color w:val="auto"/>
        </w:rPr>
        <w:t>”), I hereby request on behalf of the Company that Oppenheimer sell up to [ ] shares of the Company’s</w:t>
      </w:r>
    </w:p>
    <w:p>
      <w:pPr>
        <w:spacing w:after="0" w:line="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common stock, par value $0.0001 per share, at a minimum market price of $ per share. Sales should begin on the date of this Notice and shall continue until [DATE] [all shares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4683125</wp:posOffset>
            </wp:positionH>
            <wp:positionV relativeFrom="paragraph">
              <wp:posOffset>-187960</wp:posOffset>
            </wp:positionV>
            <wp:extent cx="9537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95377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[The Company may include such other sales parameters as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2"/>
          <w:szCs w:val="22"/>
          <w:b w:val="1"/>
          <w:bCs w:val="1"/>
          <w:u w:val="single" w:color="auto"/>
          <w:color w:val="auto"/>
        </w:rPr>
        <w:t>SCHEDULE 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Parties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Company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Sean P. Bohen, M.D., Ph.D., President and 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Shane Kovacs, Chief Operating and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Oppenheimer &amp; Co. Inc.</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Stephanie Cruz, Managing Director (Stephanie.Cruz@opco.com)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Thomas Villano, Executive Director (Thomas.Villano@opco.com)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DL-EquityATMOffering@opco.com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2"/>
          <w:szCs w:val="22"/>
          <w:b w:val="1"/>
          <w:bCs w:val="1"/>
          <w:u w:val="single" w:color="auto"/>
          <w:color w:val="auto"/>
        </w:rPr>
        <w:t>SCHEDULE 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208" w:lineRule="exact"/>
        <w:rPr>
          <w:sz w:val="20"/>
          <w:szCs w:val="20"/>
          <w:color w:val="auto"/>
        </w:rPr>
      </w:pPr>
    </w:p>
    <w:p>
      <w:pPr>
        <w:ind w:right="300"/>
        <w:spacing w:after="0" w:line="259" w:lineRule="auto"/>
        <w:rPr>
          <w:sz w:val="20"/>
          <w:szCs w:val="20"/>
          <w:color w:val="auto"/>
        </w:rPr>
      </w:pPr>
      <w:r>
        <w:rPr>
          <w:rFonts w:ascii="Arial" w:cs="Arial" w:eastAsia="Arial" w:hAnsi="Arial"/>
          <w:sz w:val="22"/>
          <w:szCs w:val="22"/>
          <w:color w:val="auto"/>
        </w:rPr>
        <w:t>The Agent shall be paid compensation equal to up to 3.0% of the gross proceeds from the sales of Common Stock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53"/>
        </w:trPr>
        <w:tc>
          <w:tcPr>
            <w:tcW w:w="4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6"/>
              </w:rPr>
              <w:t>Exhibit 7(m)</w:t>
            </w:r>
          </w:p>
        </w:tc>
      </w:tr>
      <w:tr>
        <w:trPr>
          <w:trHeight w:val="466"/>
        </w:trPr>
        <w:tc>
          <w:tcPr>
            <w:tcW w:w="4420" w:type="dxa"/>
            <w:vAlign w:val="bottom"/>
          </w:tcPr>
          <w:p>
            <w:pPr>
              <w:spacing w:after="0"/>
              <w:rPr>
                <w:sz w:val="24"/>
                <w:szCs w:val="24"/>
                <w:color w:val="auto"/>
              </w:rPr>
            </w:pPr>
          </w:p>
        </w:tc>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6"/>
              </w:rPr>
              <w:t>OFFICER CERTIFICATE</w:t>
            </w:r>
          </w:p>
        </w:tc>
        <w:tc>
          <w:tcPr>
            <w:tcW w:w="1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66"/>
        </w:trPr>
        <w:tc>
          <w:tcPr>
            <w:tcW w:w="4720" w:type="dxa"/>
            <w:vAlign w:val="bottom"/>
            <w:gridSpan w:val="2"/>
          </w:tcPr>
          <w:p>
            <w:pPr>
              <w:spacing w:after="0"/>
              <w:rPr>
                <w:sz w:val="20"/>
                <w:szCs w:val="20"/>
                <w:color w:val="auto"/>
              </w:rPr>
            </w:pPr>
            <w:r>
              <w:rPr>
                <w:rFonts w:ascii="Arial" w:cs="Arial" w:eastAsia="Arial" w:hAnsi="Arial"/>
                <w:sz w:val="22"/>
                <w:szCs w:val="22"/>
                <w:color w:val="auto"/>
              </w:rPr>
              <w:t>The undersigned, the duly qualified and elected</w:t>
            </w:r>
          </w:p>
        </w:tc>
        <w:tc>
          <w:tcPr>
            <w:tcW w:w="3360" w:type="dxa"/>
            <w:vAlign w:val="bottom"/>
            <w:tcBorders>
              <w:bottom w:val="single" w:sz="8" w:color="auto"/>
            </w:tcBorders>
            <w:gridSpan w:val="2"/>
          </w:tcPr>
          <w:p>
            <w:pPr>
              <w:spacing w:after="0"/>
              <w:rPr>
                <w:sz w:val="24"/>
                <w:szCs w:val="24"/>
                <w:color w:val="auto"/>
              </w:rPr>
            </w:pPr>
          </w:p>
        </w:tc>
        <w:tc>
          <w:tcPr>
            <w:tcW w:w="3160" w:type="dxa"/>
            <w:vAlign w:val="bottom"/>
            <w:gridSpan w:val="2"/>
          </w:tcPr>
          <w:p>
            <w:pPr>
              <w:jc w:val="right"/>
              <w:spacing w:after="0"/>
              <w:rPr>
                <w:sz w:val="20"/>
                <w:szCs w:val="20"/>
                <w:color w:val="auto"/>
              </w:rPr>
            </w:pPr>
            <w:r>
              <w:rPr>
                <w:rFonts w:ascii="Arial" w:cs="Arial" w:eastAsia="Arial" w:hAnsi="Arial"/>
                <w:sz w:val="22"/>
                <w:szCs w:val="22"/>
                <w:color w:val="auto"/>
                <w:w w:val="98"/>
              </w:rPr>
              <w:t>, of Olema Pharmaceuticals, Inc.</w:t>
            </w:r>
          </w:p>
        </w:tc>
      </w:tr>
    </w:tbl>
    <w:p>
      <w:pPr>
        <w:jc w:val="both"/>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xml:space="preserve">”), a Delaware corporation, does hereby certify in such capacity and on behalf of the Company,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 xml:space="preserve"> of the Sales Agreement dated March 9, 2023 (the “</w:t>
      </w:r>
      <w:r>
        <w:rPr>
          <w:rFonts w:ascii="Arial" w:cs="Arial" w:eastAsia="Arial" w:hAnsi="Arial"/>
          <w:sz w:val="22"/>
          <w:szCs w:val="22"/>
          <w:b w:val="1"/>
          <w:bCs w:val="1"/>
          <w:u w:val="single" w:color="auto"/>
          <w:color w:val="auto"/>
        </w:rPr>
        <w:t>Sales Agreement</w:t>
      </w:r>
      <w:r>
        <w:rPr>
          <w:rFonts w:ascii="Arial" w:cs="Arial" w:eastAsia="Arial" w:hAnsi="Arial"/>
          <w:sz w:val="22"/>
          <w:szCs w:val="22"/>
          <w:color w:val="auto"/>
        </w:rPr>
        <w:t>”) between the Company and Oppenheimer &amp; Co. Inc., that to the best of the knowledge of the undersigned.</w:t>
      </w:r>
    </w:p>
    <w:p>
      <w:pPr>
        <w:spacing w:after="0" w:line="171" w:lineRule="exact"/>
        <w:rPr>
          <w:sz w:val="20"/>
          <w:szCs w:val="20"/>
          <w:color w:val="auto"/>
        </w:rPr>
      </w:pPr>
    </w:p>
    <w:p>
      <w:pPr>
        <w:jc w:val="both"/>
        <w:ind w:firstLine="757"/>
        <w:spacing w:after="0" w:line="234" w:lineRule="auto"/>
        <w:tabs>
          <w:tab w:leader="none" w:pos="101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of the Company in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3" w:lineRule="exact"/>
        <w:rPr>
          <w:rFonts w:ascii="Arial" w:cs="Arial" w:eastAsia="Arial" w:hAnsi="Arial"/>
          <w:sz w:val="22"/>
          <w:szCs w:val="22"/>
          <w:color w:val="auto"/>
        </w:rPr>
      </w:pPr>
    </w:p>
    <w:p>
      <w:pPr>
        <w:ind w:firstLine="757"/>
        <w:spacing w:after="0" w:line="259" w:lineRule="auto"/>
        <w:tabs>
          <w:tab w:leader="none" w:pos="101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Company has complied with all agreements and satisfied all conditions on its part to be performed or satisfied pursuant to the Sales Agreement at or prior to the date hereof.</w:t>
      </w:r>
    </w:p>
    <w:p>
      <w:pPr>
        <w:spacing w:after="0" w:line="156" w:lineRule="exact"/>
        <w:rPr>
          <w:sz w:val="20"/>
          <w:szCs w:val="20"/>
          <w:color w:val="auto"/>
        </w:rPr>
      </w:pPr>
    </w:p>
    <w:p>
      <w:pPr>
        <w:ind w:right="20" w:firstLine="749"/>
        <w:spacing w:after="0" w:line="259" w:lineRule="auto"/>
        <w:rPr>
          <w:sz w:val="20"/>
          <w:szCs w:val="20"/>
          <w:color w:val="auto"/>
        </w:rPr>
      </w:pPr>
      <w:r>
        <w:rPr>
          <w:rFonts w:ascii="Arial" w:cs="Arial" w:eastAsia="Arial" w:hAnsi="Arial"/>
          <w:sz w:val="22"/>
          <w:szCs w:val="22"/>
          <w:color w:val="auto"/>
        </w:rPr>
        <w:t>Cooley LLP and Davis Polk &amp; Wardwell LLP shall be entitled to rely upon this certificate for purposes of delivering their respective opinions and negative assurance letters pursuant to the Sales Agreement.</w:t>
      </w:r>
    </w:p>
    <w:p>
      <w:pPr>
        <w:spacing w:after="0" w:line="156" w:lineRule="exact"/>
        <w:rPr>
          <w:sz w:val="20"/>
          <w:szCs w:val="20"/>
          <w:color w:val="auto"/>
        </w:rPr>
      </w:pPr>
    </w:p>
    <w:p>
      <w:pPr>
        <w:ind w:right="20" w:firstLine="749"/>
        <w:spacing w:after="0" w:line="259" w:lineRule="auto"/>
        <w:rPr>
          <w:sz w:val="20"/>
          <w:szCs w:val="20"/>
          <w:color w:val="auto"/>
        </w:rPr>
      </w:pPr>
      <w:r>
        <w:rPr>
          <w:rFonts w:ascii="Arial" w:cs="Arial" w:eastAsia="Arial" w:hAnsi="Arial"/>
          <w:sz w:val="22"/>
          <w:szCs w:val="22"/>
          <w:color w:val="auto"/>
        </w:rPr>
        <w:t>Capitalized terms used but not defined herein shall have the meanings ascribed to them in the Sales Agreement.</w:t>
      </w:r>
    </w:p>
    <w:p>
      <w:pPr>
        <w:spacing w:after="0" w:line="200" w:lineRule="exact"/>
        <w:rPr>
          <w:sz w:val="20"/>
          <w:szCs w:val="20"/>
          <w:color w:val="auto"/>
        </w:rPr>
      </w:pPr>
    </w:p>
    <w:p>
      <w:pPr>
        <w:spacing w:after="0" w:line="240" w:lineRule="exact"/>
        <w:rPr>
          <w:sz w:val="20"/>
          <w:szCs w:val="20"/>
          <w:color w:val="auto"/>
        </w:rPr>
      </w:pPr>
    </w:p>
    <w:p>
      <w:pPr>
        <w:jc w:val="center"/>
        <w:ind w:left="3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19050</wp:posOffset>
            </wp:positionV>
            <wp:extent cx="32575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1"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Name:</w:t>
      </w:r>
    </w:p>
    <w:p>
      <w:pPr>
        <w:spacing w:after="0" w:line="31"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Title: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10795</wp:posOffset>
            </wp:positionV>
            <wp:extent cx="30943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30943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620" w:type="dxa"/>
            <w:vAlign w:val="bottom"/>
          </w:tcPr>
          <w:p>
            <w:pPr>
              <w:jc w:val="center"/>
              <w:ind w:right="3510"/>
              <w:spacing w:after="0"/>
              <w:rPr>
                <w:sz w:val="20"/>
                <w:szCs w:val="20"/>
                <w:color w:val="auto"/>
              </w:rPr>
            </w:pPr>
            <w:r>
              <w:rPr>
                <w:rFonts w:ascii="Times New Roman" w:cs="Times New Roman" w:eastAsia="Times New Roman" w:hAnsi="Times New Roman"/>
                <w:sz w:val="18"/>
                <w:szCs w:val="18"/>
                <w:b w:val="1"/>
                <w:bCs w:val="1"/>
                <w:color w:val="auto"/>
                <w:w w:val="99"/>
              </w:rPr>
              <w:t>Olema Pharmaceuticals, Inc.</w:t>
            </w:r>
          </w:p>
        </w:tc>
      </w:tr>
      <w:tr>
        <w:trPr>
          <w:trHeight w:val="238"/>
        </w:trPr>
        <w:tc>
          <w:tcPr>
            <w:tcW w:w="3620" w:type="dxa"/>
            <w:vAlign w:val="bottom"/>
          </w:tcPr>
          <w:p>
            <w:pPr>
              <w:spacing w:after="0"/>
              <w:rPr>
                <w:sz w:val="20"/>
                <w:szCs w:val="20"/>
                <w:color w:val="auto"/>
              </w:rPr>
            </w:pPr>
          </w:p>
        </w:tc>
        <w:tc>
          <w:tcPr>
            <w:tcW w:w="7620" w:type="dxa"/>
            <w:vAlign w:val="bottom"/>
          </w:tcPr>
          <w:p>
            <w:pPr>
              <w:jc w:val="center"/>
              <w:ind w:right="351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r>
      <w:tr>
        <w:trPr>
          <w:trHeight w:val="44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76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351"/>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Olema Oncology Australia PTY LTD</w:t>
            </w:r>
          </w:p>
        </w:tc>
        <w:tc>
          <w:tcPr>
            <w:tcW w:w="76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Australia</w:t>
            </w:r>
          </w:p>
        </w:tc>
      </w:tr>
      <w:tr>
        <w:trPr>
          <w:trHeight w:val="992"/>
        </w:trPr>
        <w:tc>
          <w:tcPr>
            <w:tcW w:w="362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85" w:lineRule="exact"/>
        <w:rPr>
          <w:sz w:val="20"/>
          <w:szCs w:val="20"/>
          <w:color w:val="auto"/>
        </w:rPr>
      </w:pPr>
    </w:p>
    <w:p>
      <w:pPr>
        <w:ind w:left="760" w:hanging="378"/>
        <w:spacing w:after="0"/>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S-3 (No.333-263117 and 333-276787) of Olema Pharmaceuticals, Inc. and</w:t>
      </w:r>
    </w:p>
    <w:p>
      <w:pPr>
        <w:spacing w:after="0" w:line="198"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 333-250209, 333-254403, 333-263114, and 333-270413) pertaining to the 2014 Stock Plan, 2020 Equity Incentive Plan, 2020 Employee Stock Purchase Plan, and the 2022 Inducement Plan of Olema Pharmaceuticals, Inc.</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of our report dated March 11, 2024, with respect to the consolidated financial statements of Olema Pharmaceuticals, Inc. included in this Annual Report (Form 10-K) of Olema Pharmaceuticals, Inc. for the year ended December 31, 2023.</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Bohen, M.D., Ph.D., certify that:</w:t>
      </w:r>
    </w:p>
    <w:p>
      <w:pPr>
        <w:spacing w:after="0" w:line="225" w:lineRule="exact"/>
        <w:rPr>
          <w:sz w:val="20"/>
          <w:szCs w:val="20"/>
          <w:color w:val="auto"/>
        </w:rPr>
      </w:pPr>
    </w:p>
    <w:p>
      <w:pPr>
        <w:ind w:left="380" w:hanging="372"/>
        <w:spacing w:after="0"/>
        <w:tabs>
          <w:tab w:leader="none" w:pos="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Olema Pharmaceuticals,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300" w:hanging="372"/>
        <w:spacing w:after="0" w:line="282" w:lineRule="auto"/>
        <w:tabs>
          <w:tab w:leader="none" w:pos="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March 11, 2024</w:t>
      </w:r>
      <w:r>
        <w:rPr>
          <w:sz w:val="20"/>
          <w:szCs w:val="20"/>
          <w:color w:val="auto"/>
        </w:rPr>
        <w:tab/>
      </w:r>
      <w:r>
        <w:rPr>
          <w:rFonts w:ascii="Times New Roman" w:cs="Times New Roman" w:eastAsia="Times New Roman" w:hAnsi="Times New Roman"/>
          <w:sz w:val="18"/>
          <w:szCs w:val="18"/>
          <w:color w:val="auto"/>
        </w:rPr>
        <w:t>By: /s/ Sean Bohen,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Sean Bohen, M.D., Ph.D.</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Shane Kovacs, certify that:</w:t>
      </w:r>
    </w:p>
    <w:p>
      <w:pPr>
        <w:spacing w:after="0" w:line="225" w:lineRule="exact"/>
        <w:rPr>
          <w:sz w:val="20"/>
          <w:szCs w:val="20"/>
          <w:color w:val="auto"/>
        </w:rPr>
      </w:pPr>
    </w:p>
    <w:p>
      <w:pPr>
        <w:ind w:left="380" w:hanging="372"/>
        <w:spacing w:after="0"/>
        <w:tabs>
          <w:tab w:leader="none" w:pos="3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Olema Pharmaceuticals,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300" w:hanging="372"/>
        <w:spacing w:after="0" w:line="282" w:lineRule="auto"/>
        <w:tabs>
          <w:tab w:leader="none" w:pos="3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March 11, 2024</w:t>
      </w:r>
      <w:r>
        <w:rPr>
          <w:sz w:val="20"/>
          <w:szCs w:val="20"/>
          <w:color w:val="auto"/>
        </w:rPr>
        <w:tab/>
      </w:r>
      <w:r>
        <w:rPr>
          <w:rFonts w:ascii="Times New Roman" w:cs="Times New Roman" w:eastAsia="Times New Roman" w:hAnsi="Times New Roman"/>
          <w:sz w:val="18"/>
          <w:szCs w:val="18"/>
          <w:color w:val="auto"/>
        </w:rPr>
        <w:t>By: /s/ Shane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Shane Kovacs</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Operating and Financial Officer</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Olema Pharmaceuticals, Inc. (the “Company”) on Form 10-K for the period ended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80" w:hanging="373"/>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80" w:right="600" w:hanging="373"/>
        <w:spacing w:after="0" w:line="282" w:lineRule="auto"/>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March 11, 2024</w:t>
      </w:r>
      <w:r>
        <w:rPr>
          <w:sz w:val="20"/>
          <w:szCs w:val="20"/>
          <w:color w:val="auto"/>
        </w:rPr>
        <w:tab/>
      </w:r>
      <w:r>
        <w:rPr>
          <w:rFonts w:ascii="Times New Roman" w:cs="Times New Roman" w:eastAsia="Times New Roman" w:hAnsi="Times New Roman"/>
          <w:sz w:val="18"/>
          <w:szCs w:val="18"/>
          <w:color w:val="auto"/>
        </w:rPr>
        <w:t>By: /s/ Sean Bohen,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Sean Bohen, M.D., Ph.D.</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Olema Pharmaceuticals, Inc. (the “Company”) on Form 10-K for the period ended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80" w:hanging="373"/>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80" w:right="600" w:hanging="373"/>
        <w:spacing w:after="0" w:line="282" w:lineRule="auto"/>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March 11, 2024</w:t>
      </w:r>
      <w:r>
        <w:rPr>
          <w:sz w:val="20"/>
          <w:szCs w:val="20"/>
          <w:color w:val="auto"/>
        </w:rPr>
        <w:tab/>
      </w:r>
      <w:r>
        <w:rPr>
          <w:rFonts w:ascii="Times New Roman" w:cs="Times New Roman" w:eastAsia="Times New Roman" w:hAnsi="Times New Roman"/>
          <w:sz w:val="18"/>
          <w:szCs w:val="18"/>
          <w:color w:val="auto"/>
        </w:rPr>
        <w:t>By: /s/ Shane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Shane Kovacs</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Operating and Financial Officer</w:t>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7"/>
          <w:szCs w:val="17"/>
          <w:b w:val="1"/>
          <w:bCs w:val="1"/>
          <w:color w:val="auto"/>
        </w:rPr>
        <w:t xml:space="preserve">  97.1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lema</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02"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0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The Compensation Committee (the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Olema Pharmaceuticals,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5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49" w:lineRule="exact"/>
        <w:rPr>
          <w:sz w:val="20"/>
          <w:szCs w:val="20"/>
          <w:color w:val="auto"/>
        </w:rPr>
      </w:pPr>
    </w:p>
    <w:p>
      <w:pPr>
        <w:ind w:left="520" w:hanging="512"/>
        <w:spacing w:after="0"/>
        <w:tabs>
          <w:tab w:leader="none" w:pos="52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202" w:lineRule="exact"/>
        <w:rPr>
          <w:sz w:val="20"/>
          <w:szCs w:val="20"/>
          <w:color w:val="auto"/>
        </w:rPr>
      </w:pPr>
    </w:p>
    <w:p>
      <w:pPr>
        <w:jc w:val="both"/>
        <w:ind w:firstLine="843"/>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207" w:name="page208"/>
    <w:bookmarkEnd w:id="207"/>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6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4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3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6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02"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ecoupment</w:t>
      </w:r>
    </w:p>
    <w:p>
      <w:pPr>
        <w:spacing w:after="0" w:line="202"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 Covered Officer (i) after beginning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8" w:name="page209"/>
    <w:bookmarkEnd w:id="208"/>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(b)Recoupment Generally. </w:t>
      </w:r>
      <w:r>
        <w:rPr>
          <w:rFonts w:ascii="Times New Roman" w:cs="Times New Roman" w:eastAsia="Times New Roman" w:hAnsi="Times New Roman"/>
          <w:sz w:val="20"/>
          <w:szCs w:val="20"/>
          <w:color w:val="auto"/>
        </w:rPr>
        <w:t>Pursuant to the provisions of this Policy, if there is an Accounting Restatement, the Company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65" w:lineRule="exact"/>
        <w:rPr>
          <w:sz w:val="20"/>
          <w:szCs w:val="20"/>
          <w:color w:val="auto"/>
        </w:rPr>
      </w:pPr>
    </w:p>
    <w:p>
      <w:pPr>
        <w:ind w:left="1020" w:hanging="263"/>
        <w:spacing w:after="0"/>
        <w:tabs>
          <w:tab w:leader="none" w:pos="1020"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192" w:lineRule="exact"/>
        <w:rPr>
          <w:rFonts w:ascii="Times New Roman" w:cs="Times New Roman" w:eastAsia="Times New Roman" w:hAnsi="Times New Roman"/>
          <w:sz w:val="20"/>
          <w:szCs w:val="20"/>
          <w:b w:val="1"/>
          <w:bCs w:val="1"/>
          <w:color w:val="auto"/>
        </w:rPr>
      </w:pPr>
    </w:p>
    <w:p>
      <w:pPr>
        <w:jc w:val="both"/>
        <w:ind w:left="760" w:firstLine="745"/>
        <w:spacing w:after="0" w:line="246" w:lineRule="auto"/>
        <w:tabs>
          <w:tab w:leader="none" w:pos="204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71"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5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(d)Sources of Recoupment. </w:t>
      </w:r>
      <w:r>
        <w:rPr>
          <w:rFonts w:ascii="Times New Roman" w:cs="Times New Roman" w:eastAsia="Times New Roman" w:hAnsi="Times New Roman"/>
          <w:sz w:val="20"/>
          <w:szCs w:val="20"/>
          <w:color w:val="auto"/>
        </w:rPr>
        <w:t>To the extent permitted by applicable law, the Administrator shall, in its sole discretion, determine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60" w:lineRule="exact"/>
        <w:rPr>
          <w:sz w:val="20"/>
          <w:szCs w:val="20"/>
          <w:color w:val="auto"/>
        </w:rPr>
      </w:pPr>
    </w:p>
    <w:p>
      <w:pPr>
        <w:jc w:val="both"/>
        <w:ind w:firstLine="757"/>
        <w:spacing w:after="0" w:line="250" w:lineRule="auto"/>
        <w:tabs>
          <w:tab w:leader="none" w:pos="1018"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62"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9" w:name="page210"/>
    <w:bookmarkEnd w:id="209"/>
    <w:p>
      <w:pPr>
        <w:jc w:val="both"/>
        <w:spacing w:after="0" w:line="249" w:lineRule="auto"/>
        <w:rPr>
          <w:sz w:val="20"/>
          <w:szCs w:val="20"/>
          <w:color w:val="auto"/>
        </w:rPr>
      </w:pPr>
      <w:r>
        <w:rPr>
          <w:rFonts w:ascii="Times New Roman" w:cs="Times New Roman" w:eastAsia="Times New Roman" w:hAnsi="Times New Roman"/>
          <w:sz w:val="20"/>
          <w:szCs w:val="20"/>
          <w:color w:val="auto"/>
        </w:rPr>
        <w:t>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62" w:lineRule="exact"/>
        <w:rPr>
          <w:sz w:val="20"/>
          <w:szCs w:val="20"/>
          <w:color w:val="auto"/>
        </w:rPr>
      </w:pPr>
    </w:p>
    <w:p>
      <w:pPr>
        <w:jc w:val="both"/>
        <w:ind w:firstLine="757"/>
        <w:spacing w:after="0" w:line="250" w:lineRule="auto"/>
        <w:tabs>
          <w:tab w:leader="none" w:pos="1018" w:val="left"/>
        </w:tabs>
        <w:numPr>
          <w:ilvl w:val="1"/>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“Good Reason” for Covered Officers. </w:t>
      </w:r>
      <w:r>
        <w:rPr>
          <w:rFonts w:ascii="Times New Roman" w:cs="Times New Roman" w:eastAsia="Times New Roman" w:hAnsi="Times New Roman"/>
          <w:sz w:val="20"/>
          <w:szCs w:val="20"/>
          <w:color w:val="auto"/>
        </w:rPr>
        <w:t>Any action by the Company to recoup or any recoupment of Recoverable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48"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72"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p>
    <w:p>
      <w:pPr>
        <w:spacing w:after="0" w:line="19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62"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mpairment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emedies</w:t>
      </w:r>
    </w:p>
    <w:p>
      <w:pPr>
        <w:spacing w:after="0" w:line="20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0" w:name="page211"/>
    <w:bookmarkEnd w:id="210"/>
    <w:p>
      <w:pPr>
        <w:ind w:left="520" w:hanging="512"/>
        <w:spacing w:after="0"/>
        <w:tabs>
          <w:tab w:leader="none" w:pos="520"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w:t>
      </w:r>
    </w:p>
    <w:p>
      <w:pPr>
        <w:spacing w:after="0" w:line="20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28" w:lineRule="exact"/>
        <w:rPr>
          <w:sz w:val="20"/>
          <w:szCs w:val="20"/>
          <w:color w:val="auto"/>
        </w:rPr>
      </w:pPr>
    </w:p>
    <w:p>
      <w:pPr>
        <w:ind w:left="520" w:hanging="512"/>
        <w:spacing w:after="0"/>
        <w:tabs>
          <w:tab w:leader="none" w:pos="52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w:t>
      </w:r>
    </w:p>
    <w:p>
      <w:pPr>
        <w:spacing w:after="0" w:line="20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42" w:lineRule="exact"/>
        <w:rPr>
          <w:sz w:val="20"/>
          <w:szCs w:val="20"/>
          <w:color w:val="auto"/>
        </w:rPr>
      </w:pPr>
    </w:p>
    <w:p>
      <w:pPr>
        <w:ind w:left="400" w:hanging="392"/>
        <w:spacing w:after="0"/>
        <w:tabs>
          <w:tab w:leader="none" w:pos="40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equired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ilings</w:t>
      </w:r>
    </w:p>
    <w:p>
      <w:pPr>
        <w:spacing w:after="0" w:line="193"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The Company shall make any disclosures and filings with respect to this Policy that are required by law, including as required by the SEC.</w:t>
      </w:r>
    </w:p>
    <w:p>
      <w:pPr>
        <w:spacing w:after="0" w:line="146" w:lineRule="exact"/>
        <w:rPr>
          <w:sz w:val="20"/>
          <w:szCs w:val="20"/>
          <w:color w:val="auto"/>
        </w:rPr>
      </w:pPr>
    </w:p>
    <w:p>
      <w:pPr>
        <w:jc w:val="center"/>
        <w:spacing w:after="0"/>
        <w:tabs>
          <w:tab w:leader="none" w:pos="280" w:val="left"/>
          <w:tab w:leader="none" w:pos="280" w:val="left"/>
          <w:tab w:leader="none" w:pos="280" w:val="left"/>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1" w:name="page212"/>
    <w:bookmarkEnd w:id="21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lema</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orm of</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xecutive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cknowledgment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 the undersigned, agree and acknowledge that I am bound by, and subject to, the Olema Pharmaceuticals, Inc. Incentive Compensation Recoupment Policy,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In the event of any inconsistency between the Policy and the terms of any employment agreement, offer letter or other individual agreement with Olema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2514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1365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2032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2032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1278890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-10795</wp:posOffset>
            </wp:positionV>
            <wp:extent cx="1987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2" w:name="page213"/>
    <w:bookmarkEnd w:id="2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1."/>
      <w:numFmt w:val="decimal"/>
      <w:start w:val="2"/>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1)"/>
      <w:numFmt w:val="decimal"/>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1)"/>
      <w:numFmt w:val="decimal"/>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1)"/>
      <w:numFmt w:val="decimal"/>
      <w:start w:val="4"/>
    </w:lvl>
  </w:abstractNum>
  <w:abstractNum w:abstractNumId="52">
    <w:nsid w:val="5FB8370B"/>
    <w:multiLevelType w:val="hybridMultilevel"/>
    <w:lvl w:ilvl="0">
      <w:lvlJc w:val="left"/>
      <w:lvlText w:val="(%1)"/>
      <w:numFmt w:val="decimal"/>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
      <w:numFmt w:val="bullet"/>
      <w:start w:val="1"/>
    </w:lvl>
  </w:abstractNum>
  <w:abstractNum w:abstractNumId="55">
    <w:nsid w:val="5FB8011C"/>
    <w:multiLevelType w:val="hybridMultilevel"/>
    <w:lvl w:ilvl="0">
      <w:lvlJc w:val="left"/>
      <w:lvlText w:val="%1."/>
      <w:numFmt w:val="decimal"/>
      <w:start w:val="1"/>
    </w:lvl>
  </w:abstractNum>
  <w:abstractNum w:abstractNumId="56">
    <w:nsid w:val="6AA78F7F"/>
    <w:multiLevelType w:val="hybridMultilevel"/>
    <w:lvl w:ilvl="0">
      <w:lvlJc w:val="left"/>
      <w:lvlText w:val="%1."/>
      <w:numFmt w:val="decimal"/>
      <w:start w:val="2"/>
    </w:lvl>
  </w:abstractNum>
  <w:abstractNum w:abstractNumId="57">
    <w:nsid w:val="7672BD23"/>
    <w:multiLevelType w:val="hybridMultilevel"/>
    <w:lvl w:ilvl="0">
      <w:lvlJc w:val="left"/>
      <w:lvlText w:val="%1."/>
      <w:numFmt w:val="decimal"/>
      <w:start w:val="3"/>
    </w:lvl>
  </w:abstractNum>
  <w:abstractNum w:abstractNumId="58">
    <w:nsid w:val="6FC75AF8"/>
    <w:multiLevelType w:val="hybridMultilevel"/>
    <w:lvl w:ilvl="0">
      <w:lvlJc w:val="left"/>
      <w:lvlText w:val="•"/>
      <w:numFmt w:val="bullet"/>
      <w:start w:val="1"/>
    </w:lvl>
  </w:abstractNum>
  <w:abstractNum w:abstractNumId="59">
    <w:nsid w:val="6A5F7029"/>
    <w:multiLevelType w:val="hybridMultilevel"/>
    <w:lvl w:ilvl="0">
      <w:lvlJc w:val="left"/>
      <w:lvlText w:val="(%1)"/>
      <w:numFmt w:val="decimal"/>
      <w:start w:val="1"/>
    </w:lvl>
  </w:abstractNum>
  <w:abstractNum w:abstractNumId="60">
    <w:nsid w:val="7D5E18F8"/>
    <w:multiLevelType w:val="hybridMultilevel"/>
    <w:lvl w:ilvl="0">
      <w:lvlJc w:val="left"/>
      <w:lvlText w:val="(%1)"/>
      <w:numFmt w:val="decimal"/>
      <w:start w:val="1"/>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1."/>
      <w:numFmt w:val="decimal"/>
      <w:start w:val="9"/>
    </w:lvl>
  </w:abstractNum>
  <w:abstractNum w:abstractNumId="63">
    <w:nsid w:val="7DE67713"/>
    <w:multiLevelType w:val="hybridMultilevel"/>
    <w:lvl w:ilvl="0">
      <w:lvlJc w:val="left"/>
      <w:lvlText w:val="(%1)"/>
      <w:numFmt w:val="lowerRoman"/>
      <w:start w:val="2"/>
    </w:lvl>
  </w:abstractNum>
  <w:abstractNum w:abstractNumId="64">
    <w:nsid w:val="555C55B5"/>
    <w:multiLevelType w:val="hybridMultilevel"/>
    <w:lvl w:ilvl="0">
      <w:lvlJc w:val="left"/>
      <w:lvlText w:val="(%1)"/>
      <w:numFmt w:val="lowerLetter"/>
      <w:start w:val="1"/>
    </w:lvl>
    <w:lvl w:ilvl="1">
      <w:lvlJc w:val="left"/>
      <w:lvlText w:val="%2."/>
      <w:numFmt w:val="decimal"/>
      <w:start w:val="1"/>
    </w:lvl>
  </w:abstractNum>
  <w:abstractNum w:abstractNumId="65">
    <w:nsid w:val="3FA62ACA"/>
    <w:multiLevelType w:val="hybridMultilevel"/>
    <w:lvl w:ilvl="0">
      <w:lvlJc w:val="left"/>
      <w:lvlText w:val="#"/>
      <w:numFmt w:val="bullet"/>
      <w:start w:val="1"/>
    </w:lvl>
  </w:abstractNum>
  <w:abstractNum w:abstractNumId="66">
    <w:nsid w:val="14FCE74E"/>
    <w:multiLevelType w:val="hybridMultilevel"/>
    <w:lvl w:ilvl="0">
      <w:lvlJc w:val="left"/>
      <w:lvlText w:val="†"/>
      <w:numFmt w:val="bullet"/>
      <w:start w:val="1"/>
    </w:lvl>
  </w:abstractNum>
  <w:abstractNum w:abstractNumId="67">
    <w:nsid w:val="6A3DD3E8"/>
    <w:multiLevelType w:val="hybridMultilevel"/>
    <w:lvl w:ilvl="0">
      <w:lvlJc w:val="left"/>
      <w:lvlText w:val="¥"/>
      <w:numFmt w:val="bullet"/>
      <w:start w:val="1"/>
    </w:lvl>
  </w:abstractNum>
  <w:abstractNum w:abstractNumId="68">
    <w:nsid w:val="71C91298"/>
    <w:multiLevelType w:val="hybridMultilevel"/>
    <w:lvl w:ilvl="0">
      <w:lvlJc w:val="left"/>
      <w:lvlText w:val="&amp;"/>
      <w:numFmt w:val="bullet"/>
      <w:start w:val="1"/>
    </w:lvl>
    <w:lvl w:ilvl="1">
      <w:lvlJc w:val="left"/>
      <w:lvlText w:val="%2."/>
      <w:numFmt w:val="decimal"/>
      <w:start w:val="1"/>
    </w:lvl>
  </w:abstractNum>
  <w:abstractNum w:abstractNumId="69">
    <w:nsid w:val="9DAF632"/>
    <w:multiLevelType w:val="hybridMultilevel"/>
    <w:lvl w:ilvl="0">
      <w:lvlJc w:val="left"/>
      <w:lvlText w:val="%1."/>
      <w:numFmt w:val="decimal"/>
      <w:start w:val="2"/>
    </w:lvl>
    <w:lvl w:ilvl="1">
      <w:lvlJc w:val="left"/>
      <w:lvlText w:val="-"/>
      <w:numFmt w:val="bullet"/>
      <w:start w:val="1"/>
    </w:lvl>
  </w:abstractNum>
  <w:abstractNum w:abstractNumId="70">
    <w:nsid w:val="53299938"/>
    <w:multiLevelType w:val="hybridMultilevel"/>
    <w:lvl w:ilvl="0">
      <w:lvlJc w:val="left"/>
      <w:lvlText w:val="%1"/>
      <w:numFmt w:val="lowerRoman"/>
      <w:start w:val="1"/>
    </w:lvl>
    <w:lvl w:ilvl="1">
      <w:lvlJc w:val="left"/>
      <w:lvlText w:val="%2."/>
      <w:numFmt w:val="decimal"/>
      <w:start w:val="3"/>
    </w:lvl>
  </w:abstractNum>
  <w:abstractNum w:abstractNumId="71">
    <w:nsid w:val="1FBFE8E0"/>
    <w:multiLevelType w:val="hybridMultilevel"/>
    <w:lvl w:ilvl="0">
      <w:lvlJc w:val="left"/>
      <w:lvlText w:val="(%1)"/>
      <w:numFmt w:val="lowerRoman"/>
      <w:start w:val="1"/>
    </w:lvl>
    <w:lvl w:ilvl="1">
      <w:lvlJc w:val="left"/>
      <w:lvlText w:val="%2"/>
      <w:numFmt w:val="decimal"/>
      <w:start w:val="1"/>
    </w:lvl>
  </w:abstractNum>
  <w:abstractNum w:abstractNumId="72">
    <w:nsid w:val="5092CA79"/>
    <w:multiLevelType w:val="hybridMultilevel"/>
    <w:lvl w:ilvl="0">
      <w:lvlJc w:val="left"/>
      <w:lvlText w:val="%1."/>
      <w:numFmt w:val="decimal"/>
      <w:start w:val="4"/>
    </w:lvl>
  </w:abstractNum>
  <w:abstractNum w:abstractNumId="73">
    <w:nsid w:val="1D545C4D"/>
    <w:multiLevelType w:val="hybridMultilevel"/>
    <w:lvl w:ilvl="0">
      <w:lvlJc w:val="left"/>
      <w:lvlText w:val="(%1)"/>
      <w:numFmt w:val="lowerLetter"/>
      <w:start w:val="1"/>
    </w:lvl>
  </w:abstractNum>
  <w:abstractNum w:abstractNumId="74">
    <w:nsid w:val="59ADEA3D"/>
    <w:multiLevelType w:val="hybridMultilevel"/>
    <w:lvl w:ilvl="0">
      <w:lvlJc w:val="left"/>
      <w:lvlText w:val="%1."/>
      <w:numFmt w:val="decimal"/>
      <w:start w:val="5"/>
    </w:lvl>
  </w:abstractNum>
  <w:abstractNum w:abstractNumId="75">
    <w:nsid w:val="288F1A34"/>
    <w:multiLevelType w:val="hybridMultilevel"/>
    <w:lvl w:ilvl="0">
      <w:lvlJc w:val="left"/>
      <w:lvlText w:val="(%1)"/>
      <w:numFmt w:val="lowerLetter"/>
      <w:start w:val="1"/>
    </w:lvl>
    <w:lvl w:ilvl="1">
      <w:lvlJc w:val="left"/>
      <w:lvlText w:val="-"/>
      <w:numFmt w:val="bullet"/>
      <w:start w:val="1"/>
    </w:lvl>
  </w:abstractNum>
  <w:abstractNum w:abstractNumId="76">
    <w:nsid w:val="2A155DBC"/>
    <w:multiLevelType w:val="hybridMultilevel"/>
    <w:lvl w:ilvl="0">
      <w:lvlJc w:val="left"/>
      <w:lvlText w:val="(%1)"/>
      <w:numFmt w:val="lowerLetter"/>
      <w:start w:val="2"/>
    </w:lvl>
  </w:abstractNum>
  <w:abstractNum w:abstractNumId="77">
    <w:nsid w:val="1D9F6E5F"/>
    <w:multiLevelType w:val="hybridMultilevel"/>
    <w:lvl w:ilvl="0">
      <w:lvlJc w:val="left"/>
      <w:lvlText w:val="%1."/>
      <w:numFmt w:val="decimal"/>
      <w:start w:val="6"/>
    </w:lvl>
  </w:abstractNum>
  <w:abstractNum w:abstractNumId="78">
    <w:nsid w:val="97E1B4E"/>
    <w:multiLevelType w:val="hybridMultilevel"/>
    <w:lvl w:ilvl="0">
      <w:lvlJc w:val="left"/>
      <w:lvlText w:val="(%1)"/>
      <w:numFmt w:val="lowerLetter"/>
      <w:start w:val="1"/>
    </w:lvl>
    <w:lvl w:ilvl="1">
      <w:lvlJc w:val="left"/>
      <w:lvlText w:val="-"/>
      <w:numFmt w:val="bullet"/>
      <w:start w:val="1"/>
    </w:lvl>
  </w:abstractNum>
  <w:abstractNum w:abstractNumId="79">
    <w:nsid w:val="51088277"/>
    <w:multiLevelType w:val="hybridMultilevel"/>
    <w:lvl w:ilvl="0">
      <w:lvlJc w:val="left"/>
      <w:lvlText w:val="(%1)"/>
      <w:numFmt w:val="lowerLetter"/>
      <w:start w:val="3"/>
    </w:lvl>
    <w:lvl w:ilvl="1">
      <w:lvlJc w:val="left"/>
      <w:lvlText w:val="-"/>
      <w:numFmt w:val="bullet"/>
      <w:start w:val="1"/>
    </w:lvl>
  </w:abstractNum>
  <w:abstractNum w:abstractNumId="80">
    <w:nsid w:val="1CA0C5FA"/>
    <w:multiLevelType w:val="hybridMultilevel"/>
    <w:lvl w:ilvl="0">
      <w:lvlJc w:val="left"/>
      <w:lvlText w:val="(%1)"/>
      <w:numFmt w:val="lowerLetter"/>
      <w:start w:val="11"/>
    </w:lvl>
    <w:lvl w:ilvl="1">
      <w:lvlJc w:val="left"/>
      <w:lvlText w:val="-"/>
      <w:numFmt w:val="bullet"/>
      <w:start w:val="1"/>
    </w:lvl>
  </w:abstractNum>
  <w:abstractNum w:abstractNumId="81">
    <w:nsid w:val="53584BCB"/>
    <w:multiLevelType w:val="hybridMultilevel"/>
    <w:lvl w:ilvl="0">
      <w:lvlJc w:val="left"/>
      <w:lvlText w:val="(%1)"/>
      <w:numFmt w:val="lowerLetter"/>
      <w:start w:val="14"/>
    </w:lvl>
    <w:lvl w:ilvl="1">
      <w:lvlJc w:val="left"/>
      <w:lvlText w:val="-"/>
      <w:numFmt w:val="bullet"/>
      <w:start w:val="1"/>
    </w:lvl>
  </w:abstractNum>
  <w:abstractNum w:abstractNumId="82">
    <w:nsid w:val="415E286C"/>
    <w:multiLevelType w:val="hybridMultilevel"/>
    <w:lvl w:ilvl="0">
      <w:lvlJc w:val="left"/>
      <w:lvlText w:val="(%1)"/>
      <w:numFmt w:val="lowerLetter"/>
      <w:start w:val="18"/>
    </w:lvl>
    <w:lvl w:ilvl="1">
      <w:lvlJc w:val="left"/>
      <w:lvlText w:val="-"/>
      <w:numFmt w:val="bullet"/>
      <w:start w:val="1"/>
    </w:lvl>
  </w:abstractNum>
  <w:abstractNum w:abstractNumId="83">
    <w:nsid w:val="7C58FD05"/>
    <w:multiLevelType w:val="hybridMultilevel"/>
    <w:lvl w:ilvl="0">
      <w:lvlJc w:val="left"/>
      <w:lvlText w:val="(%1)"/>
      <w:numFmt w:val="lowerLetter"/>
      <w:start w:val="22"/>
    </w:lvl>
    <w:lvl w:ilvl="1">
      <w:lvlJc w:val="left"/>
      <w:lvlText w:val="-"/>
      <w:numFmt w:val="bullet"/>
      <w:start w:val="1"/>
    </w:lvl>
  </w:abstractNum>
  <w:abstractNum w:abstractNumId="84">
    <w:nsid w:val="23D86AAC"/>
    <w:multiLevelType w:val="hybridMultilevel"/>
    <w:lvl w:ilvl="0">
      <w:lvlJc w:val="left"/>
      <w:lvlText w:val="(%1)"/>
      <w:numFmt w:val="lowerLetter"/>
      <w:start w:val="26"/>
    </w:lvl>
  </w:abstractNum>
  <w:abstractNum w:abstractNumId="85">
    <w:nsid w:val="45E6D486"/>
    <w:multiLevelType w:val="hybridMultilevel"/>
    <w:lvl w:ilvl="0">
      <w:lvlJc w:val="left"/>
      <w:lvlText w:val="(%1)"/>
      <w:numFmt w:val="lowerLetter"/>
      <w:start w:val="27"/>
    </w:lvl>
    <w:lvl w:ilvl="1">
      <w:lvlJc w:val="left"/>
      <w:lvlText w:val="-"/>
      <w:numFmt w:val="bullet"/>
      <w:start w:val="1"/>
    </w:lvl>
  </w:abstractNum>
  <w:abstractNum w:abstractNumId="86">
    <w:nsid w:val="5C10FE21"/>
    <w:multiLevelType w:val="hybridMultilevel"/>
    <w:lvl w:ilvl="0">
      <w:lvlJc w:val="left"/>
      <w:lvlText w:val="(%1)"/>
      <w:numFmt w:val="lowerLetter"/>
      <w:start w:val="29"/>
    </w:lvl>
    <w:lvl w:ilvl="1">
      <w:lvlJc w:val="left"/>
      <w:lvlText w:val="-"/>
      <w:numFmt w:val="bullet"/>
      <w:start w:val="1"/>
    </w:lvl>
  </w:abstractNum>
  <w:abstractNum w:abstractNumId="87">
    <w:nsid w:val="E7FFA2B"/>
    <w:multiLevelType w:val="hybridMultilevel"/>
    <w:lvl w:ilvl="0">
      <w:lvlJc w:val="left"/>
      <w:lvlText w:val="(%1)"/>
      <w:numFmt w:val="lowerLetter"/>
      <w:start w:val="34"/>
    </w:lvl>
    <w:lvl w:ilvl="1">
      <w:lvlJc w:val="left"/>
      <w:lvlText w:val="-"/>
      <w:numFmt w:val="bullet"/>
      <w:start w:val="1"/>
    </w:lvl>
  </w:abstractNum>
  <w:abstractNum w:abstractNumId="88">
    <w:nsid w:val="3C5991AA"/>
    <w:multiLevelType w:val="hybridMultilevel"/>
    <w:lvl w:ilvl="0">
      <w:lvlJc w:val="left"/>
      <w:lvlText w:val="(%1)"/>
      <w:numFmt w:val="lowerLetter"/>
      <w:start w:val="37"/>
    </w:lvl>
    <w:lvl w:ilvl="1">
      <w:lvlJc w:val="left"/>
      <w:lvlText w:val="-"/>
      <w:numFmt w:val="bullet"/>
      <w:start w:val="1"/>
    </w:lvl>
  </w:abstractNum>
  <w:abstractNum w:abstractNumId="89">
    <w:nsid w:val="4BD8591A"/>
    <w:multiLevelType w:val="hybridMultilevel"/>
    <w:lvl w:ilvl="0">
      <w:lvlJc w:val="left"/>
      <w:lvlText w:val="(%1)"/>
      <w:numFmt w:val="lowerLetter"/>
      <w:start w:val="40"/>
    </w:lvl>
    <w:lvl w:ilvl="1">
      <w:lvlJc w:val="left"/>
      <w:lvlText w:val="-"/>
      <w:numFmt w:val="bullet"/>
      <w:start w:val="1"/>
    </w:lvl>
  </w:abstractNum>
  <w:abstractNum w:abstractNumId="90">
    <w:nsid w:val="78DF6A55"/>
    <w:multiLevelType w:val="hybridMultilevel"/>
    <w:lvl w:ilvl="0">
      <w:lvlJc w:val="left"/>
      <w:lvlText w:val="(%1)"/>
      <w:numFmt w:val="lowerLetter"/>
      <w:start w:val="42"/>
    </w:lvl>
    <w:lvl w:ilvl="1">
      <w:lvlJc w:val="left"/>
      <w:lvlText w:val="-"/>
      <w:numFmt w:val="bullet"/>
      <w:start w:val="1"/>
    </w:lvl>
  </w:abstractNum>
  <w:abstractNum w:abstractNumId="91">
    <w:nsid w:val="39B7AAA2"/>
    <w:multiLevelType w:val="hybridMultilevel"/>
    <w:lvl w:ilvl="0">
      <w:lvlJc w:val="left"/>
      <w:lvlText w:val="(%1)"/>
      <w:numFmt w:val="lowerLetter"/>
      <w:start w:val="48"/>
    </w:lvl>
  </w:abstractNum>
  <w:abstractNum w:abstractNumId="92">
    <w:nsid w:val="2B0D8DBE"/>
    <w:multiLevelType w:val="hybridMultilevel"/>
    <w:lvl w:ilvl="0">
      <w:lvlJc w:val="left"/>
      <w:lvlText w:val="(%1)"/>
      <w:numFmt w:val="lowerLetter"/>
      <w:start w:val="53"/>
    </w:lvl>
    <w:lvl w:ilvl="1">
      <w:lvlJc w:val="left"/>
      <w:lvlText w:val="-"/>
      <w:numFmt w:val="bullet"/>
      <w:start w:val="1"/>
    </w:lvl>
  </w:abstractNum>
  <w:abstractNum w:abstractNumId="93">
    <w:nsid w:val="6C80EC70"/>
    <w:multiLevelType w:val="hybridMultilevel"/>
    <w:lvl w:ilvl="0">
      <w:lvlJc w:val="left"/>
      <w:lvlText w:val="(%1)"/>
      <w:numFmt w:val="lowerLetter"/>
      <w:start w:val="54"/>
    </w:lvl>
  </w:abstractNum>
  <w:abstractNum w:abstractNumId="94">
    <w:nsid w:val="379E21B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5">
    <w:nsid w:val="69E373"/>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96">
    <w:nsid w:val="2C27173B"/>
    <w:multiLevelType w:val="hybridMultilevel"/>
    <w:lvl w:ilvl="0">
      <w:lvlJc w:val="left"/>
      <w:lvlText w:val="(%1)"/>
      <w:numFmt w:val="lowerLetter"/>
      <w:start w:val="22"/>
    </w:lvl>
    <w:lvl w:ilvl="1">
      <w:lvlJc w:val="left"/>
      <w:lvlText w:val="(%2)"/>
      <w:numFmt w:val="lowerLetter"/>
      <w:start w:val="2"/>
    </w:lvl>
    <w:lvl w:ilvl="2">
      <w:lvlJc w:val="left"/>
      <w:lvlText w:val="-"/>
      <w:numFmt w:val="bullet"/>
      <w:start w:val="1"/>
    </w:lvl>
  </w:abstractNum>
  <w:abstractNum w:abstractNumId="97">
    <w:nsid w:val="4C9B0904"/>
    <w:multiLevelType w:val="hybridMultilevel"/>
    <w:lvl w:ilvl="0">
      <w:lvlJc w:val="left"/>
      <w:lvlText w:val="(%1)"/>
      <w:numFmt w:val="lowerLetter"/>
      <w:start w:val="5"/>
    </w:lvl>
    <w:lvl w:ilvl="1">
      <w:lvlJc w:val="left"/>
      <w:lvlText w:val="-"/>
      <w:numFmt w:val="bullet"/>
      <w:start w:val="1"/>
    </w:lvl>
  </w:abstractNum>
  <w:abstractNum w:abstractNumId="98">
    <w:nsid w:val="6AA7B75C"/>
    <w:multiLevelType w:val="hybridMultilevel"/>
    <w:lvl w:ilvl="0">
      <w:lvlJc w:val="left"/>
      <w:lvlText w:val="(%1)"/>
      <w:numFmt w:val="lowerLetter"/>
      <w:start w:val="10"/>
    </w:lvl>
    <w:lvl w:ilvl="1">
      <w:lvlJc w:val="left"/>
      <w:lvlText w:val="-"/>
      <w:numFmt w:val="bullet"/>
      <w:start w:val="1"/>
    </w:lvl>
  </w:abstractNum>
  <w:abstractNum w:abstractNumId="99">
    <w:nsid w:val="1DF029D3"/>
    <w:multiLevelType w:val="hybridMultilevel"/>
    <w:lvl w:ilvl="0">
      <w:lvlJc w:val="left"/>
      <w:lvlText w:val="(%1)"/>
      <w:numFmt w:val="lowerLetter"/>
      <w:start w:val="13"/>
    </w:lvl>
    <w:lvl w:ilvl="1">
      <w:lvlJc w:val="left"/>
      <w:lvlText w:val="-"/>
      <w:numFmt w:val="bullet"/>
      <w:start w:val="1"/>
    </w:lvl>
  </w:abstractNum>
  <w:abstractNum w:abstractNumId="100">
    <w:nsid w:val="5675FF36"/>
    <w:multiLevelType w:val="hybridMultilevel"/>
    <w:lvl w:ilvl="0">
      <w:lvlJc w:val="left"/>
      <w:lvlText w:val="(%1)"/>
      <w:numFmt w:val="lowerLetter"/>
      <w:start w:val="16"/>
    </w:lvl>
    <w:lvl w:ilvl="1">
      <w:lvlJc w:val="left"/>
      <w:lvlText w:val="-"/>
      <w:numFmt w:val="bullet"/>
      <w:start w:val="1"/>
    </w:lvl>
  </w:abstractNum>
  <w:abstractNum w:abstractNumId="101">
    <w:nsid w:val="3DD15094"/>
    <w:multiLevelType w:val="hybridMultilevel"/>
    <w:lvl w:ilvl="0">
      <w:lvlJc w:val="left"/>
      <w:lvlText w:val="(%1)"/>
      <w:numFmt w:val="lowerLetter"/>
      <w:start w:val="22"/>
    </w:lvl>
  </w:abstractNum>
  <w:abstractNum w:abstractNumId="102">
    <w:nsid w:val="3DB012B3"/>
    <w:multiLevelType w:val="hybridMultilevel"/>
    <w:lvl w:ilvl="0">
      <w:lvlJc w:val="left"/>
      <w:lvlText w:val="%1."/>
      <w:numFmt w:val="decimal"/>
      <w:start w:val="8"/>
    </w:lvl>
  </w:abstractNum>
  <w:abstractNum w:abstractNumId="103">
    <w:nsid w:val="2708C9A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04">
    <w:nsid w:val="5B25ACE2"/>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105">
    <w:nsid w:val="175DFCF0"/>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06">
    <w:nsid w:val="4F97E3E4"/>
    <w:multiLevelType w:val="hybridMultilevel"/>
    <w:lvl w:ilvl="0">
      <w:lvlJc w:val="left"/>
      <w:lvlText w:val="(%1)"/>
      <w:numFmt w:val="lowerLetter"/>
      <w:start w:val="3"/>
    </w:lvl>
    <w:lvl w:ilvl="1">
      <w:lvlJc w:val="left"/>
      <w:lvlText w:val="-"/>
      <w:numFmt w:val="bullet"/>
      <w:start w:val="1"/>
    </w:lvl>
  </w:abstractNum>
  <w:abstractNum w:abstractNumId="107">
    <w:nsid w:val="53B0A9E"/>
    <w:multiLevelType w:val="hybridMultilevel"/>
    <w:lvl w:ilvl="0">
      <w:lvlJc w:val="left"/>
      <w:lvlText w:val="%1"/>
      <w:numFmt w:val="lowerLetter"/>
      <w:start w:val="1"/>
    </w:lvl>
    <w:lvl w:ilvl="1">
      <w:lvlJc w:val="left"/>
      <w:lvlText w:val="(%2)"/>
      <w:numFmt w:val="lowerLetter"/>
      <w:start w:val="8"/>
    </w:lvl>
  </w:abstractNum>
  <w:abstractNum w:abstractNumId="108">
    <w:nsid w:val="34FD6B4F"/>
    <w:multiLevelType w:val="hybridMultilevel"/>
    <w:lvl w:ilvl="0">
      <w:lvlJc w:val="left"/>
      <w:lvlText w:val="(%1)"/>
      <w:numFmt w:val="lowerLetter"/>
      <w:start w:val="35"/>
    </w:lvl>
    <w:lvl w:ilvl="1">
      <w:lvlJc w:val="left"/>
      <w:lvlText w:val="(%2)"/>
      <w:numFmt w:val="lowerLetter"/>
      <w:start w:val="15"/>
    </w:lvl>
  </w:abstractNum>
  <w:abstractNum w:abstractNumId="109">
    <w:nsid w:val="5915FF32"/>
    <w:multiLevelType w:val="hybridMultilevel"/>
    <w:lvl w:ilvl="0">
      <w:lvlJc w:val="left"/>
      <w:lvlText w:val="%1."/>
      <w:numFmt w:val="decimal"/>
      <w:start w:val="9"/>
    </w:lvl>
  </w:abstractNum>
  <w:abstractNum w:abstractNumId="110">
    <w:nsid w:val="56438D15"/>
    <w:multiLevelType w:val="hybridMultilevel"/>
    <w:lvl w:ilvl="0">
      <w:lvlJc w:val="left"/>
      <w:lvlText w:val="(%1)"/>
      <w:numFmt w:val="lowerLetter"/>
      <w:start w:val="1"/>
    </w:lvl>
    <w:lvl w:ilvl="1">
      <w:lvlJc w:val="left"/>
      <w:lvlText w:val="-"/>
      <w:numFmt w:val="bullet"/>
      <w:start w:val="1"/>
    </w:lvl>
  </w:abstractNum>
  <w:abstractNum w:abstractNumId="111">
    <w:nsid w:val="519E3149"/>
    <w:multiLevelType w:val="hybridMultilevel"/>
    <w:lvl w:ilvl="0">
      <w:lvlJc w:val="left"/>
      <w:lvlText w:val="(%1)"/>
      <w:numFmt w:val="lowerLetter"/>
      <w:start w:val="2"/>
    </w:lvl>
    <w:lvl w:ilvl="1">
      <w:lvlJc w:val="left"/>
      <w:lvlText w:val="-"/>
      <w:numFmt w:val="bullet"/>
      <w:start w:val="1"/>
    </w:lvl>
  </w:abstractNum>
  <w:abstractNum w:abstractNumId="112">
    <w:nsid w:val="2C6E4AFD"/>
    <w:multiLevelType w:val="hybridMultilevel"/>
    <w:lvl w:ilvl="0">
      <w:lvlJc w:val="left"/>
      <w:lvlText w:val="(%1)"/>
      <w:numFmt w:val="lowerLetter"/>
      <w:start w:val="4"/>
    </w:lvl>
    <w:lvl w:ilvl="1">
      <w:lvlJc w:val="left"/>
      <w:lvlText w:val="-"/>
      <w:numFmt w:val="bullet"/>
      <w:start w:val="1"/>
    </w:lvl>
  </w:abstractNum>
  <w:abstractNum w:abstractNumId="113">
    <w:nsid w:val="17A1B582"/>
    <w:multiLevelType w:val="hybridMultilevel"/>
    <w:lvl w:ilvl="0">
      <w:lvlJc w:val="left"/>
      <w:lvlText w:val="%1."/>
      <w:numFmt w:val="decimal"/>
      <w:start w:val="10"/>
    </w:lvl>
  </w:abstractNum>
  <w:abstractNum w:abstractNumId="114">
    <w:nsid w:val="4DF72E4E"/>
    <w:multiLevelType w:val="hybridMultilevel"/>
    <w:lvl w:ilvl="0">
      <w:lvlJc w:val="left"/>
      <w:lvlText w:val="(%1)"/>
      <w:numFmt w:val="lowerLetter"/>
      <w:start w:val="1"/>
    </w:lvl>
    <w:lvl w:ilvl="1">
      <w:lvlJc w:val="left"/>
      <w:lvlText w:val="-"/>
      <w:numFmt w:val="bullet"/>
      <w:start w:val="1"/>
    </w:lvl>
  </w:abstractNum>
  <w:abstractNum w:abstractNumId="115">
    <w:nsid w:val="5046B5A9"/>
    <w:multiLevelType w:val="hybridMultilevel"/>
    <w:lvl w:ilvl="0">
      <w:lvlJc w:val="left"/>
      <w:lvlText w:val="(%1)"/>
      <w:numFmt w:val="lowerLetter"/>
      <w:start w:val="3"/>
    </w:lvl>
  </w:abstractNum>
  <w:abstractNum w:abstractNumId="116">
    <w:nsid w:val="5D888A08"/>
    <w:multiLevelType w:val="hybridMultilevel"/>
    <w:lvl w:ilvl="0">
      <w:lvlJc w:val="left"/>
      <w:lvlText w:val="%1."/>
      <w:numFmt w:val="decimal"/>
      <w:start w:val="12"/>
    </w:lvl>
  </w:abstractNum>
  <w:abstractNum w:abstractNumId="117">
    <w:nsid w:val="2A082C70"/>
    <w:multiLevelType w:val="hybridMultilevel"/>
    <w:lvl w:ilvl="0">
      <w:lvlJc w:val="left"/>
      <w:lvlText w:val="%1."/>
      <w:numFmt w:val="decimal"/>
      <w:start w:val="13"/>
    </w:lvl>
    <w:lvl w:ilvl="1">
      <w:lvlJc w:val="left"/>
      <w:lvlText w:val="-"/>
      <w:numFmt w:val="bullet"/>
      <w:start w:val="1"/>
    </w:lvl>
  </w:abstractNum>
  <w:abstractNum w:abstractNumId="118">
    <w:nsid w:val="5EC6AFD4"/>
    <w:multiLevelType w:val="hybridMultilevel"/>
    <w:lvl w:ilvl="0">
      <w:lvlJc w:val="left"/>
      <w:lvlText w:val="%1."/>
      <w:numFmt w:val="decimal"/>
      <w:start w:val="15"/>
    </w:lvl>
  </w:abstractNum>
  <w:abstractNum w:abstractNumId="119">
    <w:nsid w:val="19E21BB2"/>
    <w:multiLevelType w:val="hybridMultilevel"/>
    <w:lvl w:ilvl="0">
      <w:lvlJc w:val="left"/>
      <w:lvlText w:val="(%1)"/>
      <w:numFmt w:val="lowerLetter"/>
      <w:start w:val="1"/>
    </w:lvl>
    <w:lvl w:ilvl="1">
      <w:lvlJc w:val="left"/>
      <w:lvlText w:val="-"/>
      <w:numFmt w:val="bullet"/>
      <w:start w:val="1"/>
    </w:lvl>
  </w:abstractNum>
  <w:abstractNum w:abstractNumId="120">
    <w:nsid w:val="75E0858A"/>
    <w:multiLevelType w:val="hybridMultilevel"/>
    <w:lvl w:ilvl="0">
      <w:lvlJc w:val="left"/>
      <w:lvlText w:val="%1."/>
      <w:numFmt w:val="decimal"/>
      <w:start w:val="19"/>
    </w:lvl>
  </w:abstractNum>
  <w:abstractNum w:abstractNumId="121">
    <w:nsid w:val="57A61A29"/>
    <w:multiLevelType w:val="hybridMultilevel"/>
    <w:lvl w:ilvl="0">
      <w:lvlJc w:val="left"/>
      <w:lvlText w:val="(%1)"/>
      <w:numFmt w:val="lowerRoman"/>
      <w:start w:val="1"/>
    </w:lvl>
  </w:abstractNum>
  <w:abstractNum w:abstractNumId="122">
    <w:nsid w:val="5399C654"/>
    <w:multiLevelType w:val="hybridMultilevel"/>
    <w:lvl w:ilvl="0">
      <w:lvlJc w:val="left"/>
      <w:lvlText w:val="(%1)"/>
      <w:numFmt w:val="decimal"/>
      <w:start w:val="1"/>
    </w:lvl>
  </w:abstractNum>
  <w:abstractNum w:abstractNumId="123">
    <w:nsid w:val="20EE1348"/>
    <w:multiLevelType w:val="hybridMultilevel"/>
    <w:lvl w:ilvl="0">
      <w:lvlJc w:val="left"/>
      <w:lvlText w:val="%1."/>
      <w:numFmt w:val="decimal"/>
      <w:start w:val="1"/>
    </w:lvl>
    <w:lvl w:ilvl="1">
      <w:lvlJc w:val="left"/>
      <w:lvlText w:val="(%2)"/>
      <w:numFmt w:val="lowerLetter"/>
      <w:start w:val="1"/>
    </w:lvl>
  </w:abstractNum>
  <w:abstractNum w:abstractNumId="124">
    <w:nsid w:val="4427069A"/>
    <w:multiLevelType w:val="hybridMultilevel"/>
    <w:lvl w:ilvl="0">
      <w:lvlJc w:val="left"/>
      <w:lvlText w:val="%1."/>
      <w:numFmt w:val="decimal"/>
      <w:start w:val="1"/>
    </w:lvl>
    <w:lvl w:ilvl="1">
      <w:lvlJc w:val="left"/>
      <w:lvlText w:val="(%2)"/>
      <w:numFmt w:val="lowerLetter"/>
      <w:start w:val="1"/>
    </w:lvl>
  </w:abstractNum>
  <w:abstractNum w:abstractNumId="125">
    <w:nsid w:val="B37E80A"/>
    <w:multiLevelType w:val="hybridMultilevel"/>
    <w:lvl w:ilvl="0">
      <w:lvlJc w:val="left"/>
      <w:lvlText w:val="(%1)"/>
      <w:numFmt w:val="decimal"/>
      <w:start w:val="1"/>
    </w:lvl>
  </w:abstractNum>
  <w:abstractNum w:abstractNumId="126">
    <w:nsid w:val="2157F6BC"/>
    <w:multiLevelType w:val="hybridMultilevel"/>
    <w:lvl w:ilvl="0">
      <w:lvlJc w:val="left"/>
      <w:lvlText w:val="(%1)"/>
      <w:numFmt w:val="decimal"/>
      <w:start w:val="1"/>
    </w:lvl>
  </w:abstractNum>
  <w:abstractNum w:abstractNumId="127">
    <w:nsid w:val="704E1DD5"/>
    <w:multiLevelType w:val="hybridMultilevel"/>
    <w:lvl w:ilvl="0">
      <w:lvlJc w:val="left"/>
      <w:lvlText w:val="%1."/>
      <w:numFmt w:val="decimal"/>
      <w:start w:val="1"/>
    </w:lvl>
  </w:abstractNum>
  <w:abstractNum w:abstractNumId="128">
    <w:nsid w:val="57D2F10E"/>
    <w:multiLevelType w:val="hybridMultilevel"/>
    <w:lvl w:ilvl="0">
      <w:lvlJc w:val="left"/>
      <w:lvlText w:val="%1."/>
      <w:numFmt w:val="decimal"/>
      <w:start w:val="2"/>
    </w:lvl>
  </w:abstractNum>
  <w:abstractNum w:abstractNumId="129">
    <w:nsid w:val="BFFAE18"/>
    <w:multiLevelType w:val="hybridMultilevel"/>
    <w:lvl w:ilvl="0">
      <w:lvlJc w:val="left"/>
      <w:lvlText w:val="%1."/>
      <w:numFmt w:val="decimal"/>
      <w:start w:val="3"/>
    </w:lvl>
  </w:abstractNum>
  <w:abstractNum w:abstractNumId="130">
    <w:nsid w:val="E3E47A8"/>
    <w:multiLevelType w:val="hybridMultilevel"/>
    <w:lvl w:ilvl="0">
      <w:lvlJc w:val="left"/>
      <w:lvlText w:val="%1."/>
      <w:numFmt w:val="decimal"/>
      <w:start w:val="4"/>
    </w:lvl>
    <w:lvl w:ilvl="1">
      <w:lvlJc w:val="left"/>
      <w:lvlText w:val="(%2)"/>
      <w:numFmt w:val="lowerLetter"/>
      <w:start w:val="1"/>
    </w:lvl>
  </w:abstractNum>
  <w:abstractNum w:abstractNumId="131">
    <w:nsid w:val="2E48F044"/>
    <w:multiLevelType w:val="hybridMultilevel"/>
    <w:lvl w:ilvl="0">
      <w:lvlJc w:val="left"/>
      <w:lvlText w:val="(%1)"/>
      <w:numFmt w:val="lowerLetter"/>
      <w:start w:val="3"/>
    </w:lvl>
    <w:lvl w:ilvl="1">
      <w:lvlJc w:val="left"/>
      <w:lvlText w:val="(%2)"/>
      <w:numFmt w:val="lowerRoman"/>
      <w:start w:val="1"/>
    </w:lvl>
  </w:abstractNum>
  <w:abstractNum w:abstractNumId="132">
    <w:nsid w:val="49D0FEAC"/>
    <w:multiLevelType w:val="hybridMultilevel"/>
    <w:lvl w:ilvl="0">
      <w:lvlJc w:val="left"/>
      <w:lvlText w:val="(%1)"/>
      <w:numFmt w:val="lowerLetter"/>
      <w:start w:val="5"/>
    </w:lvl>
  </w:abstractNum>
  <w:abstractNum w:abstractNumId="133">
    <w:nsid w:val="4BEE5A5B"/>
    <w:multiLevelType w:val="hybridMultilevel"/>
    <w:lvl w:ilvl="0">
      <w:lvlJc w:val="left"/>
      <w:lvlText w:val="%1"/>
      <w:numFmt w:val="decimal"/>
      <w:start w:val="1"/>
    </w:lvl>
    <w:lvl w:ilvl="1">
      <w:lvlJc w:val="left"/>
      <w:lvlText w:val="(%2)"/>
      <w:numFmt w:val="lowerLetter"/>
      <w:start w:val="7"/>
    </w:lvl>
  </w:abstractNum>
  <w:abstractNum w:abstractNumId="134">
    <w:nsid w:val="5551B9F3"/>
    <w:multiLevelType w:val="hybridMultilevel"/>
    <w:lvl w:ilvl="0">
      <w:lvlJc w:val="left"/>
      <w:lvlText w:val="%1."/>
      <w:numFmt w:val="decimal"/>
      <w:start w:val="5"/>
    </w:lvl>
    <w:lvl w:ilvl="1">
      <w:lvlJc w:val="left"/>
      <w:lvlText w:val="%2"/>
      <w:numFmt w:val="lowerLetter"/>
      <w:start w:val="1"/>
    </w:lvl>
  </w:abstractNum>
  <w:abstractNum w:abstractNumId="135">
    <w:nsid w:val="24F6AB8E"/>
    <w:multiLevelType w:val="hybridMultilevel"/>
    <w:lvl w:ilvl="0">
      <w:lvlJc w:val="left"/>
      <w:lvlText w:val="%1."/>
      <w:numFmt w:val="decimal"/>
      <w:start w:val="6"/>
    </w:lvl>
  </w:abstractNum>
  <w:abstractNum w:abstractNumId="136">
    <w:nsid w:val="634C574C"/>
    <w:multiLevelType w:val="hybridMultilevel"/>
    <w:lvl w:ilvl="0">
      <w:lvlJc w:val="left"/>
      <w:lvlText w:val="%1."/>
      <w:numFmt w:val="decimal"/>
      <w:start w:val="7"/>
    </w:lvl>
  </w:abstractNum>
  <w:abstractNum w:abstractNumId="137">
    <w:nsid w:val="24E99DD7"/>
    <w:multiLevelType w:val="hybridMultilevel"/>
    <w:lvl w:ilvl="0">
      <w:lvlJc w:val="left"/>
      <w:lvlText w:val="%1."/>
      <w:numFmt w:val="decimal"/>
      <w:start w:val="8"/>
    </w:lvl>
  </w:abstractNum>
  <w:abstractNum w:abstractNumId="138">
    <w:nsid w:val="2A31B62D"/>
    <w:multiLevelType w:val="hybridMultilevel"/>
    <w:lvl w:ilvl="0">
      <w:lvlJc w:val="left"/>
      <w:lvlText w:val="%1."/>
      <w:numFmt w:val="decimal"/>
      <w:start w:val="9"/>
    </w:lvl>
  </w:abstractNum>
  <w:abstractNum w:abstractNumId="139">
    <w:nsid w:val="1849C29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92" Type="http://schemas.openxmlformats.org/officeDocument/2006/relationships/image" Target="media/image176.png"/><Relationship Id="rId204"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183" Type="http://schemas.openxmlformats.org/officeDocument/2006/relationships/hyperlink" Target="https://www.sec.gov/Archives/edgar/data/1750284/000095017024002543/olma-ex1_1.htm" TargetMode="External"/><Relationship Id="rId184" Type="http://schemas.openxmlformats.org/officeDocument/2006/relationships/hyperlink" Target="https://www.sec.gov/Archives/edgar/data/1750284/000110465920128482/tm2027048d18_ex3-1.htm" TargetMode="External"/><Relationship Id="rId185" Type="http://schemas.openxmlformats.org/officeDocument/2006/relationships/hyperlink" Target="https://www.sec.gov/Archives/edgar/data/1750284/000155837022018762/olma-20221215xex3d1.htm" TargetMode="External"/><Relationship Id="rId186" Type="http://schemas.openxmlformats.org/officeDocument/2006/relationships/hyperlink" Target="https://www.sec.gov/Archives/edgar/data/1750284/000110465920125281/tm2027048d10_ex4-1.htm" TargetMode="External"/><Relationship Id="rId187" Type="http://schemas.openxmlformats.org/officeDocument/2006/relationships/hyperlink" Target="https://www.sec.gov/Archives/edgar/data/1750284/000155837021003141/tmb-20201231xex4d3.htm" TargetMode="External"/><Relationship Id="rId188" Type="http://schemas.openxmlformats.org/officeDocument/2006/relationships/hyperlink" Target="https://www.sec.gov/Archives/edgar/data/1750284/000110465920119971/tm2027048d8_ex10-1.htm" TargetMode="External"/><Relationship Id="rId189" Type="http://schemas.openxmlformats.org/officeDocument/2006/relationships/hyperlink" Target="https://www.sec.gov/Archives/edgar/data/1750284/000110465920119971/tm2027048d8_ex10-2.htm" TargetMode="External"/><Relationship Id="rId190" Type="http://schemas.openxmlformats.org/officeDocument/2006/relationships/hyperlink" Target="https://www.sec.gov/Archives/edgar/data/1750284/000110465920125281/tm2027048d10_ex10-3.htm" TargetMode="External"/><Relationship Id="rId191" Type="http://schemas.openxmlformats.org/officeDocument/2006/relationships/hyperlink" Target="https://www.sec.gov/Archives/edgar/data/1750284/000110465920119971/tm2027048d8_ex10-4.htm" TargetMode="External"/><Relationship Id="rId193" Type="http://schemas.openxmlformats.org/officeDocument/2006/relationships/hyperlink" Target="https://www.sec.gov/Archives/edgar/data/1750284/000110465920119971/tm2027048d8_ex10-5.htm" TargetMode="External"/><Relationship Id="rId194" Type="http://schemas.openxmlformats.org/officeDocument/2006/relationships/hyperlink" Target="https://www.sec.gov/Archives/edgar/data/1750284/000110465920125281/tm2027048d10_ex10-6.htm" TargetMode="External"/><Relationship Id="rId195" Type="http://schemas.openxmlformats.org/officeDocument/2006/relationships/hyperlink" Target="https://www.sec.gov/Archives/edgar/data/1750284/000110465920125281/tm2027048d10_ex10-7.htm" TargetMode="External"/><Relationship Id="rId196" Type="http://schemas.openxmlformats.org/officeDocument/2006/relationships/hyperlink" Target="https://www.sec.gov/Archives/edgar/data/1750284/000110465920119971/tm2027048d8_ex10-8.htm" TargetMode="External"/><Relationship Id="rId197" Type="http://schemas.openxmlformats.org/officeDocument/2006/relationships/hyperlink" Target="https://www.sec.gov/Archives/edgar/data/1750284/000110465920125281/tm2027048d10_ex10-9.htm" TargetMode="External"/><Relationship Id="rId198" Type="http://schemas.openxmlformats.org/officeDocument/2006/relationships/hyperlink" Target="https://www.sec.gov/Archives/edgar/data/1750284/000110465920125281/tm2027048d10_ex10-12.htm" TargetMode="External"/><Relationship Id="rId199" Type="http://schemas.openxmlformats.org/officeDocument/2006/relationships/hyperlink" Target="https://www.sec.gov/Archives/edgar/data/1750284/000110465920125281/tm2027048d10_ex10-14.htm" TargetMode="External"/><Relationship Id="rId200" Type="http://schemas.openxmlformats.org/officeDocument/2006/relationships/hyperlink" Target="https://www.sec.gov/Archives/edgar/data/1750284/000155837023008815/olma-20230331xex10d1.htm" TargetMode="External"/><Relationship Id="rId201" Type="http://schemas.openxmlformats.org/officeDocument/2006/relationships/hyperlink" Target="https://www.sec.gov/Archives/edgar/data/1750284/000155837023016301/olma-20231009xex10d1.htm" TargetMode="External"/><Relationship Id="rId202" Type="http://schemas.openxmlformats.org/officeDocument/2006/relationships/hyperlink" Target="https://www.sec.gov/Archives/edgar/data/1750284/000155837022002388/olma-20211231xex10d17.htm" TargetMode="External"/><Relationship Id="rId203" Type="http://schemas.openxmlformats.org/officeDocument/2006/relationships/hyperlink" Target="https://www.sec.gov/Archives/edgar/data/1750284/000155837022002388/olma-20211231xex10d18.htm" TargetMode="External"/><Relationship Id="rId205" Type="http://schemas.openxmlformats.org/officeDocument/2006/relationships/hyperlink" Target="https://www.sec.gov/Archives/edgar/data/1750284/000155837022002388/olma-20211231xex10d19.htm" TargetMode="External"/><Relationship Id="rId206" Type="http://schemas.openxmlformats.org/officeDocument/2006/relationships/hyperlink" Target="https://www.sec.gov/Archives/edgar/data/1750284/000155837022012930/olma-20220630xex10d1.htm" TargetMode="External"/><Relationship Id="rId207" Type="http://schemas.openxmlformats.org/officeDocument/2006/relationships/hyperlink" Target="https://www.sec.gov/Archives/edgar/data/1750284/000155837023008815/olma-20230331xex10d2.htm" TargetMode="External"/><Relationship Id="rId208" Type="http://schemas.openxmlformats.org/officeDocument/2006/relationships/hyperlink" Target="https://www.sec.gov/Archives/edgar/data/1750284/000155837023008815/olma-20230331xex10d3.htm" TargetMode="External"/><Relationship Id="rId209" Type="http://schemas.openxmlformats.org/officeDocument/2006/relationships/hyperlink" Target="https://www.sec.gov/Archives/edgar/data/1750284/000155837023015422/olma-20230905xex10d1.htm" TargetMode="External"/><Relationship Id="rId210" Type="http://schemas.openxmlformats.org/officeDocument/2006/relationships/hyperlink" Target="https://www.sec.gov/Archives/edgar/data/1750284/000155837023015422/olma-20230905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2024-03-11T15:31:00Z</dcterms:created>
  <dcterms:modified xsi:type="dcterms:W3CDTF">2024-03-11T15:31:00Z</dcterms:modified>
</cp:coreProperties>
</file>