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Olema Pharmaceuticals,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001-39712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30-0409740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780 Brannan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94103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415 651-3316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OLMA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17, 2026, Olema Pharmaceuticals, Inc. (the “Company”) held its annual meeting of stockholders (the “Annual Meeting”). The following is a brief description of each matter voted upon at the Annual Meeting, as well as the number of votes cast for or against each matter and the number of abstentions and broker non-votes with respect to each matter. A more complete description of each matter can be found in the Company’s definitive proxy statement filed with the Securities and Exchange Commission on April 29, 2026 (the “Proxy Statement”). Voting results are, when applicable, reported by rounding fractional share voting down to the nearest whole number.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1—Election of Directors</w:t>
            </w:r>
          </w:p>
        </w:tc>
        <w:tc>
          <w:tcPr>
            <w:tcW w:w="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32"/>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Final Voting Results</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32"/>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60" w:type="dxa"/>
            <w:vAlign w:val="bottom"/>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4"/>
                <w:szCs w:val="24"/>
                <w:color w:val="auto"/>
              </w:rPr>
            </w:pPr>
          </w:p>
        </w:tc>
        <w:tc>
          <w:tcPr>
            <w:tcW w:w="1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Sean Bohen, M.D., Ph.D.</w:t>
            </w:r>
          </w:p>
        </w:tc>
        <w:tc>
          <w:tcPr>
            <w:tcW w:w="29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67,474,365</w:t>
            </w:r>
          </w:p>
        </w:tc>
        <w:tc>
          <w:tcPr>
            <w:tcW w:w="20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1,165,382</w:t>
            </w:r>
          </w:p>
        </w:tc>
        <w:tc>
          <w:tcPr>
            <w:tcW w:w="19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7,496,139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Scott Garland</w:t>
            </w:r>
          </w:p>
        </w:tc>
        <w:tc>
          <w:tcPr>
            <w:tcW w:w="2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66,184,382</w:t>
            </w:r>
          </w:p>
        </w:tc>
        <w:tc>
          <w:tcPr>
            <w:tcW w:w="2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2,455,365</w:t>
            </w:r>
          </w:p>
        </w:tc>
        <w:tc>
          <w:tcPr>
            <w:tcW w:w="1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7,496,139</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Yi Larson</w:t>
            </w:r>
          </w:p>
        </w:tc>
        <w:tc>
          <w:tcPr>
            <w:tcW w:w="29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50,371,668</w:t>
            </w:r>
          </w:p>
        </w:tc>
        <w:tc>
          <w:tcPr>
            <w:tcW w:w="20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18,268,079</w:t>
            </w:r>
          </w:p>
        </w:tc>
        <w:tc>
          <w:tcPr>
            <w:tcW w:w="19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7,496,139</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Andrew Rappaport</w:t>
            </w:r>
          </w:p>
        </w:tc>
        <w:tc>
          <w:tcPr>
            <w:tcW w:w="2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67,276,575</w:t>
            </w:r>
          </w:p>
        </w:tc>
        <w:tc>
          <w:tcPr>
            <w:tcW w:w="2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1,363,172</w:t>
            </w:r>
          </w:p>
        </w:tc>
        <w:tc>
          <w:tcPr>
            <w:tcW w:w="1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7,496,139</w:t>
            </w:r>
          </w:p>
        </w:tc>
      </w:tr>
    </w:tbl>
    <w:p>
      <w:pPr>
        <w:spacing w:after="0" w:line="17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each of the four nominees as Class III directors to hold office until the Company’s 2029 annual meeting of stockholders and until their respective successors have been duly elected and qualified.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2—Advisory Vote on Executive Compensation</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Final Voting Results</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24"/>
                <w:szCs w:val="24"/>
                <w:color w:val="auto"/>
              </w:rPr>
            </w:pPr>
          </w:p>
        </w:tc>
        <w:tc>
          <w:tcPr>
            <w:tcW w:w="17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2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67,969,902</w:t>
            </w:r>
          </w:p>
        </w:tc>
        <w:tc>
          <w:tcPr>
            <w:tcW w:w="184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653,979</w:t>
            </w:r>
          </w:p>
        </w:tc>
        <w:tc>
          <w:tcPr>
            <w:tcW w:w="3420" w:type="dxa"/>
            <w:vAlign w:val="bottom"/>
            <w:gridSpan w:val="3"/>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15,867</w:t>
            </w:r>
          </w:p>
        </w:tc>
        <w:tc>
          <w:tcPr>
            <w:tcW w:w="236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7,496,139</w:t>
            </w: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awarded to the Company’s named executive officers, as disclosed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3—Ratification of Selection of Independent Registered Public Accounting Firm</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8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Final Voting Results</w:t>
            </w:r>
          </w:p>
        </w:tc>
      </w:tr>
      <w:tr>
        <w:trPr>
          <w:trHeight w:val="432"/>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4"/>
                <w:szCs w:val="24"/>
                <w:color w:val="auto"/>
              </w:rPr>
            </w:pPr>
          </w:p>
        </w:tc>
        <w:tc>
          <w:tcPr>
            <w:tcW w:w="17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198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75,811,449</w:t>
            </w:r>
          </w:p>
        </w:tc>
        <w:tc>
          <w:tcPr>
            <w:tcW w:w="18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271,918</w:t>
            </w:r>
          </w:p>
        </w:tc>
        <w:tc>
          <w:tcPr>
            <w:tcW w:w="5840" w:type="dxa"/>
            <w:vAlign w:val="bottom"/>
            <w:gridSpan w:val="3"/>
            <w:shd w:val="clear" w:color="auto" w:fill="CFF0FC"/>
          </w:tcPr>
          <w:p>
            <w:pPr>
              <w:jc w:val="right"/>
              <w:ind w:right="2170"/>
              <w:spacing w:after="0"/>
              <w:rPr>
                <w:sz w:val="20"/>
                <w:szCs w:val="20"/>
                <w:color w:val="auto"/>
              </w:rPr>
            </w:pPr>
            <w:r>
              <w:rPr>
                <w:rFonts w:ascii="Times New Roman" w:cs="Times New Roman" w:eastAsia="Times New Roman" w:hAnsi="Times New Roman"/>
                <w:sz w:val="18"/>
                <w:szCs w:val="18"/>
                <w:color w:val="auto"/>
              </w:rPr>
              <w:t>52,520</w:t>
            </w: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Company’s Board of Directors of Ernst &amp; Young LLP as the Company’s independent registered public accounting firm for the year ending December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for 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OLEMA PHARMACEUTICALS,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23, 2026</w:t>
      </w:r>
      <w:r>
        <w:rPr>
          <w:sz w:val="20"/>
          <w:szCs w:val="20"/>
          <w:color w:val="auto"/>
        </w:rPr>
        <w:tab/>
      </w:r>
      <w:r>
        <w:rPr>
          <w:rFonts w:ascii="Times New Roman" w:cs="Times New Roman" w:eastAsia="Times New Roman" w:hAnsi="Times New Roman"/>
          <w:sz w:val="18"/>
          <w:szCs w:val="18"/>
          <w:color w:val="auto"/>
        </w:rPr>
        <w:t>By:</w:t>
        <w:tab/>
        <w:t>/s/ Sean Bohen,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Sean Bohen, M.D.,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2026-06-23T15:32:52Z</dcterms:created>
  <dcterms:modified xsi:type="dcterms:W3CDTF">2026-06-23T15:32:52Z</dcterms:modified>
</cp:coreProperties>
</file>