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lma-20260813.htm"/>
      <w:bookmarkStart w:id="1" w:name="ksolma20260813"/>
      <w:bookmarkEnd w:id="0"/>
      <w:bookmarkEnd w:id="1"/>
      <w:r>
        <w:rPr/>
        <w:t> </w:t>
      </w:r>
    </w:p>
    <w:p>
      <w:pPr>
        <w:pStyle w:val="TextBody"/>
        <w:bidi w:val="0"/>
        <w:jc w:val="left"/>
        <w:rPr/>
      </w:pPr>
      <w:r>
        <w:rPr/>
        <w:t> </w:t>
      </w:r>
    </w:p>
    <w:p>
      <w:pPr>
        <w:pStyle w:val="TextBody"/>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Olema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001-39712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30-0409740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780 Brannan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651-3316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OLMA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Heading2"/>
        <w:bidi w:val="0"/>
        <w:jc w:val="both"/>
        <w:rPr>
          <w:rFonts w:ascii="Times New Roman" w:hAnsi="Times New Roman"/>
          <w:sz w:val="20"/>
        </w:rPr>
      </w:pPr>
      <w:r>
        <w:rPr>
          <w:rFonts w:ascii="Times New Roman" w:hAnsi="Times New Roman"/>
          <w:b w:val="false"/>
          <w:color w:val="000000"/>
          <w:sz w:val="20"/>
        </w:rPr>
        <w:t>On August 13, 2026, Olema Pharmaceuticals, Inc. (the “Company”) announced the appointment of Jason O’Byrne as the Company’s Chief Financial Officer, principal financial officer and principal accounting officer, which was approved by the Board of Directors of the Company (the “Board”) on July 28, 2026 and effective as of August 11, 2026 (the “Effective Date”).</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Mr. O’Byrne, age 58, served as Executive Vice President and Chief Financial Officer of Vir Biotechnology, Inc., a biopharmaceutical company, from October 2024 to August 2026. Prior to that, Mr. O’Byrne served as Chief Financial Officer of Caribou Biosciences, Inc., a biopharmaceutical company, from 2021 to 2024. Previously, Mr. O’Byrne served as Vice President, and subsequently, Senior Vice President of Finance at Audentes Therapeutics, Inc., a biotechnology company, from 2019 to 2021, including through its acquisition by Astellas Pharma in 2020. Earlier in his career, Mr. O’Byrne spent 13 years at Genentech, Inc., a biotechnology company, and its parent company the Roche Group, a global healthcare company, where he held finance leadership positions of increasing responsibility, including Vice President, Head of Finance for Roche Asia-Pacific and Vice President, Global Head of Finance for Product Development and Product Strategy. Mr. O’Byrne received a B.A.Sc. in mechanical engineering from the University of British Columbia and an M.B.A. in finance, with distinction, from New York University’s Stern School of Business.</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There are no family relationships between Mr. O’Byrne and any director or executive officer of the Company that are required to be disclosed pursuant to Item 401(d) of Regulation S-K. There are no transactions involving Mr. O’Byrne that are required to be disclosed pursuant to Item 404(a) of Regulation S-K, and Mr. O’Byrne was not selected to serve as the Company’s Chief Financial Officer pursuant to any arrangement or understanding with any other person.</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In connection with his appointment, Mr. O’Byrne and the Company entered into an offer letter (the “Offer Letter”). Pursuant to the Offer Letter, Mr. O’Byrne’s initial annualized base salary is $545,000. In addition, Mr. O’Byrne is eligible to receive an annual performance bonus with a target opportunity equal to 45% of his annual base salary. Mr. O’Byrne also received a sign-on bonus consisting of (i) $250,000, payable within 30 days following the Effective Date, and (ii) $100,000, payable within 30 days following the first anniversary of the Effective Date, in each case subject to certain service-based repayment obligations. All payments under the Offer Letter are subject to applicable withholdings and deductions. Mr. O’Byrne’s employment is on an “at-will” basis.</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As provided in the Offer Letter, subject to approval by the Board, the Company will grant Mr. O’Byrne an option pursuant to the Company’s 2022 Inducement Plan (the “Plan”) to purchase 650,000 shares of the Company’s common stock (the “Option”). The Option will vest over four years, with 25% of the shares subject to the Option vesting on the first anniversary of the Effective Date and the remaining shares vesting monthly thereafter, subject to Mr. O’Byrne’s continued service to the Company through each applicable vesting date. The Option will be granted as an inducement material to Mr. O’Byrne’s entering into employment with the Company in accordance with Nasdaq Listing Rule 5635(c)(4). Mr. O’Byrne has not previously been an employee or director of the Company.</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Pursuant to the Offer Letter, if the Company terminates Mr. O’Byrne’s employment without Cause (as defined in the Offer Letter) or Mr. O’Byrne resigns for Good Reason (as defined in the Offer Letter) within three months prior to or 18 months after a Change in Control (as defined in the Offer Letter), Mr. O’Byrne will be entitled to receive (a) a lump sum equal to 12 months of his then-current annual base salary plus his target bonus for the year in which the termination occurs; (b) a prorated annual bonus for the year in which the separation from service occurs, based on corporate performance for such year and the number of months of service during such year, as determined by the Board; (c) accelerated vesting of his then-outstanding unvested time-based equity awards; and (d) reimbursement of COBRA premiums for Mr. O’Byrne and his eligible dependents for up to 12 months.</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If the Company terminates Mr. O’Byrne’s employment without Cause or Mr. O’Byrne resigns for Good Reason other than during the Change in Control period described above, Mr. O’Byrne will be entitled to receive (a) continued payment of his then-current annual base salary for 12 months; (b) a prorated annual bonus for the year in which the separation from service occurs, based on corporate performance for such year and the number of months of service during such year, as determined by the Board; (c) if the separation occurs more than 12 months after the Effective Date, accelerated vesting of 50% of the then-unvested portion of the Option; and (d) reimbursement of COBRA premiums for Mr. O’Byrne and his eligible dependents for up to 12 months.</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The foregoing description of the Offer Letter is qualified in its entirety by reference to the full text of the Offer Letter, which is filed as Exhibit 10.1 to this Current Report on Form 8-K and incorporated herein by reference.</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In connection with Mr. O’Byrne’s appointment, the Company also entered into its standard form of indemnification agreement with Mr. O’Byrne, a copy of which was filed as Exhibit 10.8 to the Company’s Annual Report on Form 10-K for the fiscal year ended December 31, 2025.</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The Company elected to delay the filing of the disclosure of Mr. O’Byrne’s appointment until the public announcement of his appointment in accordance with the instruction to paragraph (c) of Item 5.02(c) of Form 8-K.</w:t>
      </w:r>
      <w:r>
        <w:rPr>
          <w:rFonts w:ascii="Times New Roman" w:hAnsi="Times New Roman"/>
          <w:color w:val="000000"/>
          <w:sz w:val="20"/>
        </w:rPr>
        <w:t xml:space="preserve"> </w:t>
      </w:r>
    </w:p>
    <w:p>
      <w:pPr>
        <w:pStyle w:val="Heading2"/>
        <w:bidi w:val="0"/>
        <w:jc w:val="both"/>
        <w:rPr/>
      </w:pPr>
      <w:r>
        <w:rPr/>
        <w:t> </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Item 7.01 Regulation FD Disclosure.</w:t>
      </w:r>
    </w:p>
    <w:p>
      <w:pPr>
        <w:pStyle w:val="HorizontalLine"/>
        <w:pBdr>
          <w:bottom w:val="double" w:sz="2" w:space="0" w:color="808080"/>
        </w:pBdr>
        <w:bidi w:val="0"/>
        <w:spacing w:before="0" w:after="283"/>
        <w:jc w:val="left"/>
        <w:rPr/>
      </w:pPr>
      <w:r>
        <w:rPr/>
      </w:r>
    </w:p>
    <w:p>
      <w:pPr>
        <w:pStyle w:val="Heading2"/>
        <w:bidi w:val="0"/>
        <w:jc w:val="both"/>
        <w:rPr>
          <w:rFonts w:ascii="Times New Roman" w:hAnsi="Times New Roman"/>
          <w:sz w:val="20"/>
        </w:rPr>
      </w:pPr>
      <w:r>
        <w:rPr>
          <w:rFonts w:ascii="Times New Roman" w:hAnsi="Times New Roman"/>
          <w:b w:val="false"/>
          <w:color w:val="000000"/>
          <w:sz w:val="20"/>
        </w:rPr>
        <w:t>On August 13, 2026, the Company issued a press release announcing the appointment of Mr. O’Byrne as the Company’s Chief Financial Officer.</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The information in this Item 7.01, including Exhibit 99.1, shall not be incorporated by reference into any filing of the Company under the Securities Act of 1933, as amended, or the Exchange Act, except as expressly set forth by specific reference in such filing.</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9122" w:type="dxa"/>
        <w:jc w:val="left"/>
        <w:tblInd w:w="0" w:type="dxa"/>
        <w:tblLayout w:type="fixed"/>
        <w:tblCellMar>
          <w:top w:w="28" w:type="dxa"/>
          <w:left w:w="28" w:type="dxa"/>
          <w:bottom w:w="28" w:type="dxa"/>
          <w:right w:w="28" w:type="dxa"/>
        </w:tblCellMar>
      </w:tblPr>
      <w:tblGrid>
        <w:gridCol w:w="1081"/>
        <w:gridCol w:w="8041"/>
      </w:tblGrid>
      <w:tr>
        <w:trPr/>
        <w:tc>
          <w:tcPr>
            <w:tcW w:w="1081" w:type="dxa"/>
            <w:tcBorders/>
            <w:vAlign w:val="center"/>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40"/>
              <w:jc w:val="left"/>
              <w:rPr>
                <w:rFonts w:ascii="Times New Roman" w:hAnsi="Times New Roman"/>
                <w:b/>
                <w:color w:val="000000"/>
                <w:sz w:val="20"/>
              </w:rPr>
            </w:pPr>
            <w:r>
              <w:rPr>
                <w:rFonts w:ascii="Times New Roman" w:hAnsi="Times New Roman"/>
                <w:b/>
                <w:color w:val="000000"/>
                <w:sz w:val="20"/>
              </w:rPr>
              <w:t>Exhibit No.</w:t>
            </w:r>
          </w:p>
        </w:tc>
        <w:tc>
          <w:tcPr>
            <w:tcW w:w="8041" w:type="dxa"/>
            <w:tcBorders/>
            <w:tcMar>
              <w:top w:w="0" w:type="dxa"/>
              <w:left w:w="0" w:type="dxa"/>
              <w:bottom w:w="0" w:type="dxa"/>
              <w:right w:w="0" w:type="dxa"/>
            </w:tcMar>
            <w:vAlign w:val="center"/>
          </w:tcPr>
          <w:p>
            <w:pPr>
              <w:pStyle w:val="TableContents"/>
              <w:pBdr>
                <w:bottom w:val="single" w:sz="8" w:space="1" w:color="000000"/>
              </w:pBdr>
              <w:bidi w:val="0"/>
              <w:spacing w:before="0" w:after="240"/>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8041" w:type="dxa"/>
            <w:tcBorders/>
            <w:tcMar>
              <w:top w:w="0" w:type="dxa"/>
              <w:left w:w="0" w:type="dxa"/>
              <w:bottom w:w="0" w:type="dxa"/>
              <w:right w:w="0" w:type="dxa"/>
            </w:tcMar>
            <w:vAlign w:val="center"/>
          </w:tcPr>
          <w:p>
            <w:pPr>
              <w:pStyle w:val="TableContents"/>
              <w:bidi w:val="0"/>
              <w:spacing w:before="0" w:after="283"/>
              <w:jc w:val="both"/>
              <w:rPr/>
            </w:pPr>
            <w:hyperlink w:anchor="olma-ex10_1.htm">
              <w:r>
                <w:rPr>
                  <w:rStyle w:val="InternetLink"/>
                  <w:rFonts w:ascii="Times New Roman" w:hAnsi="Times New Roman"/>
                  <w:color w:val="0000FF"/>
                  <w:sz w:val="20"/>
                  <w:u w:val="single"/>
                </w:rPr>
                <w:t>Offer Letter by and between Olema Pharmaceuticals, Inc. and Jason O’Byrne, dated July 24,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8041" w:type="dxa"/>
            <w:tcBorders/>
            <w:tcMar>
              <w:top w:w="0" w:type="dxa"/>
              <w:left w:w="0" w:type="dxa"/>
              <w:bottom w:w="0" w:type="dxa"/>
              <w:right w:w="0" w:type="dxa"/>
            </w:tcMar>
            <w:vAlign w:val="center"/>
          </w:tcPr>
          <w:p>
            <w:pPr>
              <w:pStyle w:val="TableContents"/>
              <w:bidi w:val="0"/>
              <w:spacing w:before="0" w:after="283"/>
              <w:jc w:val="both"/>
              <w:rPr/>
            </w:pPr>
            <w:hyperlink w:anchor="olma-ex99_1.htm">
              <w:r>
                <w:rPr>
                  <w:rStyle w:val="InternetLink"/>
                  <w:rFonts w:ascii="Times New Roman" w:hAnsi="Times New Roman"/>
                  <w:color w:val="0000FF"/>
                  <w:sz w:val="20"/>
                  <w:u w:val="single"/>
                </w:rPr>
                <w:t>Press Release, dated August 13, 2026, of Olema Pharmaceuticals, Inc.</w:t>
              </w:r>
            </w:hyperlink>
            <w:hyperlink w:anchor="olma-ex99_1.htm">
              <w:r>
                <w:rPr>
                  <w:rStyle w:val="InternetLink"/>
                  <w:rFonts w:ascii="Times New Roman" w:hAnsi="Times New Roman"/>
                  <w:color w:val="0000FF"/>
                  <w:sz w:val="20"/>
                </w:rPr>
                <w:t xml:space="preserve"> </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0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54" w:type="dxa"/>
        <w:jc w:val="left"/>
        <w:tblInd w:w="0" w:type="dxa"/>
        <w:tblLayout w:type="fixed"/>
        <w:tblCellMar>
          <w:top w:w="28" w:type="dxa"/>
          <w:left w:w="28" w:type="dxa"/>
          <w:bottom w:w="28" w:type="dxa"/>
          <w:right w:w="28" w:type="dxa"/>
        </w:tblCellMar>
      </w:tblPr>
      <w:tblGrid>
        <w:gridCol w:w="556"/>
        <w:gridCol w:w="1456"/>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OLEMA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Sean Bohen,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Sean Bohen, M.D., Ph.D.</w:t>
              <w:br/>
              <w:t xml:space="preserve">President and 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olma-ex10_1.htm"/>
      <w:bookmarkStart w:id="3" w:name="ksolmaex10_1"/>
      <w:bookmarkEnd w:id="2"/>
      <w:bookmarkEnd w:id="3"/>
      <w:r>
        <w:rPr>
          <w:rFonts w:ascii="Aptos;sans-serif" w:hAnsi="Aptos;sans-serif"/>
          <w:b/>
          <w:color w:val="000000"/>
          <w:sz w:val="24"/>
        </w:rPr>
        <w:t>Exhibit 10.1</w:t>
      </w:r>
      <w:r>
        <w:br w:type="page"/>
      </w:r>
    </w:p>
    <w:p>
      <w:pPr>
        <w:pStyle w:val="TextBody"/>
        <w:bidi w:val="0"/>
        <w:jc w:val="left"/>
        <w:rPr/>
      </w:pPr>
      <w:r>
        <w:rPr/>
        <w:t> </w:t>
      </w:r>
    </w:p>
    <w:p>
      <w:pPr>
        <w:pStyle w:val="TextBody"/>
        <w:bidi w:val="0"/>
        <w:spacing w:before="90" w:after="283"/>
        <w:jc w:val="left"/>
        <w:rPr/>
      </w:pPr>
      <w:r>
        <w:rPr/>
        <w:drawing>
          <wp:inline distT="0" distB="0" distL="0" distR="0">
            <wp:extent cx="19240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38175"/>
                    </a:xfrm>
                    <a:prstGeom prst="rect">
                      <a:avLst/>
                    </a:prstGeom>
                  </pic:spPr>
                </pic:pic>
              </a:graphicData>
            </a:graphic>
          </wp:inline>
        </w:drawing>
      </w:r>
    </w:p>
    <w:p>
      <w:pPr>
        <w:pStyle w:val="TextBody"/>
        <w:bidi w:val="0"/>
        <w:spacing w:before="90" w:after="283"/>
        <w:jc w:val="left"/>
        <w:rPr/>
      </w:pPr>
      <w:r>
        <w:rPr/>
        <w:t> </w:t>
      </w:r>
    </w:p>
    <w:p>
      <w:pPr>
        <w:pStyle w:val="TextBody"/>
        <w:bidi w:val="0"/>
        <w:spacing w:before="90" w:after="283"/>
        <w:jc w:val="left"/>
        <w:rPr>
          <w:rFonts w:ascii="Aptos;sans-serif" w:hAnsi="Aptos;sans-serif"/>
          <w:color w:val="000000"/>
          <w:sz w:val="24"/>
        </w:rPr>
      </w:pPr>
      <w:r>
        <w:rPr>
          <w:rFonts w:ascii="Aptos;sans-serif" w:hAnsi="Aptos;sans-serif"/>
          <w:color w:val="000000"/>
          <w:sz w:val="24"/>
        </w:rPr>
        <w:t>July 24, 2026</w:t>
      </w:r>
    </w:p>
    <w:p>
      <w:pPr>
        <w:pStyle w:val="TextBody"/>
        <w:bidi w:val="0"/>
        <w:jc w:val="left"/>
        <w:rPr>
          <w:rFonts w:ascii="Aptos;sans-serif" w:hAnsi="Aptos;sans-serif"/>
          <w:color w:val="000000"/>
          <w:sz w:val="24"/>
        </w:rPr>
      </w:pPr>
      <w:r>
        <w:rPr>
          <w:rFonts w:ascii="Aptos;sans-serif" w:hAnsi="Aptos;sans-serif"/>
          <w:color w:val="000000"/>
          <w:sz w:val="24"/>
        </w:rPr>
        <w:t>Jason O’Byrne</w:t>
      </w:r>
    </w:p>
    <w:p>
      <w:pPr>
        <w:pStyle w:val="TextBody"/>
        <w:bidi w:val="0"/>
        <w:jc w:val="left"/>
        <w:rPr>
          <w:rFonts w:ascii="Aptos;sans-serif" w:hAnsi="Aptos;sans-serif"/>
          <w:color w:val="000000"/>
          <w:sz w:val="24"/>
        </w:rPr>
      </w:pPr>
      <w:r>
        <w:rPr>
          <w:rFonts w:ascii="Aptos;sans-serif" w:hAnsi="Aptos;sans-serif"/>
          <w:color w:val="000000"/>
          <w:sz w:val="24"/>
        </w:rPr>
        <w:t>EMAIL/DOCUSIGN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Re: Employment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Dear Jason,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Olema Pharmaceuticals, Inc. (the “Company”) is pleased to offer you employment as its Chief Financial Officer, pursuant to the terms of this offer letter agreement (the “Agreement”).</w:t>
      </w:r>
    </w:p>
    <w:p>
      <w:pPr>
        <w:pStyle w:val="TextBody"/>
        <w:bidi w:val="0"/>
        <w:spacing w:before="10" w:after="283"/>
        <w:jc w:val="left"/>
        <w:rPr/>
      </w:pPr>
      <w:r>
        <w:rPr/>
        <w:t>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1.</w:t>
      </w:r>
    </w:p>
    <w:p>
      <w:pPr>
        <w:pStyle w:val="TextBody"/>
        <w:bidi w:val="0"/>
        <w:spacing w:before="0" w:after="240"/>
        <w:jc w:val="both"/>
        <w:rPr/>
      </w:pPr>
      <w:r>
        <w:rPr>
          <w:rFonts w:ascii="Aptos;sans-serif" w:hAnsi="Aptos;sans-serif"/>
          <w:b/>
          <w:color w:val="000000"/>
          <w:sz w:val="24"/>
        </w:rPr>
        <w:t xml:space="preserve">Position; Duties. </w:t>
      </w:r>
      <w:r>
        <w:rPr>
          <w:rFonts w:ascii="Aptos;sans-serif" w:hAnsi="Aptos;sans-serif"/>
          <w:color w:val="000000"/>
          <w:sz w:val="24"/>
        </w:rPr>
        <w:t xml:space="preserve">You will have overall responsibility for leading the Company’s finance organization and overseeing financial strategy, capital allocation, financial operations, corporate communications, investor relations, and related corporate functions, reporting directly to the Company’s Chief Executive Officer, working out of the Company’s San Francisco area office or at other locations as mutually agreed. You agree to devote your best efforts and full business time, skill and attention to the performance of your duties. You are also required to adhere to the general employment policies and practices of the Company that may be in effect from time to time, except that when the terms of this Agreement conflict with the Company’s general employment policies or practices, this Agreement will control. The Company may change your position, duties, work location and, on a prospective basis only, compensation from time to time in its discretion, subject to the terms and conditions set forth herein. Your anticipated start date will be August 11, 2026 (such actual date of your commencement of employment shall be referred to herein as the “Start Date”).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2.</w:t>
      </w:r>
    </w:p>
    <w:p>
      <w:pPr>
        <w:pStyle w:val="TextBody"/>
        <w:bidi w:val="0"/>
        <w:spacing w:before="0" w:after="240"/>
        <w:jc w:val="both"/>
        <w:rPr/>
      </w:pPr>
      <w:r>
        <w:rPr>
          <w:rFonts w:ascii="Aptos;sans-serif" w:hAnsi="Aptos;sans-serif"/>
          <w:b/>
          <w:color w:val="000000"/>
          <w:sz w:val="24"/>
        </w:rPr>
        <w:t xml:space="preserve">Salary. </w:t>
      </w:r>
      <w:r>
        <w:rPr>
          <w:rFonts w:ascii="Aptos;sans-serif" w:hAnsi="Aptos;sans-serif"/>
          <w:color w:val="000000"/>
          <w:sz w:val="24"/>
        </w:rPr>
        <w:t xml:space="preserve">Your annual base salary rate will be $545,000 less applicable deductions and withholdings, payable in accordance with the Company’s payroll practices, as may be in effect from time to time.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3.</w:t>
      </w:r>
    </w:p>
    <w:p>
      <w:pPr>
        <w:pStyle w:val="TextBody"/>
        <w:bidi w:val="0"/>
        <w:spacing w:before="0" w:after="240"/>
        <w:jc w:val="both"/>
        <w:rPr/>
      </w:pPr>
      <w:r>
        <w:rPr>
          <w:rFonts w:ascii="Aptos;sans-serif" w:hAnsi="Aptos;sans-serif"/>
          <w:b/>
          <w:color w:val="000000"/>
          <w:sz w:val="24"/>
        </w:rPr>
        <w:t xml:space="preserve">Benefits. </w:t>
      </w:r>
      <w:r>
        <w:rPr>
          <w:rFonts w:ascii="Aptos;sans-serif" w:hAnsi="Aptos;sans-serif"/>
          <w:color w:val="000000"/>
          <w:sz w:val="24"/>
        </w:rPr>
        <w:t xml:space="preserve">You will be eligible to participate in the Company’s standard benefit programs, subject to the terms and conditions of such plans. The Company may, from time to time, change these benefits in its discretion.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4.</w:t>
      </w:r>
    </w:p>
    <w:p>
      <w:pPr>
        <w:pStyle w:val="TextBody"/>
        <w:bidi w:val="0"/>
        <w:spacing w:before="0" w:after="240"/>
        <w:jc w:val="both"/>
        <w:rPr/>
      </w:pPr>
      <w:r>
        <w:rPr>
          <w:rFonts w:ascii="Aptos;sans-serif" w:hAnsi="Aptos;sans-serif"/>
          <w:b/>
          <w:color w:val="000000"/>
          <w:sz w:val="24"/>
        </w:rPr>
        <w:t xml:space="preserve">Equity Awards. </w:t>
      </w:r>
      <w:r>
        <w:rPr>
          <w:rFonts w:ascii="Aptos;sans-serif" w:hAnsi="Aptos;sans-serif"/>
          <w:color w:val="000000"/>
          <w:sz w:val="24"/>
        </w:rPr>
        <w:t>Subject to approval by the Board of Directors, the Company will grant you an option to purchase 650,000</w:t>
      </w:r>
      <w:r>
        <w:rPr>
          <w:color w:val="000000"/>
        </w:rPr>
        <w:t xml:space="preserve"> </w:t>
      </w:r>
      <w:r>
        <w:rPr>
          <w:rFonts w:ascii="Aptos;sans-serif" w:hAnsi="Aptos;sans-serif"/>
          <w:color w:val="000000"/>
          <w:sz w:val="24"/>
        </w:rPr>
        <w:t xml:space="preserve">shares of the Company’s common stock (the “Option”). The Option shall vest over a four-year period, with one quarter of the shares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subject to the Option vesting on the first anniversary of your Start Date, and the remaining shares vesting equally over the following 36 months of continuous service. The Option shall be issued pursuant to the terms and conditions of the Company’s 2022 Inducement Plan (the “Plan”), at an exercise price equal to 100% of the fair market value of the Company’s common stock on the date of grant, as provided in the Plan and consistent with the requirements for an exemption from the application of Section 409A (“Section 409A”) of the Internal Revenue Code (the “Code”), and shall be governed in all respects by the terms of the Plan, the grant notices and the option agreements.</w:t>
      </w:r>
      <w:r>
        <w:rPr>
          <w:color w:val="000000"/>
        </w:rPr>
        <w:t xml:space="preserve"> </w:t>
      </w:r>
    </w:p>
    <w:p>
      <w:pPr>
        <w:pStyle w:val="TextBody"/>
        <w:bidi w:val="0"/>
        <w:spacing w:before="0" w:after="240"/>
        <w:jc w:val="both"/>
        <w:rPr>
          <w:rFonts w:ascii="Times New Roman" w:hAnsi="Times New Roman"/>
          <w:sz w:val="20"/>
        </w:rPr>
      </w:pPr>
      <w:r>
        <w:rPr>
          <w:rFonts w:ascii="Aptos;sans-serif" w:hAnsi="Aptos;sans-serif"/>
          <w:color w:val="000000"/>
          <w:sz w:val="24"/>
        </w:rPr>
        <w:t>In addition, you will be eligible to receive an annual equity grant in the first quarter of 2027, on the same terms as other similarly situated employees. For any such 2027 grant, your grant will not be prorated based on your start date but will be granted as if you were employed for the full year in 2026.</w:t>
      </w:r>
      <w:r>
        <w:rPr>
          <w:rFonts w:ascii="Times New Roman" w:hAnsi="Times New Roman"/>
          <w:color w:val="000000"/>
          <w:sz w:val="20"/>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5.</w:t>
      </w:r>
    </w:p>
    <w:p>
      <w:pPr>
        <w:pStyle w:val="TextBody"/>
        <w:bidi w:val="0"/>
        <w:spacing w:before="0" w:after="240"/>
        <w:jc w:val="both"/>
        <w:rPr/>
      </w:pPr>
      <w:r>
        <w:rPr>
          <w:rFonts w:ascii="Aptos;sans-serif" w:hAnsi="Aptos;sans-serif"/>
          <w:b/>
          <w:color w:val="000000"/>
          <w:sz w:val="24"/>
        </w:rPr>
        <w:t xml:space="preserve">Performance Bonuses. </w:t>
      </w:r>
      <w:r>
        <w:rPr>
          <w:rFonts w:ascii="Aptos;sans-serif" w:hAnsi="Aptos;sans-serif"/>
          <w:color w:val="000000"/>
          <w:sz w:val="24"/>
        </w:rPr>
        <w:t xml:space="preserve">You will be eligible to earn an annual incentive bonus, with a target equal to 45% of your annual base salary. Whether you receive a bonus, and the amount of any such bonus, shall be determined by the Board of Directors or its Compensation Committee (the “Board”) in its sole discretion, and shall be based upon achievement of performance objectives to be mutually agreed upon between you and the Chief Executive Officer and other criteria to be determined by the Board. Any annual bonus shall be paid within 30 days after the Board’s determination that a bonus shall be awarded and, in any event, shall be paid by March 15 of the immediately following year. If your employment terminates for any reason prior to the end of the calendar year, then you will not have earned a bonus for that year and will not receive any portion of it. Notwithstanding the foregoing, if your employment is terminated by the Company without Cause (as defined below), or you resign for Good Reason (as defined below), in either case after the end of a calendar year, but before the bonus for that year has been paid, then you will remain eligible to a bonus for that preceding year, to be awarded and paid on the same terms as the remaining executive team.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6.</w:t>
      </w:r>
    </w:p>
    <w:p>
      <w:pPr>
        <w:pStyle w:val="TextBody"/>
        <w:bidi w:val="0"/>
        <w:spacing w:before="0" w:after="240"/>
        <w:jc w:val="both"/>
        <w:rPr/>
      </w:pPr>
      <w:r>
        <w:rPr>
          <w:rFonts w:ascii="Aptos;sans-serif" w:hAnsi="Aptos;sans-serif"/>
          <w:b/>
          <w:color w:val="000000"/>
          <w:sz w:val="24"/>
        </w:rPr>
        <w:t>Sign-On Bonus:</w:t>
      </w:r>
      <w:r>
        <w:rPr>
          <w:color w:val="000000"/>
        </w:rPr>
        <w:t xml:space="preserve"> </w:t>
      </w:r>
      <w:r>
        <w:rPr>
          <w:rFonts w:ascii="Aptos;sans-serif" w:hAnsi="Aptos;sans-serif"/>
          <w:color w:val="000000"/>
          <w:sz w:val="24"/>
        </w:rPr>
        <w:t xml:space="preserve">As an incentive for your acceptance of employment with the Company, and subject to the terms and conditions set forth herein and, in the Sign On Bonus and Repayment Agreement attached hereto as </w:t>
      </w:r>
      <w:r>
        <w:rPr>
          <w:rFonts w:ascii="Aptos;sans-serif" w:hAnsi="Aptos;sans-serif"/>
          <w:b/>
          <w:color w:val="000000"/>
          <w:sz w:val="24"/>
        </w:rPr>
        <w:t>Exhibit A</w:t>
      </w:r>
      <w:r>
        <w:rPr>
          <w:color w:val="000000"/>
        </w:rPr>
        <w:t xml:space="preserve"> </w:t>
      </w:r>
      <w:r>
        <w:rPr>
          <w:rFonts w:ascii="Aptos;sans-serif" w:hAnsi="Aptos;sans-serif"/>
          <w:color w:val="000000"/>
          <w:sz w:val="24"/>
        </w:rPr>
        <w:t>and incorporated herein by this reference (the "</w:t>
      </w:r>
      <w:r>
        <w:rPr>
          <w:rFonts w:ascii="Aptos;sans-serif" w:hAnsi="Aptos;sans-serif"/>
          <w:b/>
          <w:color w:val="000000"/>
          <w:sz w:val="24"/>
        </w:rPr>
        <w:t>Sign-on Bonus Agreement</w:t>
      </w:r>
      <w:r>
        <w:rPr>
          <w:rFonts w:ascii="Aptos;sans-serif" w:hAnsi="Aptos;sans-serif"/>
          <w:color w:val="000000"/>
          <w:sz w:val="24"/>
        </w:rPr>
        <w:t>"), the Company agrees to provide you with a signing bonus in the amount and on the terms specified in the Sign-on Bonus Agreement. You acknowledge and agree that entitlement to the signing bonus, the timing of payment, any conditions to receipt, and any repayment obligations are governed exclusively by the Sign-on Bonus Agreement. In the event of any inconsistency between this Agreement and the Sign-on Bonus Agreement with respect to the signing bonus, the terms of the Sign-on Bonus Agreement shall control. The parties acknowledge that the signing bonus is separate from your base salary, annual incentive compensation, equity awards, employee benefits, or any other compensation or benefits provided under this Agreement. This sign-on bonus provision does not alter the at-will nature of your employment.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7.</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 xml:space="preserve">At Will Employment; Severance.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(a)</w:t>
      </w:r>
    </w:p>
    <w:p>
      <w:pPr>
        <w:pStyle w:val="TextBody"/>
        <w:bidi w:val="0"/>
        <w:spacing w:before="0" w:after="240"/>
        <w:jc w:val="both"/>
        <w:rPr/>
      </w:pPr>
      <w:r>
        <w:rPr>
          <w:rFonts w:ascii="Aptos;sans-serif" w:hAnsi="Aptos;sans-serif"/>
          <w:b/>
          <w:color w:val="000000"/>
          <w:sz w:val="24"/>
        </w:rPr>
        <w:t>At-Will Employment</w:t>
      </w:r>
      <w:r>
        <w:rPr>
          <w:rFonts w:ascii="Aptos;sans-serif" w:hAnsi="Aptos;sans-serif"/>
          <w:color w:val="000000"/>
          <w:sz w:val="24"/>
        </w:rPr>
        <w:t>. Your employment with Company will be “at- will.” This means that either you or Company may terminate your employment at any time, with or without Cause (as defined below), and with or without advance notice.</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(b)</w:t>
      </w:r>
    </w:p>
    <w:p>
      <w:pPr>
        <w:pStyle w:val="TextBody"/>
        <w:bidi w:val="0"/>
        <w:spacing w:before="0" w:after="240"/>
        <w:jc w:val="both"/>
        <w:rPr/>
      </w:pPr>
      <w:r>
        <w:rPr>
          <w:rFonts w:ascii="Aptos;sans-serif" w:hAnsi="Aptos;sans-serif"/>
          <w:b/>
          <w:color w:val="000000"/>
          <w:sz w:val="24"/>
        </w:rPr>
        <w:t xml:space="preserve">Termination For Cause; Resignation Without Good Reason. </w:t>
      </w:r>
      <w:r>
        <w:rPr>
          <w:rFonts w:ascii="Aptos;sans-serif" w:hAnsi="Aptos;sans-serif"/>
          <w:color w:val="000000"/>
          <w:sz w:val="24"/>
        </w:rPr>
        <w:t xml:space="preserve">If, at any time, the Company terminates your employment for Cause (as defined herein),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 benefits.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(c)</w:t>
      </w:r>
    </w:p>
    <w:p>
      <w:pPr>
        <w:pStyle w:val="TextBody"/>
        <w:bidi w:val="0"/>
        <w:spacing w:before="0" w:after="240"/>
        <w:jc w:val="both"/>
        <w:rPr/>
      </w:pPr>
      <w:r>
        <w:rPr>
          <w:rFonts w:ascii="Aptos;sans-serif" w:hAnsi="Aptos;sans-serif"/>
          <w:b/>
          <w:color w:val="000000"/>
          <w:sz w:val="24"/>
        </w:rPr>
        <w:t xml:space="preserve">Termination without Cause or Resignation for Good Reason Unrelated to Change in Control. </w:t>
      </w:r>
      <w:r>
        <w:rPr>
          <w:rFonts w:ascii="Aptos;sans-serif" w:hAnsi="Aptos;sans-serif"/>
          <w:color w:val="000000"/>
          <w:sz w:val="24"/>
        </w:rPr>
        <w:t xml:space="preserve">If, at any time outside the Change in Control Period (as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“Separation from Service”), then subject to the preconditions set forth in Section 8 below, you shall be entitled to receive the following severance benefits: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The Company will pay you an amount equal to 12 months of your then-current base salary (excluding any salary reduction that served as the basis for any Good Reason resignation), less all applicable withholdings and deductions, paid on the schedule described in Section 8 below.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(ii)</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You will remain eligible for an annual bonus for the year in which your Separation from Service is effective, with the bonus amount to be determined by the Board based on corporate performance during the year, and then prorated based on your months of service during the applicable bonus year. Any bonus awarded will be subject to deductions and withholdings and paid at the same time as when bonuses are paid to the rest of senior management.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(iii)</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If you timely elect continued coverage under COBRA for yourself and your covered dependents under the Company’s group health plans following such termination or resignation of employment, then the Company shall pay you an additional cash severance payment in an amount calculated by the Company in its discretion to approximate the cost of your COBRA premiums to continue your group health plans for a period of 12 months, less all applicable withholdings and deductions (the “COBRA Severance”). The COBRA Severance will be paid on the same date as the first installment of the severance payment as set forth in Section 7(c)(i) above. You may (but are not required to) use such additional severance to pay for COBRA premiums.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(iv)</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In the event your separation occurs after you complete one year of service with the Company, then the Company will accelerate the vesting of the Option such that 50% of the then unvested shares shall be deemed vested and exercisable.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(d)</w:t>
      </w:r>
    </w:p>
    <w:p>
      <w:pPr>
        <w:pStyle w:val="TextBody"/>
        <w:bidi w:val="0"/>
        <w:spacing w:before="0" w:after="240"/>
        <w:jc w:val="both"/>
        <w:rPr/>
      </w:pPr>
      <w:r>
        <w:rPr>
          <w:rFonts w:ascii="Aptos;sans-serif" w:hAnsi="Aptos;sans-serif"/>
          <w:b/>
          <w:color w:val="000000"/>
          <w:sz w:val="24"/>
        </w:rPr>
        <w:t xml:space="preserve">Termination without Cause or Resignation for Good Reason In Connection with a Change in Control. </w:t>
      </w:r>
      <w:r>
        <w:rPr>
          <w:rFonts w:ascii="Aptos;sans-serif" w:hAnsi="Aptos;sans-serif"/>
          <w:color w:val="000000"/>
          <w:sz w:val="24"/>
        </w:rPr>
        <w:t xml:space="preserve">If, at any time within the Change in Control Period (as defined below), the Company terminates your employment without Cause, or you resign for Good Reason, and other than as a result of your death or disability, and provided such termination constitutes a Separation from Service, then subject to the preconditions set forth in Section 8 below, you shall be entitled to receive the following severance benefits: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The Company will pay you a lump-sum amount equal to 12 months of your then-current base salary plus your target bonus for the year in which your termination occurs (less deductions and withholdings) (excluding any salary or bonus reduction that served as the basis for any Good Reason resignation); provided, however, that if and to the extent necessary to avoid taxation under Section 409A, this amount will instead be paid based on the schedule set forth in Section 7(c)(i).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(ii)</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You will remain eligible for an annual bonus for the year in which your Separation from Service is effective, with the bonus amount to be determined by the Board based on corporate performance during the year and then prorated based on your months of service during the applicable bonus year. Any bonus awarded will be subject to deductions and withholdings and paid at the same time as when bonuses are paid to the rest of senior management.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(iii)</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If you timely elect continued coverage under COBRA for yourself and your covered dependents under the Company’s group health plans following such termination or resignation of employment, then the Company shall provide you with the COBRA Severance. The COBRA Severance will be paid on the same date as the first installment of the severance payment as set forth in Section 7(d)(i) above. You may (but are not required to) use such additional severance to pay for COBRA premiums; and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(iv)</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The Company will accelerate the time-based vesting of your equity grants such that you will be deemed fully vested as to service in all such shares.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8.</w:t>
      </w:r>
    </w:p>
    <w:p>
      <w:pPr>
        <w:pStyle w:val="TextBody"/>
        <w:bidi w:val="0"/>
        <w:spacing w:before="0" w:after="240"/>
        <w:jc w:val="both"/>
        <w:rPr/>
      </w:pPr>
      <w:r>
        <w:rPr>
          <w:rFonts w:ascii="Aptos;sans-serif" w:hAnsi="Aptos;sans-serif"/>
          <w:b/>
          <w:color w:val="000000"/>
          <w:sz w:val="24"/>
        </w:rPr>
        <w:t xml:space="preserve">Severance Conditions. </w:t>
      </w:r>
      <w:r>
        <w:rPr>
          <w:rFonts w:ascii="Aptos;sans-serif" w:hAnsi="Aptos;sans-serif"/>
          <w:color w:val="000000"/>
          <w:sz w:val="24"/>
        </w:rPr>
        <w:t xml:space="preserve">Your receipt of the severance benefits set forth in Section 7 is conditional upon (a) your continuing to comply with your obligations under your Employee Proprietary Information and Invention Assignment Agreement; and (b) your delivering to the Company an effective, general release of claims in favor of the Company within 60 days following your termination date. In addition, any and all severance benefits will be subject to recoupment in accordance with the Company’s clawback policies, to the extent provided therein. The salary continuation set forth in Section 7(c)(i) will be paid in equal installments on the Company’s regular payroll schedule and will be subject to applicable tax withholdings over the period outlined above following the date of your termination date; provided, however, that no payments will be made prior to the 60th day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following your Separation from Service. On the 60th day following your Separation from Service, the Company will pay you in a lump sum the salary continuation that you would have received on or prior to such date under the original schedule but for the delay while waiting for the 60th day in compliance with Section 409A and the effectiveness of the release, with the balance of the salary continuation being paid as originally scheduled.</w:t>
      </w:r>
      <w:r>
        <w:rPr>
          <w:color w:val="000000"/>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9.</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 xml:space="preserve">Definitions.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(a)</w:t>
      </w:r>
    </w:p>
    <w:p>
      <w:pPr>
        <w:pStyle w:val="TextBody"/>
        <w:bidi w:val="0"/>
        <w:spacing w:before="0" w:after="240"/>
        <w:jc w:val="both"/>
        <w:rPr/>
      </w:pPr>
      <w:r>
        <w:rPr>
          <w:rFonts w:ascii="Aptos;sans-serif" w:hAnsi="Aptos;sans-serif"/>
          <w:b/>
          <w:color w:val="000000"/>
          <w:sz w:val="24"/>
        </w:rPr>
        <w:t xml:space="preserve">Cause. </w:t>
      </w:r>
      <w:r>
        <w:rPr>
          <w:rFonts w:ascii="Aptos;sans-serif" w:hAnsi="Aptos;sans-serif"/>
          <w:color w:val="000000"/>
          <w:sz w:val="24"/>
        </w:rPr>
        <w:t xml:space="preserve">For purposes of this Agreement, “Cause” means any of the following: (i) theft, breach of fiduciary duty, or intentional falsification of Company documents or records; (ii) material failure to abide by any Company policy after written notice from the Company regarding failure to abide by such policy; (iii) intentional and unauthorized use, misappropriation, destruction or diversion of any material tangible or intangible asset or corporate opportunity of the Company (including, without limitation, improper use or disclosure of the Company’s confidential or proprietary information); (iv) any intentional act that has a material detrimental effect on the Company’s reputation or business; (v) repeated failure or inability to perform any reasonable assigned duties after written notice from the Company of, and a reasonable opportunity to cure, such failure or inability; (vi) any material breach of any contractual or legal obligation to the Company and the failure to cure within ten days after delivery of written notice thereof (to the extent such breach or violation is curable); or (vii) conviction (including any plea of guilty or nolo contendere) of any felony.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(b)</w:t>
      </w:r>
    </w:p>
    <w:p>
      <w:pPr>
        <w:pStyle w:val="TextBody"/>
        <w:bidi w:val="0"/>
        <w:spacing w:before="0" w:after="240"/>
        <w:jc w:val="both"/>
        <w:rPr/>
      </w:pPr>
      <w:r>
        <w:rPr>
          <w:rFonts w:ascii="Aptos;sans-serif" w:hAnsi="Aptos;sans-serif"/>
          <w:b/>
          <w:color w:val="000000"/>
          <w:sz w:val="24"/>
        </w:rPr>
        <w:t xml:space="preserve">Good Reason. </w:t>
      </w:r>
      <w:r>
        <w:rPr>
          <w:rFonts w:ascii="Aptos;sans-serif" w:hAnsi="Aptos;sans-serif"/>
          <w:color w:val="000000"/>
          <w:sz w:val="24"/>
        </w:rPr>
        <w:t xml:space="preserve">For purposes of this Agreement, “Good Reason” shall mean that you have resigned based on the occurrence of any of the following events: (i) a material diminution in your total target cash compensation (base and bonus) of more than 10% except for across-the-board salary reductions similarly affecting all or substantially all senior executives of the Company; (ii) a change in the geographic location of your primary place of work that results in an increase in your one-way commute by more than 25 miles (provided, however, that neither your transition from remote work to a Company office within 25 miles of your home, nor to remote work from a Company office, will be considered a change in the geographic location of your primary place of work for purposes of this definition); (iii) a material reduction in your job duties or responsibilities; or (iv) a material breach of this Agreement by the Company; provided, however, that you shall not be deemed to have Good Reason if the Company survives as a separate legal entity following a Change in Control and you hold materially the same position in such legal entity as before the Change in Control. A resignation will only be for Good Reason if you deliver written notice of such condition to the Company within 30 days after the initial occurrence of such condition, the Company has failed to cure such condition within 30 days after the delivery of such notice, and you in fact resign within 45 days after you deliver the initial notice.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(c)</w:t>
      </w:r>
    </w:p>
    <w:p>
      <w:pPr>
        <w:pStyle w:val="TextBody"/>
        <w:bidi w:val="0"/>
        <w:spacing w:before="0" w:after="240"/>
        <w:jc w:val="both"/>
        <w:rPr/>
      </w:pPr>
      <w:r>
        <w:rPr>
          <w:rFonts w:ascii="Aptos;sans-serif" w:hAnsi="Aptos;sans-serif"/>
          <w:b/>
          <w:color w:val="000000"/>
          <w:sz w:val="24"/>
        </w:rPr>
        <w:t xml:space="preserve">Change in Control. </w:t>
      </w:r>
      <w:r>
        <w:rPr>
          <w:rFonts w:ascii="Aptos;sans-serif" w:hAnsi="Aptos;sans-serif"/>
          <w:color w:val="000000"/>
          <w:sz w:val="24"/>
        </w:rPr>
        <w:t xml:space="preserve">For purposes of this Agreement, “Change in Control” means (i) a sale of all or substantially all of the Company’s assets other than to an Excluded Entity (as defined below); (ii) a merger, consolidation or other capital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reorganization or business combination transaction of the Company with or into another corporation, limited liability company or other entity other than an Excluded Entity; or (iii) the consummation of a transaction, or series of related transactions, in which any “person” (as such term is used in Sections 13(d) and 14(d) of the Securities Exchange Act of 1934, as amended) becomes the “beneficial owner” (as defined in Rule 13d-3 of the Securities Exchange Act of 1934, as amended), directly or indirectly, of all of the Company’s then outstanding voting securities. An “Excluded Entity” means a corporation or other entity of which the holders of voting capital stock of the Company outstanding immediately prior to such transaction are the direct or indirect holders of voting securities representing a majority of the votes entitled to be cast by all of such corporation’s or other entity’s voting securities outstanding immediately after such transaction.</w:t>
      </w:r>
      <w:r>
        <w:rPr>
          <w:color w:val="000000"/>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(d)</w:t>
      </w:r>
    </w:p>
    <w:p>
      <w:pPr>
        <w:pStyle w:val="TextBody"/>
        <w:bidi w:val="0"/>
        <w:spacing w:before="0" w:after="240"/>
        <w:jc w:val="both"/>
        <w:rPr/>
      </w:pPr>
      <w:r>
        <w:rPr>
          <w:rFonts w:ascii="Aptos;sans-serif" w:hAnsi="Aptos;sans-serif"/>
          <w:b/>
          <w:color w:val="000000"/>
          <w:sz w:val="24"/>
        </w:rPr>
        <w:t xml:space="preserve">Change in Control Period. </w:t>
      </w:r>
      <w:r>
        <w:rPr>
          <w:rFonts w:ascii="Aptos;sans-serif" w:hAnsi="Aptos;sans-serif"/>
          <w:color w:val="000000"/>
          <w:sz w:val="24"/>
        </w:rPr>
        <w:t xml:space="preserve">For purposes of this Agreement, the “Change in Control Period” shall be the period starting three months before the effective date of a Change in Control and extending through the period ending 18 months following the effective date of a Change in Control.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10.</w:t>
      </w:r>
    </w:p>
    <w:p>
      <w:pPr>
        <w:pStyle w:val="TextBody"/>
        <w:bidi w:val="0"/>
        <w:spacing w:before="0" w:after="240"/>
        <w:jc w:val="both"/>
        <w:rPr/>
      </w:pPr>
      <w:r>
        <w:rPr>
          <w:rFonts w:ascii="Aptos;sans-serif" w:hAnsi="Aptos;sans-serif"/>
          <w:b/>
          <w:color w:val="000000"/>
          <w:sz w:val="24"/>
        </w:rPr>
        <w:t xml:space="preserve">Section 409A. </w:t>
      </w:r>
      <w:r>
        <w:rPr>
          <w:rFonts w:ascii="Aptos;sans-serif" w:hAnsi="Aptos;sans-serif"/>
          <w:color w:val="000000"/>
          <w:sz w:val="24"/>
        </w:rPr>
        <w:t xml:space="preserve">The payments and benefits under this Agreement are intended to qualify for exemptions from the application of Section 409A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shall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shall not be provided to you prior to the earliest of (a) the expiration of the six-month period measured from the date of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shall apply: (x) the amount of expenses eligible for reimbursement, 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in-kind benefits provided, during any one taxable year shall not affect the expenses eligible for reimbursement, or in-kind benefit to be provided in any other taxable year, (y) in the case of any reimbursements of eligible expenses, reimbursement shall be made on or before the last day of the taxable year following the taxable year in which the expense was incurred and (z) the right to reimbursement or in-kind benefits shall not be subject to liquidation or exchange for another benefit.</w:t>
      </w:r>
      <w:r>
        <w:rPr>
          <w:color w:val="000000"/>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11.</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 xml:space="preserve">280G.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(a)</w:t>
      </w:r>
    </w:p>
    <w:p>
      <w:pPr>
        <w:pStyle w:val="TextBody"/>
        <w:bidi w:val="0"/>
        <w:spacing w:before="0" w:after="240"/>
        <w:jc w:val="both"/>
        <w:rPr/>
      </w:pPr>
      <w:r>
        <w:rPr>
          <w:rFonts w:ascii="Aptos;sans-serif" w:hAnsi="Aptos;sans-serif"/>
          <w:color w:val="000000"/>
          <w:sz w:val="24"/>
        </w:rPr>
        <w:t xml:space="preserve">If any payment or benefit you will or may receive from the Company or from another source </w:t>
      </w:r>
      <w:r>
        <w:rPr>
          <w:rFonts w:ascii="Aptos;sans-serif" w:hAnsi="Aptos;sans-serif"/>
          <w:b/>
          <w:color w:val="000000"/>
          <w:sz w:val="24"/>
        </w:rPr>
        <w:t>(</w:t>
      </w:r>
      <w:r>
        <w:rPr>
          <w:rFonts w:ascii="Aptos;sans-serif" w:hAnsi="Aptos;sans-serif"/>
          <w:color w:val="000000"/>
          <w:sz w:val="24"/>
        </w:rPr>
        <w:t xml:space="preserve">a “280G Payment”) would (i) constitute a “parachute payment” within the meaning of Section 280G of the Code, and (ii) but for this sentence, be subject to the excise tax imposed by Section 4999 of the Code (the “Excise Tax”), then any such 280G Payment pursuant to this Agreement (a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(b)</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(c)</w:t>
      </w:r>
    </w:p>
    <w:p>
      <w:pPr>
        <w:pStyle w:val="TextBody"/>
        <w:bidi w:val="0"/>
        <w:spacing w:before="0" w:after="240"/>
        <w:jc w:val="both"/>
        <w:rPr>
          <w:rFonts w:ascii="Aptos;sans-serif" w:hAnsi="Aptos;sans-serif"/>
          <w:color w:val="000000"/>
          <w:sz w:val="24"/>
        </w:rPr>
      </w:pPr>
      <w:r>
        <w:rPr>
          <w:rFonts w:ascii="Aptos;sans-serif" w:hAnsi="Aptos;sans-serif"/>
          <w:color w:val="000000"/>
          <w:sz w:val="24"/>
        </w:rPr>
        <w:t xml:space="preserve">If you receive a Payment for which the Reduced Amount was determined pursuant to clause (x) of Section 11(a) and the Internal Revenue Service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determines thereafter that some portion of the Payment is subject to the Excise Tax, you agree to promptly return to the Company a sufficient amount of the Payment (after reduction pursuant to clause (x) of Section 11(a)) so that no portion of the remaining Payment is subject to the Excise Tax. For the avoidance of doubt, if the Reduced Amount was determined pursuant to clause (y) of Section 11(a), you shall have no obligation to return any portion of the Payment pursuant to the preceding sentence.</w:t>
      </w:r>
      <w:r>
        <w:rPr>
          <w:color w:val="000000"/>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12.</w:t>
      </w:r>
    </w:p>
    <w:p>
      <w:pPr>
        <w:pStyle w:val="TextBody"/>
        <w:bidi w:val="0"/>
        <w:spacing w:before="0" w:after="240"/>
        <w:jc w:val="both"/>
        <w:rPr/>
      </w:pPr>
      <w:r>
        <w:rPr>
          <w:rFonts w:ascii="Aptos;sans-serif" w:hAnsi="Aptos;sans-serif"/>
          <w:b/>
          <w:color w:val="000000"/>
          <w:sz w:val="24"/>
        </w:rPr>
        <w:t xml:space="preserve">Confidentiality Obligations. </w:t>
      </w:r>
      <w:r>
        <w:rPr>
          <w:rFonts w:ascii="Aptos;sans-serif" w:hAnsi="Aptos;sans-serif"/>
          <w:color w:val="000000"/>
          <w:sz w:val="24"/>
        </w:rPr>
        <w:t xml:space="preserve">As a condition of your employment, you are required to execute the Company’s standard form of Employee Proprietary Information and Invention Assignment Agreement, a copy of which is attached hereto as </w:t>
      </w:r>
      <w:r>
        <w:rPr>
          <w:rFonts w:ascii="Aptos;sans-serif" w:hAnsi="Aptos;sans-serif"/>
          <w:b/>
          <w:color w:val="000000"/>
          <w:sz w:val="24"/>
          <w:u w:val="single"/>
        </w:rPr>
        <w:t>Exhibit A</w:t>
      </w:r>
      <w:r>
        <w:rPr>
          <w:rFonts w:ascii="Aptos;sans-serif" w:hAnsi="Aptos;sans-serif"/>
          <w:color w:val="000000"/>
          <w:sz w:val="24"/>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13.</w:t>
      </w:r>
    </w:p>
    <w:p>
      <w:pPr>
        <w:pStyle w:val="TextBody"/>
        <w:bidi w:val="0"/>
        <w:spacing w:before="0" w:after="240"/>
        <w:jc w:val="both"/>
        <w:rPr/>
      </w:pPr>
      <w:r>
        <w:rPr>
          <w:rFonts w:ascii="Aptos;sans-serif" w:hAnsi="Aptos;sans-serif"/>
          <w:b/>
          <w:color w:val="000000"/>
          <w:sz w:val="24"/>
        </w:rPr>
        <w:t xml:space="preserve">Arbitration. </w:t>
      </w:r>
      <w:r>
        <w:rPr>
          <w:rFonts w:ascii="Aptos;sans-serif" w:hAnsi="Aptos;sans-serif"/>
          <w:color w:val="000000"/>
          <w:sz w:val="24"/>
        </w:rPr>
        <w:t>To aid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you last worked for the Company or another mutually agreeable location. Notwithstanding the foregoing, if JAMS is unavailable due to location or otherwise, or if the parties mutually agree, then the arbitration shall be conducted by the American Arbitration Association (“</w:t>
      </w:r>
      <w:r>
        <w:rPr>
          <w:rFonts w:ascii="Aptos;sans-serif" w:hAnsi="Aptos;sans-serif"/>
          <w:b/>
          <w:i/>
          <w:color w:val="000000"/>
          <w:sz w:val="24"/>
        </w:rPr>
        <w:t>AAA</w:t>
      </w:r>
      <w:r>
        <w:rPr>
          <w:color w:val="000000"/>
        </w:rPr>
        <w:t>”</w:t>
      </w:r>
      <w:r>
        <w:rPr>
          <w:rFonts w:ascii="Aptos;sans-serif" w:hAnsi="Aptos;sans-serif"/>
          <w:color w:val="000000"/>
          <w:sz w:val="24"/>
        </w:rPr>
        <w:t xml:space="preserve">) or its successor, under AAA’s then applicable rules and procedures appropriate to the relief being sought (available upon request and also currently available at the following web address: https://www.adr.org/sites/default/files/EmploymentRules-Web.pdf), at a location closest to where you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Aptos;sans-serif" w:hAnsi="Aptos;sans-serif"/>
          <w:b/>
          <w:color w:val="000000"/>
          <w:sz w:val="24"/>
        </w:rPr>
        <w:t xml:space="preserve">You acknowledge that by agreeing to this arbitration procedure, both you and the Company waive the right to resolve any such dispute through a trial by jury or judge. </w:t>
      </w:r>
      <w:r>
        <w:rPr>
          <w:rFonts w:ascii="Aptos;sans-serif" w:hAnsi="Aptos;sans-serif"/>
          <w:color w:val="000000"/>
          <w:sz w:val="24"/>
        </w:rPr>
        <w:t xml:space="preserve">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“Excluded Claims”), such as non-individual claims that cannot be waived under applicable law, claims or causes of action alleging sexual harassment or a nonconsensual sexual act or sexual contact, or unemployment or workers’ compensation claims brought before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 xml:space="preserve">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(“PAGA”)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Aptos;sans-serif" w:hAnsi="Aptos;sans-serif"/>
          <w:b/>
          <w:color w:val="000000"/>
          <w:sz w:val="24"/>
        </w:rPr>
        <w:t>You acknowledge that by agreeing to this arbitration procedure, both you and the Company waive all rights to have any dispute be brought, heard, administered, resolved, or arbitrated on a class, representative, or collective action basis</w:t>
      </w:r>
      <w:r>
        <w:rPr>
          <w:rFonts w:ascii="Aptos;sans-serif" w:hAnsi="Aptos;sans-serif"/>
          <w:color w:val="000000"/>
          <w:sz w:val="24"/>
        </w:rPr>
        <w:t>.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 Each party is responsible for its own attorneys’ fees, except as may be expressly set forth in your Employee Proprietary Information and Invention Assignment Agreement or as otherwise provided under applicable law. Nothing in this letter agreement is intended to prevent either you or the Company from seeking or obtaining injunctive relief, or provisional remedies as permitted under applicable law, in court to prevent irreparable harm pending the conclusion of any such arbitration. The pursuit of injunctive relief shall not be deemed incompatible with or constitute a waiver of rights under this Agreement. Any</w:t>
      </w:r>
      <w:r>
        <w:rPr>
          <w:color w:val="00000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ptos;sans-serif" w:hAnsi="Aptos;sans-serif"/>
          <w:color w:val="000000"/>
          <w:sz w:val="24"/>
        </w:rPr>
        <w:t>awards or orders in such arbitrations may be entered and enforced as judgments in the federal and state courts of any competent jurisdiction.</w:t>
      </w:r>
      <w:r>
        <w:rPr>
          <w:color w:val="000000"/>
        </w:rPr>
        <w:t xml:space="preserve"> </w:t>
      </w:r>
    </w:p>
    <w:p>
      <w:pPr>
        <w:pStyle w:val="TextBody"/>
        <w:bidi w:val="0"/>
        <w:spacing w:before="0" w:after="240"/>
        <w:jc w:val="both"/>
        <w:rPr>
          <w:rFonts w:ascii="Aptos;sans-serif" w:hAnsi="Aptos;sans-serif"/>
          <w:b/>
          <w:color w:val="000000"/>
          <w:sz w:val="24"/>
        </w:rPr>
      </w:pPr>
      <w:r>
        <w:rPr>
          <w:rFonts w:ascii="Aptos;sans-serif" w:hAnsi="Aptos;sans-serif"/>
          <w:b/>
          <w:color w:val="000000"/>
          <w:sz w:val="24"/>
        </w:rPr>
        <w:t>14.</w:t>
      </w:r>
    </w:p>
    <w:p>
      <w:pPr>
        <w:pStyle w:val="TextBody"/>
        <w:bidi w:val="0"/>
        <w:spacing w:before="0" w:after="240"/>
        <w:jc w:val="both"/>
        <w:rPr/>
      </w:pPr>
      <w:r>
        <w:rPr>
          <w:rFonts w:ascii="Aptos;sans-serif" w:hAnsi="Aptos;sans-serif"/>
          <w:b/>
          <w:color w:val="000000"/>
          <w:sz w:val="24"/>
        </w:rPr>
        <w:t xml:space="preserve">Miscellaneous. </w:t>
      </w:r>
      <w:r>
        <w:rPr>
          <w:rFonts w:ascii="Aptos;sans-serif" w:hAnsi="Aptos;sans-serif"/>
          <w:color w:val="000000"/>
          <w:sz w:val="24"/>
        </w:rPr>
        <w:t xml:space="preserve">This Agreement (including the Employee Proprietary Information and Invention Assignment Agreement referenced herein </w:t>
      </w:r>
      <w:r>
        <w:rPr>
          <w:rFonts w:ascii="Aptos;sans-serif" w:hAnsi="Aptos;sans-serif"/>
          <w:b/>
          <w:color w:val="000000"/>
          <w:sz w:val="24"/>
        </w:rPr>
        <w:t>Exhibit B</w:t>
      </w:r>
      <w:r>
        <w:rPr>
          <w:rFonts w:ascii="Aptos;sans-serif" w:hAnsi="Aptos;sans-serif"/>
          <w:color w:val="000000"/>
          <w:sz w:val="24"/>
        </w:rPr>
        <w:t>) is the complete and exclusive statement of your agreement with the Company on the subject matters herein, and supersedes and replaces any and all prior agreements or representations with regard to the subject matter hereof, whether written or oral. It is entered into without reliance on any promise or representation other than those expressly contained herein, and it cannot be modified, amended or extended except in a writing signed by you and the CEO.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as if such invalid, illegal or unenforceable provisions had never been contained herein. This Agreement and the terms of your employment with the Company shall be governed in all aspects by the laws of the State of California.</w:t>
      </w:r>
    </w:p>
    <w:p>
      <w:pPr>
        <w:pStyle w:val="TextBody"/>
        <w:bidi w:val="0"/>
        <w:spacing w:before="0" w:after="240"/>
        <w:jc w:val="both"/>
        <w:rPr>
          <w:rFonts w:ascii="Times New Roman" w:hAnsi="Times New Roman"/>
          <w:sz w:val="20"/>
        </w:rPr>
      </w:pPr>
      <w:r>
        <w:rPr>
          <w:rFonts w:ascii="Aptos;sans-serif" w:hAnsi="Aptos;sans-serif"/>
          <w:color w:val="000000"/>
          <w:sz w:val="24"/>
        </w:rPr>
        <w:t>This offer is subject to satisfactory proof of your right to work in the United States and satisfactory completion of a Company-required background check. You agree to assist as needed and to complete any documentation at the Company’s request to meet these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ptos;sans-serif" w:hAnsi="Aptos;sans-serif"/>
          <w:color w:val="000000"/>
          <w:sz w:val="24"/>
        </w:rPr>
        <w:t>If you agree to the terms and conditions set forth herein, please sign below.</w:t>
      </w:r>
      <w:r>
        <w:rPr>
          <w:rFonts w:ascii="Times New Roman" w:hAnsi="Times New Roman"/>
          <w:color w:val="000000"/>
          <w:sz w:val="20"/>
        </w:rPr>
        <w:t xml:space="preserve"> </w:t>
      </w:r>
    </w:p>
    <w:p>
      <w:pPr>
        <w:pStyle w:val="TextBody"/>
        <w:bidi w:val="0"/>
        <w:spacing w:before="0" w:after="120"/>
        <w:jc w:val="left"/>
        <w:rPr>
          <w:rFonts w:ascii="Aptos;sans-serif" w:hAnsi="Aptos;sans-serif"/>
          <w:color w:val="000000"/>
          <w:sz w:val="24"/>
        </w:rPr>
      </w:pPr>
      <w:r>
        <w:rPr>
          <w:rFonts w:ascii="Aptos;sans-serif" w:hAnsi="Aptos;sans-serif"/>
          <w:color w:val="000000"/>
          <w:sz w:val="24"/>
        </w:rPr>
        <w:t>Best regards,</w:t>
      </w:r>
    </w:p>
    <w:tbl>
      <w:tblPr>
        <w:tblW w:w="4767" w:type="dxa"/>
        <w:jc w:val="left"/>
        <w:tblInd w:w="0" w:type="dxa"/>
        <w:tblLayout w:type="fixed"/>
        <w:tblCellMar>
          <w:top w:w="28" w:type="dxa"/>
          <w:left w:w="28" w:type="dxa"/>
          <w:bottom w:w="28" w:type="dxa"/>
          <w:right w:w="28" w:type="dxa"/>
        </w:tblCellMar>
      </w:tblPr>
      <w:tblGrid>
        <w:gridCol w:w="4576"/>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/s/ Sean Bohen</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Sean Bohen, M.D.,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Aptos;sans-serif" w:hAnsi="Aptos;sans-serif"/>
          <w:color w:val="000000"/>
          <w:sz w:val="24"/>
        </w:rPr>
      </w:pPr>
      <w:r>
        <w:rPr>
          <w:rFonts w:ascii="Aptos;sans-serif" w:hAnsi="Aptos;sans-serif"/>
          <w:color w:val="000000"/>
          <w:sz w:val="24"/>
        </w:rPr>
        <w:t>Accepted and agreed:</w:t>
      </w:r>
    </w:p>
    <w:p>
      <w:pPr>
        <w:pStyle w:val="TextBody"/>
        <w:bidi w:val="0"/>
        <w:jc w:val="left"/>
        <w:rPr/>
      </w:pPr>
      <w:r>
        <w:rPr/>
        <w:t> </w:t>
      </w:r>
    </w:p>
    <w:p>
      <w:pPr>
        <w:pStyle w:val="TextBody"/>
        <w:bidi w:val="0"/>
        <w:jc w:val="left"/>
        <w:rPr/>
      </w:pPr>
      <w:r>
        <w:rPr/>
        <w:t> </w:t>
      </w:r>
    </w:p>
    <w:tbl>
      <w:tblPr>
        <w:tblW w:w="2337" w:type="dxa"/>
        <w:jc w:val="left"/>
        <w:tblInd w:w="0" w:type="dxa"/>
        <w:tblLayout w:type="fixed"/>
        <w:tblCellMar>
          <w:top w:w="28" w:type="dxa"/>
          <w:left w:w="28" w:type="dxa"/>
          <w:bottom w:w="28" w:type="dxa"/>
          <w:right w:w="28" w:type="dxa"/>
        </w:tblCellMar>
      </w:tblPr>
      <w:tblGrid>
        <w:gridCol w:w="214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Aptos;sans-serif" w:hAnsi="Aptos;sans-serif"/>
                <w:color w:val="000000"/>
                <w:sz w:val="24"/>
              </w:rPr>
              <w:t>/s/</w:t>
            </w:r>
            <w:r>
              <w:rPr>
                <w:rFonts w:ascii="Times New Roman" w:hAnsi="Times New Roman"/>
                <w:color w:val="000000"/>
                <w:sz w:val="24"/>
              </w:rPr>
              <w:t xml:space="preserve"> </w:t>
            </w:r>
            <w:r>
              <w:rPr>
                <w:rFonts w:ascii="Aptos;sans-serif" w:hAnsi="Aptos;sans-serif"/>
                <w:color w:val="000000"/>
                <w:sz w:val="24"/>
              </w:rPr>
              <w:t>Jason O’Byrne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Jason O’Byrne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2188" w:type="dxa"/>
        <w:jc w:val="left"/>
        <w:tblInd w:w="0" w:type="dxa"/>
        <w:tblLayout w:type="fixed"/>
        <w:tblCellMar>
          <w:top w:w="28" w:type="dxa"/>
          <w:left w:w="28" w:type="dxa"/>
          <w:bottom w:w="28" w:type="dxa"/>
          <w:right w:w="28" w:type="dxa"/>
        </w:tblCellMar>
      </w:tblPr>
      <w:tblGrid>
        <w:gridCol w:w="691"/>
        <w:gridCol w:w="1306"/>
        <w:gridCol w:w="191"/>
      </w:tblGrid>
      <w:tr>
        <w:trPr/>
        <w:tc>
          <w:tcPr>
            <w:tcW w:w="69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Date</w:t>
            </w:r>
          </w:p>
        </w:tc>
        <w:tc>
          <w:tcPr>
            <w:tcW w:w="1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7/24/2026</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EXHIBIT A</w:t>
      </w:r>
    </w:p>
    <w:p>
      <w:pPr>
        <w:pStyle w:val="TextBody"/>
        <w:bidi w:val="0"/>
        <w:jc w:val="center"/>
        <w:rPr/>
      </w:pPr>
      <w:r>
        <w:rPr/>
        <w:t> </w:t>
      </w:r>
    </w:p>
    <w:p>
      <w:pPr>
        <w:pStyle w:val="TextBody"/>
        <w:bidi w:val="0"/>
        <w:jc w:val="center"/>
        <w:rPr>
          <w:rFonts w:ascii="Aptos;sans-serif" w:hAnsi="Aptos;sans-serif"/>
          <w:b/>
          <w:caps/>
          <w:color w:val="000000"/>
          <w:sz w:val="24"/>
        </w:rPr>
      </w:pPr>
      <w:r>
        <w:rPr>
          <w:rFonts w:ascii="Aptos;sans-serif" w:hAnsi="Aptos;sans-serif"/>
          <w:b/>
          <w:caps/>
          <w:color w:val="000000"/>
          <w:sz w:val="24"/>
        </w:rPr>
        <w:t>Olema Pharmaceuticals, Inc.</w:t>
      </w:r>
    </w:p>
    <w:p>
      <w:pPr>
        <w:pStyle w:val="TextBody"/>
        <w:bidi w:val="0"/>
        <w:jc w:val="left"/>
        <w:rPr/>
      </w:pPr>
      <w:r>
        <w:rPr/>
        <w:t> </w:t>
      </w:r>
    </w:p>
    <w:p>
      <w:pPr>
        <w:pStyle w:val="TextBody"/>
        <w:bidi w:val="0"/>
        <w:jc w:val="center"/>
        <w:rPr>
          <w:rFonts w:ascii="Times New Roman" w:hAnsi="Times New Roman"/>
          <w:sz w:val="20"/>
        </w:rPr>
      </w:pPr>
      <w:r>
        <w:rPr>
          <w:rFonts w:ascii="Aptos;sans-serif" w:hAnsi="Aptos;sans-serif"/>
          <w:i/>
          <w:color w:val="000000"/>
          <w:sz w:val="24"/>
        </w:rPr>
        <w:t>Exhibit A is intended for your review only, signature will be collected in a separate DocuSign.</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80"/>
        <w:jc w:val="center"/>
        <w:rPr>
          <w:rFonts w:ascii="Aptos;sans-serif" w:hAnsi="Aptos;sans-serif"/>
          <w:b/>
          <w:color w:val="000000"/>
          <w:sz w:val="24"/>
        </w:rPr>
      </w:pPr>
      <w:r>
        <w:rPr>
          <w:rFonts w:ascii="Aptos;sans-serif" w:hAnsi="Aptos;sans-serif"/>
          <w:b/>
          <w:color w:val="000000"/>
          <w:sz w:val="24"/>
        </w:rPr>
        <w:t>Sign-On Bonus Agreement</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July 24, 2026</w:t>
      </w:r>
    </w:p>
    <w:p>
      <w:pPr>
        <w:pStyle w:val="TextBody"/>
        <w:bidi w:val="0"/>
        <w:jc w:val="both"/>
        <w:rPr/>
      </w:pPr>
      <w:r>
        <w:rPr/>
        <w:t> </w:t>
      </w:r>
    </w:p>
    <w:p>
      <w:pPr>
        <w:pStyle w:val="TextBody"/>
        <w:bidi w:val="0"/>
        <w:jc w:val="left"/>
        <w:rPr>
          <w:rFonts w:ascii="Aptos;sans-serif" w:hAnsi="Aptos;sans-serif"/>
          <w:color w:val="000000"/>
          <w:sz w:val="24"/>
        </w:rPr>
      </w:pPr>
      <w:r>
        <w:rPr>
          <w:rFonts w:ascii="Aptos;sans-serif" w:hAnsi="Aptos;sans-serif"/>
          <w:color w:val="000000"/>
          <w:sz w:val="24"/>
        </w:rPr>
        <w:t>Jason O’Byrne</w:t>
      </w:r>
    </w:p>
    <w:p>
      <w:pPr>
        <w:pStyle w:val="TextBody"/>
        <w:bidi w:val="0"/>
        <w:jc w:val="left"/>
        <w:rPr>
          <w:rFonts w:ascii="Aptos;sans-serif" w:hAnsi="Aptos;sans-serif"/>
          <w:color w:val="000000"/>
          <w:sz w:val="24"/>
        </w:rPr>
      </w:pPr>
      <w:r>
        <w:rPr>
          <w:rFonts w:ascii="Aptos;sans-serif" w:hAnsi="Aptos;sans-serif"/>
          <w:color w:val="000000"/>
          <w:sz w:val="24"/>
        </w:rPr>
        <w:t>EMAIL/DOCUSIGN</w:t>
      </w:r>
    </w:p>
    <w:p>
      <w:pPr>
        <w:pStyle w:val="TextBody"/>
        <w:bidi w:val="0"/>
        <w:jc w:val="both"/>
        <w:rPr/>
      </w:pPr>
      <w:r>
        <w:rPr/>
        <w:t> </w:t>
      </w:r>
    </w:p>
    <w:p>
      <w:pPr>
        <w:pStyle w:val="TextBody"/>
        <w:bidi w:val="0"/>
        <w:spacing w:before="0" w:after="240"/>
        <w:jc w:val="both"/>
        <w:rPr>
          <w:rFonts w:ascii="Times New Roman" w:hAnsi="Times New Roman"/>
          <w:sz w:val="20"/>
        </w:rPr>
      </w:pPr>
      <w:r>
        <w:rPr>
          <w:rFonts w:ascii="Aptos;sans-serif" w:hAnsi="Aptos;sans-serif"/>
          <w:b/>
          <w:color w:val="000000"/>
          <w:sz w:val="24"/>
        </w:rPr>
        <w:t>Re:</w:t>
      </w:r>
      <w:r>
        <w:rPr>
          <w:rFonts w:ascii="Times New Roman" w:hAnsi="Times New Roman"/>
          <w:color w:val="000000"/>
          <w:sz w:val="20"/>
        </w:rPr>
        <w:t xml:space="preserve"> </w:t>
      </w:r>
      <w:r>
        <w:rPr>
          <w:rFonts w:ascii="Aptos;sans-serif" w:hAnsi="Aptos;sans-serif"/>
          <w:b/>
          <w:color w:val="000000"/>
          <w:sz w:val="24"/>
        </w:rPr>
        <w:t>Sign-On Bonus</w:t>
      </w:r>
      <w:r>
        <w:rPr>
          <w:rFonts w:ascii="Times New Roman" w:hAnsi="Times New Roman"/>
          <w:color w:val="000000"/>
          <w:sz w:val="20"/>
        </w:rPr>
        <w:t xml:space="preserve"> </w:t>
      </w:r>
    </w:p>
    <w:p>
      <w:pPr>
        <w:pStyle w:val="TextBody"/>
        <w:bidi w:val="0"/>
        <w:spacing w:before="0" w:after="240"/>
        <w:jc w:val="both"/>
        <w:rPr>
          <w:rFonts w:ascii="Aptos;sans-serif" w:hAnsi="Aptos;sans-serif"/>
          <w:color w:val="000000"/>
          <w:sz w:val="24"/>
        </w:rPr>
      </w:pPr>
      <w:r>
        <w:rPr>
          <w:rFonts w:ascii="Aptos;sans-serif" w:hAnsi="Aptos;sans-serif"/>
          <w:color w:val="000000"/>
          <w:sz w:val="24"/>
        </w:rPr>
        <w:t>Dear Jason:</w:t>
      </w:r>
    </w:p>
    <w:p>
      <w:pPr>
        <w:pStyle w:val="TextBody"/>
        <w:bidi w:val="0"/>
        <w:spacing w:before="0" w:after="240"/>
        <w:jc w:val="both"/>
        <w:rPr>
          <w:rFonts w:ascii="Aptos;sans-serif" w:hAnsi="Aptos;sans-serif"/>
          <w:color w:val="000000"/>
          <w:sz w:val="24"/>
        </w:rPr>
      </w:pPr>
      <w:r>
        <w:rPr>
          <w:rFonts w:ascii="Aptos;sans-serif" w:hAnsi="Aptos;sans-serif"/>
          <w:color w:val="000000"/>
          <w:sz w:val="24"/>
        </w:rPr>
        <w:t>In recognition of your acceptance of our offer and the Company’s important future objectives, Olema Pharmaceuticals, Inc. (the “Company”) is offering you a Sign-On/Retention Payment, subject to the terms and conditions described herein.</w:t>
      </w:r>
    </w:p>
    <w:p>
      <w:pPr>
        <w:pStyle w:val="TextBody"/>
        <w:bidi w:val="0"/>
        <w:spacing w:before="0" w:after="240"/>
        <w:jc w:val="both"/>
        <w:rPr>
          <w:rFonts w:ascii="Times New Roman" w:hAnsi="Times New Roman"/>
          <w:sz w:val="20"/>
        </w:rPr>
      </w:pPr>
      <w:r>
        <w:rPr>
          <w:rFonts w:ascii="Aptos;sans-serif" w:hAnsi="Aptos;sans-serif"/>
          <w:color w:val="000000"/>
          <w:sz w:val="24"/>
        </w:rPr>
        <w:t xml:space="preserve">A lump sum amount of </w:t>
      </w:r>
      <w:r>
        <w:rPr>
          <w:rFonts w:ascii="Aptos;sans-serif" w:hAnsi="Aptos;sans-serif"/>
          <w:b/>
          <w:color w:val="000000"/>
          <w:sz w:val="24"/>
        </w:rPr>
        <w:t>$250,000</w:t>
      </w:r>
      <w:r>
        <w:rPr>
          <w:rFonts w:ascii="Times New Roman" w:hAnsi="Times New Roman"/>
          <w:color w:val="000000"/>
          <w:sz w:val="20"/>
        </w:rPr>
        <w:t xml:space="preserve"> </w:t>
      </w:r>
      <w:r>
        <w:rPr>
          <w:rFonts w:ascii="Aptos;sans-serif" w:hAnsi="Aptos;sans-serif"/>
          <w:color w:val="000000"/>
          <w:sz w:val="24"/>
        </w:rPr>
        <w:t>(the “Sign-On/Retention Payment”) will be advanced to you within 30 days after your Start Date, less applicable deductions and withholdings, unless you elect the deferral option specified herein. The Sign-On/Retention Payment will not be fully earned unless and until you remain employed with the Company through the date that is twelve months after your Start Date (the “Retention Date” and the twelve-month service period, the “Service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ptos;sans-serif" w:hAnsi="Aptos;sans-serif"/>
          <w:color w:val="000000"/>
          <w:sz w:val="24"/>
        </w:rPr>
        <w:t xml:space="preserve">In addition, provided you remain continuously employed through the Service Period, you will receive a </w:t>
      </w:r>
      <w:r>
        <w:rPr>
          <w:rFonts w:ascii="Aptos;sans-serif" w:hAnsi="Aptos;sans-serif"/>
          <w:b/>
          <w:color w:val="000000"/>
          <w:sz w:val="24"/>
        </w:rPr>
        <w:t xml:space="preserve">$100,000 </w:t>
      </w:r>
      <w:r>
        <w:rPr>
          <w:rFonts w:ascii="Aptos;sans-serif" w:hAnsi="Aptos;sans-serif"/>
          <w:color w:val="000000"/>
          <w:sz w:val="24"/>
        </w:rPr>
        <w:t>lump-sum retention payment (the "</w:t>
      </w:r>
      <w:r>
        <w:rPr>
          <w:rFonts w:ascii="Aptos;sans-serif" w:hAnsi="Aptos;sans-serif"/>
          <w:b/>
          <w:color w:val="000000"/>
          <w:sz w:val="24"/>
        </w:rPr>
        <w:t xml:space="preserve">Anniversary Retention Payment", </w:t>
      </w:r>
      <w:r>
        <w:rPr>
          <w:rFonts w:ascii="Aptos;sans-serif" w:hAnsi="Aptos;sans-serif"/>
          <w:color w:val="000000"/>
          <w:sz w:val="24"/>
        </w:rPr>
        <w:t>and together with the Sign-On/Retention Payment, the “Retention Payments”) within 30 days following your first anniversary of employment, less applicable deductions and withholdings. The Anniversary Retention Payment will not be fully earned unless and until you remain continuously employed through the date that is twenty-four (24) months after your Start Date (the "</w:t>
      </w:r>
      <w:r>
        <w:rPr>
          <w:rFonts w:ascii="Aptos;sans-serif" w:hAnsi="Aptos;sans-serif"/>
          <w:b/>
          <w:color w:val="000000"/>
          <w:sz w:val="24"/>
        </w:rPr>
        <w:t>Second Retention Date</w:t>
      </w:r>
      <w:r>
        <w:rPr>
          <w:rFonts w:ascii="Aptos;sans-serif" w:hAnsi="Aptos;sans-serif"/>
          <w:color w:val="000000"/>
          <w:sz w:val="24"/>
        </w:rPr>
        <w:t>", and together with the Retention Date, the “Retention Period”).</w:t>
      </w:r>
    </w:p>
    <w:p>
      <w:pPr>
        <w:pStyle w:val="TextBody"/>
        <w:bidi w:val="0"/>
        <w:spacing w:before="0" w:after="240"/>
        <w:jc w:val="both"/>
        <w:rPr>
          <w:rFonts w:ascii="Times New Roman" w:hAnsi="Times New Roman"/>
          <w:sz w:val="20"/>
        </w:rPr>
      </w:pPr>
      <w:r>
        <w:rPr>
          <w:rFonts w:ascii="Aptos;sans-serif" w:hAnsi="Aptos;sans-serif"/>
          <w:color w:val="000000"/>
          <w:sz w:val="24"/>
        </w:rPr>
        <w:t>If, prior to the Retention Date or the Second Retention Date, (a) you resign your employment or (b) the Company terminates your employment for misconduct (collectively with (a), “Cause”), you will be required to repay to the Company within 30 days after your last day of employment with the Company, an amount of the Sign-On/Retention Payment or the Anniversary Retention Payment, as applicable, prorated based on each month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Aptos;sans-serif" w:hAnsi="Aptos;sans-serif"/>
          <w:color w:val="000000"/>
          <w:sz w:val="24"/>
        </w:rPr>
        <w:t>employment remaining in the Service Period. Any repayment obligation under this Agreement shall be interest-free.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ptos;sans-serif" w:hAnsi="Aptos;sans-serif"/>
          <w:color w:val="000000"/>
          <w:sz w:val="24"/>
        </w:rPr>
        <w:t xml:space="preserve">If you prefer, you may instead irrevocably elect to receive the Sign-On/Retention Payment at the completion of the Service Period, in which case the Sign-On/Retention Payment or the Anniversary Retention Payment will be paid in a lump sum within 30 days after the Retention Date or the Second Retention Date (as applicable), less applicable deductions and withholdings, subject to your continued employment with the Company through the Retention Date. You must make this election by </w:t>
      </w:r>
      <w:r>
        <w:rPr>
          <w:rFonts w:ascii="Aptos;sans-serif" w:hAnsi="Aptos;sans-serif"/>
          <w:b/>
          <w:color w:val="000000"/>
          <w:sz w:val="24"/>
        </w:rPr>
        <w:t>July 31, 2026</w:t>
      </w:r>
      <w:r>
        <w:rPr>
          <w:rFonts w:ascii="Times New Roman" w:hAnsi="Times New Roman"/>
          <w:color w:val="000000"/>
          <w:sz w:val="20"/>
        </w:rPr>
        <w:t xml:space="preserve"> </w:t>
      </w:r>
      <w:r>
        <w:rPr>
          <w:rFonts w:ascii="Aptos;sans-serif" w:hAnsi="Aptos;sans-serif"/>
          <w:color w:val="000000"/>
          <w:sz w:val="24"/>
        </w:rPr>
        <w:t>but in no event later than the Start Date. If your employment terminates before completing the Service Period, you will not receive the Retention Payments.</w:t>
      </w:r>
    </w:p>
    <w:p>
      <w:pPr>
        <w:pStyle w:val="TextBody"/>
        <w:bidi w:val="0"/>
        <w:spacing w:before="0" w:after="240"/>
        <w:jc w:val="both"/>
        <w:rPr>
          <w:rFonts w:ascii="Times New Roman" w:hAnsi="Times New Roman"/>
          <w:sz w:val="20"/>
        </w:rPr>
      </w:pPr>
      <w:r>
        <w:rPr>
          <w:rFonts w:ascii="Aptos;sans-serif" w:hAnsi="Aptos;sans-serif"/>
          <w:color w:val="000000"/>
          <w:sz w:val="24"/>
        </w:rPr>
        <w:t>All payments and benefits provided under this Agreement are intended to either be exempt from or compliant with Section 409A of the Internal Revenue Code (“Section 409A”). References to “resignation,” “termination of employment,” “separation from service” and like terms shall mean a “separation from service,” as defined in the regulations under Section 409A without regard to alternative definitions thereunder. Notwithstanding anything to the contrary in this Agreement, if you are deemed by the Company at the time of a separation from service to be a “specified employee” for purposes of Section 409A, then to the extent delayed commencement of any portion of such payments is required in order to avoid a prohibited distribution under Section 409A(a)(2)(B)(i), such payments shall not be provided to you prior to the earliest of (i) the expiration of the six-month period measured from the date of your separation from service, (ii) the date of your death or (iii) such earlier date as permitted under Section 409A without the imposition of adverse taxation. No interest shall be due on any amounts so deferred. The Company makes no representation or warranty and will have no liability to you or any other person if any payments under any provisions of the Agreement should fail to satisfy the requirements of 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ptos;sans-serif" w:hAnsi="Aptos;sans-serif"/>
          <w:color w:val="000000"/>
          <w:sz w:val="24"/>
        </w:rPr>
        <w:t>Nothing in this letter alters the status of your at-will employment relationship with the Company. Nor do the terms herein affect the terms and conditions of your offer letter from the Company or supersede such offer letter or any other agreements with the Company.</w:t>
      </w:r>
      <w:r>
        <w:rPr>
          <w:rFonts w:ascii="Times New Roman" w:hAnsi="Times New Roman"/>
          <w:color w:val="000000"/>
          <w:sz w:val="20"/>
        </w:rPr>
        <w:t xml:space="preserve"> </w:t>
      </w:r>
    </w:p>
    <w:p>
      <w:pPr>
        <w:pStyle w:val="TextBody"/>
        <w:bidi w:val="0"/>
        <w:spacing w:before="0" w:after="240"/>
        <w:jc w:val="both"/>
        <w:rPr>
          <w:rFonts w:ascii="Aptos;sans-serif" w:hAnsi="Aptos;sans-serif"/>
          <w:color w:val="000000"/>
          <w:sz w:val="24"/>
        </w:rPr>
      </w:pPr>
      <w:r>
        <w:rPr>
          <w:rFonts w:ascii="Aptos;sans-serif" w:hAnsi="Aptos;sans-serif"/>
          <w:color w:val="000000"/>
          <w:sz w:val="24"/>
        </w:rPr>
        <w:t>You acknowledge you have been advised that you have the right to consult an attorney regarding this Agreement and that you were given a reasonable time period of not less than five business days in which to do so.</w:t>
      </w:r>
    </w:p>
    <w:p>
      <w:pPr>
        <w:pStyle w:val="TextBody"/>
        <w:bidi w:val="0"/>
        <w:jc w:val="both"/>
        <w:rPr>
          <w:rFonts w:ascii="Times New Roman" w:hAnsi="Times New Roman"/>
          <w:sz w:val="20"/>
        </w:rPr>
      </w:pPr>
      <w:r>
        <w:rPr>
          <w:rFonts w:ascii="Aptos;sans-serif" w:hAnsi="Aptos;sans-serif"/>
          <w:color w:val="000000"/>
          <w:sz w:val="24"/>
        </w:rPr>
        <w:t>The terms set forth herein form the complete and exclusive statement of terms between you and the Company regarding this subject matter. These terms supersede any other agreements or promises made to you by anyone, whether oral or written, on this subject, and cannot be modified or amended except in a writing signed by a duly authorized officer of the Company.</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Sincerely,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Sean Bohen</w:t>
      </w:r>
      <w:r>
        <w:rPr>
          <w:rFonts w:ascii="Times New Roman" w:hAnsi="Times New Roman"/>
          <w:color w:val="000000"/>
          <w:sz w:val="20"/>
        </w:rPr>
        <w:t xml:space="preserve"> </w:t>
      </w:r>
    </w:p>
    <w:tbl>
      <w:tblPr>
        <w:tblW w:w="4767" w:type="dxa"/>
        <w:jc w:val="left"/>
        <w:tblInd w:w="0" w:type="dxa"/>
        <w:tblLayout w:type="fixed"/>
        <w:tblCellMar>
          <w:top w:w="28" w:type="dxa"/>
          <w:left w:w="28" w:type="dxa"/>
          <w:bottom w:w="28" w:type="dxa"/>
          <w:right w:w="28" w:type="dxa"/>
        </w:tblCellMar>
      </w:tblPr>
      <w:tblGrid>
        <w:gridCol w:w="4576"/>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By signing below, I acknowledge that I have been provided at least five (5) business days to review this Agreement and that I have been advised of my right to consult an attorney prior to signing. I acknowledge that I have read, understand and agree with the terms set forth herein:</w:t>
      </w:r>
    </w:p>
    <w:p>
      <w:pPr>
        <w:pStyle w:val="TextBody"/>
        <w:bidi w:val="0"/>
        <w:spacing w:before="720" w:after="240"/>
        <w:jc w:val="both"/>
        <w:rPr>
          <w:rFonts w:ascii="Aptos;sans-serif" w:hAnsi="Aptos;sans-serif"/>
          <w:color w:val="000000"/>
          <w:sz w:val="24"/>
        </w:rPr>
      </w:pPr>
      <w:r>
        <w:rPr>
          <w:rFonts w:ascii="Aptos;sans-serif" w:hAnsi="Aptos;sans-serif"/>
          <w:color w:val="000000"/>
          <w:sz w:val="24"/>
        </w:rPr>
        <w:br/>
        <w:t>Jason O’Byrne Date</w:t>
      </w:r>
    </w:p>
    <w:p>
      <w:pPr>
        <w:pStyle w:val="TextBody"/>
        <w:bidi w:val="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Aptos;sans-serif" w:hAnsi="Aptos;sans-serif"/>
          <w:b/>
          <w:color w:val="000000"/>
          <w:sz w:val="24"/>
        </w:rPr>
        <w:t>[ ] Deferral Election.</w:t>
      </w:r>
      <w:r>
        <w:rPr>
          <w:rFonts w:ascii="Times New Roman" w:hAnsi="Times New Roman"/>
          <w:color w:val="000000"/>
          <w:sz w:val="20"/>
        </w:rPr>
        <w:t xml:space="preserve"> </w:t>
      </w:r>
      <w:r>
        <w:rPr>
          <w:rFonts w:ascii="Aptos;sans-serif" w:hAnsi="Aptos;sans-serif"/>
          <w:color w:val="000000"/>
          <w:sz w:val="24"/>
        </w:rPr>
        <w:t>I hereby irrevocably elect to receive the Retention Payments in a lump sum at the completion of the Service Period or the Second Retention Date (as applicable), in which case the Sign-On/Retention Payment or the Anniversary Retention Payment will be paid within 30 days of the Retention Date or Second Retention Date (as applicable), subject to the terms of this Agreement. I understand that once submitted, this election is irrevocable.</w:t>
      </w:r>
    </w:p>
    <w:p>
      <w:pPr>
        <w:pStyle w:val="TextBody"/>
        <w:bidi w:val="0"/>
        <w:jc w:val="left"/>
        <w:rPr>
          <w:rFonts w:ascii="Aptos;sans-serif" w:hAnsi="Aptos;sans-serif"/>
          <w:b/>
          <w:color w:val="000000"/>
          <w:sz w:val="24"/>
        </w:rPr>
      </w:pPr>
      <w:r>
        <w:rPr>
          <w:rFonts w:ascii="Aptos;sans-serif" w:hAnsi="Aptos;sans-serif"/>
          <w:b/>
          <w:color w:val="000000"/>
          <w:sz w:val="24"/>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EXHIBIT B</w:t>
      </w:r>
    </w:p>
    <w:p>
      <w:pPr>
        <w:pStyle w:val="TextBody"/>
        <w:bidi w:val="0"/>
        <w:jc w:val="center"/>
        <w:rPr/>
      </w:pPr>
      <w:r>
        <w:rPr/>
        <w:t> </w:t>
      </w:r>
    </w:p>
    <w:p>
      <w:pPr>
        <w:pStyle w:val="TextBody"/>
        <w:bidi w:val="0"/>
        <w:jc w:val="center"/>
        <w:rPr>
          <w:rFonts w:ascii="Aptos;sans-serif" w:hAnsi="Aptos;sans-serif"/>
          <w:b/>
          <w:color w:val="000000"/>
          <w:sz w:val="24"/>
        </w:rPr>
      </w:pPr>
      <w:bookmarkStart w:id="4" w:name="employee_proprietary_information_and_inv"/>
      <w:bookmarkEnd w:id="4"/>
      <w:r>
        <w:rPr>
          <w:rFonts w:ascii="Aptos;sans-serif" w:hAnsi="Aptos;sans-serif"/>
          <w:b/>
          <w:color w:val="000000"/>
          <w:sz w:val="24"/>
        </w:rPr>
        <w:t>EMPLOYEE PROPRIETARY INFORMATION AND INVENTION ASSIGNMENT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5" w:name="olma-ex99_1.htm"/>
      <w:bookmarkStart w:id="6" w:name="ksolmaex99_1"/>
      <w:bookmarkEnd w:id="5"/>
      <w:bookmarkEnd w:id="6"/>
      <w:r>
        <w:rPr>
          <w:rFonts w:ascii="Aptos;sans-serif" w:hAnsi="Aptos;sans-serif"/>
          <w:b/>
          <w:color w:val="000000"/>
          <w:sz w:val="24"/>
        </w:rPr>
        <w:t>Exhibit 99.1</w:t>
      </w:r>
      <w:r>
        <w:br w:type="page"/>
      </w:r>
    </w:p>
    <w:p>
      <w:pPr>
        <w:pStyle w:val="TextBody"/>
        <w:bidi w:val="0"/>
        <w:jc w:val="left"/>
        <w:rPr/>
      </w:pPr>
      <w:r>
        <w:rPr/>
        <w:t> </w:t>
      </w:r>
    </w:p>
    <w:p>
      <w:pPr>
        <w:pStyle w:val="TextBody"/>
        <w:bidi w:val="0"/>
        <w:jc w:val="left"/>
        <w:rPr/>
      </w:pPr>
      <w:r>
        <w:rPr/>
        <w:drawing>
          <wp:inline distT="0" distB="0" distL="0" distR="0">
            <wp:extent cx="1924050"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4050" cy="638175"/>
                    </a:xfrm>
                    <a:prstGeom prst="rect">
                      <a:avLst/>
                    </a:prstGeom>
                  </pic:spPr>
                </pic:pic>
              </a:graphicData>
            </a:graphic>
          </wp:inline>
        </w:drawing>
      </w:r>
    </w:p>
    <w:p>
      <w:pPr>
        <w:pStyle w:val="TextBody"/>
        <w:bidi w:val="0"/>
        <w:jc w:val="left"/>
        <w:rPr/>
      </w:pPr>
      <w:r>
        <w:rPr/>
        <w:t> </w:t>
      </w:r>
    </w:p>
    <w:p>
      <w:pPr>
        <w:pStyle w:val="TextBody"/>
        <w:bidi w:val="0"/>
        <w:jc w:val="left"/>
        <w:rPr>
          <w:rFonts w:ascii="Aptos;sans-serif" w:hAnsi="Aptos;sans-serif"/>
          <w:b/>
          <w:color w:val="000000"/>
          <w:sz w:val="28"/>
        </w:rPr>
      </w:pPr>
      <w:r>
        <w:rPr>
          <w:rFonts w:ascii="Aptos;sans-serif" w:hAnsi="Aptos;sans-serif"/>
          <w:b/>
          <w:color w:val="000000"/>
          <w:sz w:val="28"/>
        </w:rPr>
        <w:t>Olema Oncology Appoints Jason O’Byrne as Chief Financial Officer</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SAN FRANCISCO, August 13, 2026 (Globe NewsWire) – Olema Pharmaceuticals, Inc. (“Olema” or “Olema Oncology”, Nasdaq: OLMA), a clinical-stage biopharmaceutical company focused on the discovery, development, and commercialization of targeted therapies for breast cancer and beyond, today announced the appointment of Jason O’Byrne, MBA, as Chief Financial Officer.</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2"/>
        </w:rPr>
        <w:t>We are very pleased to welcome Jason to Olema at an important time for the Company,” said Sean P. Bohen, M.D., Ph.D., President and Chief Executive Officer of Olema Oncology. “As we approach pivotal data from OPERA-01 and prepare for our first potential commercial launch, the breadth and depth of Jason’s expertise in corporate strategy, capital markets, business development, and financial management and operations will be essential as we continue Olema’s transformation into a fully integrated oncology company.”</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Mr. O’Byrne brings more than two decades of finance and global operations leadership across high-growth biotechnology and pharmaceutical organizations. He joins Olema from Vir Biotechnology, where he served as Executive Vice President and Chief Financial Officer, leading the Finance, Investor Relations, and Information Technology functions. Previously, Mr. O’Byrne was Chief Financial Officer of Caribou Biosciences. Across both organizations, he led a wide range of financial and capital markets initiatives, including Caribou’s initial public offering. Prior to Caribou, he served as Senior Vice President of Finance at Audentes Therapeutics, where he oversaw financial due diligence and integration for its $3 billion acquisition by Astellas Pharma. Earlier in his career, Mr. O’Byrne spent over a decade at Genentech and Roche in finance leadership roles of increasing responsibility, spanning clinical development, commercial, and global operations. He holds an MBA in Finance, with distinction, from New York University’s Stern School of Business and a Bachelor of Applied Science in Mechanical Engineering from the University of British Columbia.</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"I am thrilled to join Olema at such an exciting stage in its evolution and believe palazestrant and OP-3136 have the potential to meaningfully improve the lives of people living with breast cancer and beyond,” said Mr. O'Byrne. “With a strong balance sheet and a series of important milestones ahead, I look forward to working with Sean and the executive team to help scale Olema through this next chapter and deliver durable benefit to patients and long-term value to shareholders."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Olema Oncology</w:t>
      </w:r>
    </w:p>
    <w:p>
      <w:pPr>
        <w:pStyle w:val="TextBody"/>
        <w:bidi w:val="0"/>
        <w:jc w:val="left"/>
        <w:rPr>
          <w:rFonts w:ascii="Aptos;sans-serif" w:hAnsi="Aptos;sans-serif"/>
          <w:color w:val="000000"/>
          <w:sz w:val="22"/>
        </w:rPr>
      </w:pPr>
      <w:r>
        <w:rPr>
          <w:rFonts w:ascii="Aptos;sans-serif" w:hAnsi="Aptos;sans-serif"/>
          <w:color w:val="000000"/>
          <w:sz w:val="22"/>
        </w:rPr>
        <w:t>Olema Oncology is a clinical-stage biopharmaceutical company committed to transforming the standard of care and improving outcomes for patients living with breast cancer and beyond. Olema is advancing a pipeline of novel therapies by leveraging our deep understanding of endocrine-driven cancers, nuclear receptors, and mechanisms of acquired resistance. Our lead product candidate, palazestrant (OP-1250), is a proprietary, orally available complete estrogen receptor antagonist (CERAN) and a selective estrogen receptor degrader (SERD), currently in two Phase 3 clinical trials. In addition, Olema is developing OP-3136, a potent lysine acetyltransferase 6 (KAT6) inhibitor, now in a Phase 1 clinical study. Olema is headquartered in San Francisco and has operations in Cambridge, Massachusetts. For more information, please visit www.olema.com.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Forward-Looking Statements</w:t>
      </w:r>
    </w:p>
    <w:p>
      <w:pPr>
        <w:pStyle w:val="TextBody"/>
        <w:bidi w:val="0"/>
        <w:jc w:val="left"/>
        <w:rPr>
          <w:rFonts w:ascii="Aptos;sans-serif" w:hAnsi="Aptos;sans-serif"/>
          <w:color w:val="000000"/>
          <w:sz w:val="22"/>
        </w:rPr>
      </w:pPr>
      <w:r>
        <w:rPr>
          <w:rFonts w:ascii="Aptos;sans-serif" w:hAnsi="Aptos;sans-serif"/>
          <w:color w:val="000000"/>
          <w:sz w:val="22"/>
        </w:rPr>
        <w:t>Statements contained in this press release regarding matters that are not historical facts are “forward-looking statements” within the meaning of Section 27A of the Securities Act of 1933 and Section 21E of the Securities Exchange Act of 1934. Words such as “anticipate,” “believe,” “could,” “expect,” “goal,” “intend,” “may,” “on track,” “potential,” “upcoming,” “will” and similar expressions (as well as other words or expressions referencing future events, conditions or circumstances) are intended to identify forward-looking statements. These statements include those related to the expected timing of data readouts, including from OPERA-01; the potential timing for commercial launch; the anticipated contributions of new members of executive leadership; Olema’s plans to evolve into a fully integrated oncology company; the potential of palazestrant and OP-3136 to meaningfully improve patient lives; the sufficiency of Olema’s cash; the potential timing of upcoming milestones at Olema; and Olema’s potential to deliver durable, long-term value for patients and shareholders. Because such statements deal with future events and are based on Olema’s current expectations, they are subject to various risks and uncertainties, and actual results, performance, or achievements of Olema could differ materially from those described in or implied by the statements in this press release. These forward-looking statements are subject to risks and uncertainties, including, without limitation, those discussed in the section titled “Risk Factors” in Olema’s Quarterly Report on Form 10-Q for the quarter ended June 30, 2026, and future filings and reports that Olema makes from time to time with the U.S. Securities and Exchange Commission. Except as required by law, Olema assumes no obligation to update these forward-looking statements, including in the event that actual results differ materially from those anticipated in the forward-looking statements.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Media and Investor Relations Contact</w:t>
      </w:r>
    </w:p>
    <w:p>
      <w:pPr>
        <w:pStyle w:val="TextBody"/>
        <w:bidi w:val="0"/>
        <w:jc w:val="left"/>
        <w:rPr>
          <w:rFonts w:ascii="Aptos;sans-serif" w:hAnsi="Aptos;sans-serif"/>
          <w:color w:val="000000"/>
          <w:sz w:val="22"/>
        </w:rPr>
      </w:pPr>
      <w:r>
        <w:rPr>
          <w:rFonts w:ascii="Aptos;sans-serif" w:hAnsi="Aptos;sans-serif"/>
          <w:color w:val="000000"/>
          <w:sz w:val="22"/>
        </w:rPr>
        <w:t>Courtney O’Konek</w:t>
      </w:r>
    </w:p>
    <w:p>
      <w:pPr>
        <w:pStyle w:val="TextBody"/>
        <w:bidi w:val="0"/>
        <w:jc w:val="left"/>
        <w:rPr>
          <w:rFonts w:ascii="Aptos;sans-serif" w:hAnsi="Aptos;sans-serif"/>
          <w:color w:val="000000"/>
          <w:sz w:val="22"/>
        </w:rPr>
      </w:pPr>
      <w:r>
        <w:rPr>
          <w:rFonts w:ascii="Aptos;sans-serif" w:hAnsi="Aptos;sans-serif"/>
          <w:color w:val="000000"/>
          <w:sz w:val="22"/>
        </w:rPr>
        <w:t>Vice President, Corporate Communications</w:t>
      </w:r>
    </w:p>
    <w:p>
      <w:pPr>
        <w:pStyle w:val="TextBody"/>
        <w:bidi w:val="0"/>
        <w:jc w:val="left"/>
        <w:rPr>
          <w:rFonts w:ascii="Aptos;sans-serif" w:hAnsi="Aptos;sans-serif"/>
          <w:color w:val="000000"/>
          <w:sz w:val="22"/>
        </w:rPr>
      </w:pPr>
      <w:r>
        <w:rPr>
          <w:rFonts w:ascii="Aptos;sans-serif" w:hAnsi="Aptos;sans-serif"/>
          <w:color w:val="000000"/>
          <w:sz w:val="22"/>
        </w:rPr>
        <w:t>Olema Oncology</w:t>
      </w:r>
    </w:p>
    <w:p>
      <w:pPr>
        <w:pStyle w:val="TextBody"/>
        <w:bidi w:val="0"/>
        <w:jc w:val="left"/>
        <w:rPr>
          <w:rFonts w:ascii="Aptos;sans-serif" w:hAnsi="Aptos;sans-serif"/>
          <w:color w:val="000000"/>
          <w:sz w:val="22"/>
        </w:rPr>
      </w:pPr>
      <w:r>
        <w:rPr>
          <w:rFonts w:ascii="Aptos;sans-serif" w:hAnsi="Aptos;sans-serif"/>
          <w:color w:val="000000"/>
          <w:sz w:val="22"/>
        </w:rPr>
        <w:t>media@olema.com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8321</Words>
  <Characters>44326</Characters>
  <CharactersWithSpaces>52638</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