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_page">
        <w:bookmarkStart w:id="0" w:name="olma-20240331.htm"/>
        <w:bookmarkStart w:id="1" w:name="ksolma20240331"/>
        <w:bookmarkEnd w:id="0"/>
        <w:bookmarkEnd w:id="1"/>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spacing w:before="0" w:after="80"/>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b/>
          <w:color w:val="000000"/>
          <w:sz w:val="36"/>
        </w:rPr>
      </w:pPr>
      <w:r>
        <w:rPr>
          <w:rFonts w:ascii="Arial" w:hAnsi="Arial"/>
          <w:b/>
          <w:color w:val="000000"/>
          <w:sz w:val="36"/>
        </w:rPr>
        <w:t>FORM 10-Q</w:t>
      </w:r>
    </w:p>
    <w:p>
      <w:pPr>
        <w:pStyle w:val="TextBody"/>
        <w:bidi w:val="0"/>
        <w:spacing w:before="80" w:after="8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quarterly period ended March 31, 2024</w:t>
      </w:r>
    </w:p>
    <w:p>
      <w:pPr>
        <w:pStyle w:val="TextBody"/>
        <w:bidi w:val="0"/>
        <w:spacing w:before="80" w:after="283"/>
        <w:jc w:val="center"/>
        <w:rPr>
          <w:rFonts w:ascii="Arial" w:hAnsi="Arial"/>
          <w:b/>
          <w:color w:val="000000"/>
          <w:sz w:val="18"/>
        </w:rPr>
      </w:pPr>
      <w:r>
        <w:rPr>
          <w:rFonts w:ascii="Arial" w:hAnsi="Arial"/>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transition period from _______ to _______</w:t>
      </w:r>
    </w:p>
    <w:p>
      <w:pPr>
        <w:pStyle w:val="TextBody"/>
        <w:bidi w:val="0"/>
        <w:spacing w:before="0" w:after="80"/>
        <w:jc w:val="center"/>
        <w:rPr>
          <w:rFonts w:ascii="Arial" w:hAnsi="Arial"/>
          <w:b/>
          <w:color w:val="000000"/>
          <w:sz w:val="18"/>
        </w:rPr>
      </w:pPr>
      <w:r>
        <w:rPr>
          <w:rFonts w:ascii="Arial" w:hAnsi="Arial"/>
          <w:b/>
          <w:color w:val="000000"/>
          <w:sz w:val="18"/>
        </w:rPr>
        <w:t>Commission File Number: 001-39712</w:t>
      </w:r>
    </w:p>
    <w:p>
      <w:pPr>
        <w:pStyle w:val="TextBody"/>
        <w:bidi w:val="0"/>
        <w:jc w:val="center"/>
        <w:rPr>
          <w:rFonts w:ascii="Arial" w:hAnsi="Arial"/>
          <w:b/>
          <w:color w:val="000000"/>
          <w:sz w:val="44"/>
        </w:rPr>
      </w:pPr>
      <w:r>
        <w:rPr>
          <w:rFonts w:ascii="Arial" w:hAnsi="Arial"/>
          <w:b/>
          <w:color w:val="000000"/>
          <w:sz w:val="44"/>
        </w:rPr>
        <w:t>OLEMA PHARMACEUTICALS, INC.</w:t>
      </w:r>
    </w:p>
    <w:p>
      <w:pPr>
        <w:pStyle w:val="TextBody"/>
        <w:bidi w:val="0"/>
        <w:jc w:val="center"/>
        <w:rPr>
          <w:rFonts w:ascii="Arial" w:hAnsi="Arial"/>
          <w:b/>
          <w:color w:val="000000"/>
          <w:sz w:val="18"/>
        </w:rPr>
      </w:pPr>
      <w:r>
        <w:rPr>
          <w:rFonts w:ascii="Arial" w:hAnsi="Arial"/>
          <w:b/>
          <w:color w:val="000000"/>
          <w:sz w:val="18"/>
        </w:rPr>
        <w:t>(Exact Name of Registrant as Specified in its Charter)</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30-0409740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283"/>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(I.R.S. Employer</w:t>
            </w:r>
            <w:r>
              <w:rPr>
                <w:rFonts w:ascii="Arial" w:hAnsi="Arial"/>
                <w:color w:val="000000"/>
                <w:sz w:val="14"/>
              </w:rPr>
              <w:br/>
            </w:r>
            <w:r>
              <w:rPr>
                <w:rFonts w:ascii="Arial" w:hAnsi="Arial"/>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780 Brannan Street</w:t>
            </w:r>
          </w:p>
          <w:p>
            <w:pPr>
              <w:pStyle w:val="TableContents"/>
              <w:bidi w:val="0"/>
              <w:spacing w:before="0" w:after="283"/>
              <w:jc w:val="center"/>
              <w:rPr>
                <w:rFonts w:ascii="Arial" w:hAnsi="Arial"/>
                <w:b/>
                <w:color w:val="000000"/>
                <w:sz w:val="18"/>
              </w:rPr>
            </w:pPr>
            <w:r>
              <w:rPr>
                <w:rFonts w:ascii="Arial" w:hAnsi="Arial"/>
                <w:b/>
                <w:color w:val="000000"/>
                <w:sz w:val="18"/>
              </w:rPr>
              <w:t>San Francisco,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94103</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Registrant’s telephone number, including area code: (415) 651</w:t>
        <w:noBreakHyphen/>
        <w:t>3316</w:t>
      </w:r>
    </w:p>
    <w:p>
      <w:pPr>
        <w:pStyle w:val="TextBody"/>
        <w:bidi w:val="0"/>
        <w:spacing w:before="80" w:after="283"/>
        <w:jc w:val="center"/>
        <w:rPr>
          <w:rFonts w:ascii="Arial" w:hAnsi="Arial"/>
          <w:b/>
          <w:color w:val="000000"/>
          <w:sz w:val="20"/>
        </w:rPr>
      </w:pPr>
      <w:r>
        <w:rPr>
          <w:rFonts w:ascii="Arial" w:hAnsi="Arial"/>
          <w:b/>
          <w:color w:val="000000"/>
          <w:sz w:val="20"/>
        </w:rPr>
        <w:t>N/A</w:t>
      </w:r>
    </w:p>
    <w:p>
      <w:pPr>
        <w:pStyle w:val="TextBody"/>
        <w:bidi w:val="0"/>
        <w:jc w:val="center"/>
        <w:rPr>
          <w:rFonts w:ascii="Arial" w:hAnsi="Arial"/>
          <w:b/>
          <w:color w:val="000000"/>
          <w:sz w:val="14"/>
        </w:rPr>
      </w:pPr>
      <w:r>
        <w:rPr>
          <w:rFonts w:ascii="Arial" w:hAnsi="Arial"/>
          <w:b/>
          <w:color w:val="000000"/>
          <w:sz w:val="14"/>
        </w:rPr>
        <w:t>(Former name, former address and former fiscal year, if changed since last report)</w:t>
      </w:r>
    </w:p>
    <w:p>
      <w:pPr>
        <w:pStyle w:val="TextBody"/>
        <w:bidi w:val="0"/>
        <w:spacing w:before="80" w:after="283"/>
        <w:jc w:val="left"/>
        <w:rPr>
          <w:rFonts w:ascii="Arial" w:hAnsi="Arial"/>
          <w:color w:val="000000"/>
          <w:sz w:val="16"/>
        </w:rPr>
      </w:pPr>
      <w:r>
        <w:rPr>
          <w:rFonts w:ascii="Arial" w:hAnsi="Arial"/>
          <w:color w:val="000000"/>
          <w:sz w:val="16"/>
        </w:rPr>
        <w:t>Securities registered pursuant to Section 12(b) of the Act:</w:t>
      </w:r>
    </w:p>
    <w:p>
      <w:pPr>
        <w:pStyle w:val="TextBody"/>
        <w:bidi w:val="0"/>
        <w:jc w:val="left"/>
        <w:rPr/>
      </w:pPr>
      <w:r>
        <w:rPr/>
        <w:t> </w:t>
      </w:r>
    </w:p>
    <w:tbl>
      <w:tblPr>
        <w:tblW w:w="9753" w:type="dxa"/>
        <w:jc w:val="left"/>
        <w:tblInd w:w="0" w:type="dxa"/>
        <w:tblLayout w:type="fixed"/>
        <w:tblCellMar>
          <w:top w:w="28" w:type="dxa"/>
          <w:left w:w="28" w:type="dxa"/>
          <w:bottom w:w="28" w:type="dxa"/>
          <w:right w:w="28" w:type="dxa"/>
        </w:tblCellMar>
      </w:tblPr>
      <w:tblGrid>
        <w:gridCol w:w="3526"/>
        <w:gridCol w:w="1366"/>
        <w:gridCol w:w="4861"/>
      </w:tblGrid>
      <w:tr>
        <w:trPr/>
        <w:tc>
          <w:tcPr>
            <w:tcW w:w="35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 of Securities Registered</w:t>
            </w:r>
          </w:p>
        </w:tc>
        <w:tc>
          <w:tcPr>
            <w:tcW w:w="136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486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Securities are Registered</w:t>
            </w:r>
          </w:p>
        </w:tc>
      </w:tr>
      <w:tr>
        <w:trPr/>
        <w:tc>
          <w:tcPr>
            <w:tcW w:w="352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$0.0001 per share</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OLMA</w:t>
            </w:r>
          </w:p>
        </w:tc>
        <w:tc>
          <w:tcPr>
            <w:tcW w:w="48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The Nasdaq Global Select Market</w:t>
            </w:r>
          </w:p>
        </w:tc>
      </w:tr>
    </w:tbl>
    <w:p>
      <w:pPr>
        <w:pStyle w:val="TextBody"/>
        <w:bidi w:val="0"/>
        <w:jc w:val="left"/>
        <w:rPr/>
      </w:pPr>
      <w:r>
        <w:rPr/>
        <w:t> </w:t>
      </w:r>
    </w:p>
    <w:p>
      <w:pPr>
        <w:pStyle w:val="TextBody"/>
        <w:bidi w:val="0"/>
        <w:spacing w:before="0" w:after="80"/>
        <w:jc w:val="both"/>
        <w:rPr>
          <w:rFonts w:ascii="Times New Roman" w:hAnsi="Times New Roman"/>
          <w:sz w:val="20"/>
        </w:rPr>
      </w:pPr>
      <w:r>
        <w:rPr>
          <w:rFonts w:ascii="Arial" w:hAnsi="Arial"/>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242" w:type="dxa"/>
        <w:jc w:val="left"/>
        <w:tblInd w:w="0" w:type="dxa"/>
        <w:tblLayout w:type="fixed"/>
        <w:tblCellMar>
          <w:top w:w="28" w:type="dxa"/>
          <w:left w:w="28" w:type="dxa"/>
          <w:bottom w:w="28" w:type="dxa"/>
          <w:right w:w="28" w:type="dxa"/>
        </w:tblCellMar>
      </w:tblPr>
      <w:tblGrid>
        <w:gridCol w:w="2071"/>
        <w:gridCol w:w="316"/>
        <w:gridCol w:w="14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Indicate by check mark whether the registrant is a shell company (as defined in Rule 12b</w:t>
        <w:noBreakHyphen/>
        <w:t xml:space="preserve">2 of the Exchange Act).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As of May 3, 2024, the number of outstanding shares of the Registrant’s common stock was 55,933,827.</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spacing w:before="0" w:after="240"/>
        <w:jc w:val="center"/>
        <w:rPr>
          <w:rFonts w:ascii="Times New Roman" w:hAnsi="Times New Roman"/>
          <w:sz w:val="20"/>
        </w:rPr>
      </w:pPr>
      <w:r>
        <w:rPr>
          <w:rFonts w:ascii="Arial" w:hAnsi="Arial"/>
          <w:b/>
          <w:color w:val="000000"/>
          <w:sz w:val="20"/>
        </w:rPr>
        <w:t>PART I-FINANCIAL INFORMATION</w:t>
      </w:r>
      <w:r>
        <w:rPr>
          <w:rFonts w:ascii="Times New Roman" w:hAnsi="Times New Roman"/>
          <w:color w:val="000000"/>
          <w:sz w:val="20"/>
        </w:rPr>
        <w:t xml:space="preserve"> </w:t>
      </w:r>
    </w:p>
    <w:tbl>
      <w:tblPr>
        <w:tblW w:w="9283" w:type="dxa"/>
        <w:jc w:val="left"/>
        <w:tblInd w:w="0" w:type="dxa"/>
        <w:tblLayout w:type="fixed"/>
        <w:tblCellMar>
          <w:top w:w="28" w:type="dxa"/>
          <w:left w:w="28" w:type="dxa"/>
          <w:bottom w:w="28" w:type="dxa"/>
          <w:right w:w="28" w:type="dxa"/>
        </w:tblCellMar>
      </w:tblPr>
      <w:tblGrid>
        <w:gridCol w:w="8536"/>
        <w:gridCol w:w="146"/>
        <w:gridCol w:w="601"/>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5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r>
      <w:tr>
        <w:trPr/>
        <w:tc>
          <w:tcPr>
            <w:tcW w:w="853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1. Financial Statements.</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center"/>
              <w:rPr/>
            </w:pPr>
            <w:r>
              <w:rPr/>
              <w:t> </w:t>
            </w:r>
          </w:p>
        </w:tc>
      </w:tr>
      <w:tr>
        <w:trPr/>
        <w:tc>
          <w:tcPr>
            <w:tcW w:w="85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536" w:type="dxa"/>
            <w:tcBorders/>
            <w:vAlign w:val="center"/>
          </w:tcPr>
          <w:p>
            <w:pPr>
              <w:pStyle w:val="TableContents"/>
              <w:bidi w:val="0"/>
              <w:spacing w:before="0" w:after="283"/>
              <w:jc w:val="left"/>
              <w:rPr/>
            </w:pPr>
            <w:hyperlink w:anchor="partifinancialinformation_243352">
              <w:r>
                <w:rPr>
                  <w:rStyle w:val="InternetLink"/>
                  <w:rFonts w:ascii="Arial" w:hAnsi="Arial"/>
                  <w:color w:val="0000EE"/>
                  <w:sz w:val="20"/>
                  <w:u w:val="single"/>
                </w:rPr>
                <w:t>PART I. FINANCIAL INFORMATION</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item1financialstatements_533031">
              <w:r>
                <w:rPr>
                  <w:rStyle w:val="InternetLink"/>
                  <w:rFonts w:ascii="Arial" w:hAnsi="Arial"/>
                  <w:color w:val="0000EE"/>
                  <w:sz w:val="20"/>
                  <w:u w:val="single"/>
                </w:rPr>
                <w:t>Item 1. Financial Statements (unaudited)</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condensedconsolidatedbalancesheets_65975">
              <w:r>
                <w:rPr>
                  <w:rStyle w:val="InternetLink"/>
                  <w:rFonts w:ascii="Arial" w:hAnsi="Arial"/>
                  <w:color w:val="0000EE"/>
                  <w:sz w:val="20"/>
                  <w:u w:val="single"/>
                </w:rPr>
                <w:t>Condensed Consolidated Balance Sheets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condensedconsolidatedstatementsofoperati">
              <w:r>
                <w:rPr>
                  <w:rStyle w:val="InternetLink"/>
                  <w:rFonts w:ascii="Arial" w:hAnsi="Arial"/>
                  <w:color w:val="0000EE"/>
                  <w:sz w:val="20"/>
                  <w:u w:val="single"/>
                </w:rPr>
                <w:t>Condensed Consolidated Statements of Operations and Comprehensive Loss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536" w:type="dxa"/>
            <w:tcBorders/>
            <w:vAlign w:val="center"/>
          </w:tcPr>
          <w:p>
            <w:pPr>
              <w:pStyle w:val="TableContents"/>
              <w:bidi w:val="0"/>
              <w:spacing w:before="0" w:after="283"/>
              <w:jc w:val="left"/>
              <w:rPr/>
            </w:pPr>
            <w:hyperlink w:anchor="condensedconsolidatedstatementsofconvert">
              <w:r>
                <w:rPr>
                  <w:rStyle w:val="InternetLink"/>
                  <w:rFonts w:ascii="Arial" w:hAnsi="Arial"/>
                  <w:color w:val="0000EE"/>
                  <w:sz w:val="20"/>
                  <w:u w:val="single"/>
                </w:rPr>
                <w:t>Condensed Consolidated Statements of Stockholders’ Equity</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8536" w:type="dxa"/>
            <w:tcBorders/>
            <w:vAlign w:val="center"/>
          </w:tcPr>
          <w:p>
            <w:pPr>
              <w:pStyle w:val="TableContents"/>
              <w:bidi w:val="0"/>
              <w:spacing w:before="0" w:after="283"/>
              <w:jc w:val="left"/>
              <w:rPr/>
            </w:pPr>
            <w:hyperlink w:anchor="condensedconsolidatedstatementsofcashflo">
              <w:r>
                <w:rPr>
                  <w:rStyle w:val="InternetLink"/>
                  <w:rFonts w:ascii="Arial" w:hAnsi="Arial"/>
                  <w:color w:val="0000EE"/>
                  <w:sz w:val="20"/>
                  <w:u w:val="single"/>
                </w:rPr>
                <w:t>Condensed Consolidated Statements of Cash Flows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8536" w:type="dxa"/>
            <w:tcBorders/>
            <w:vAlign w:val="center"/>
          </w:tcPr>
          <w:p>
            <w:pPr>
              <w:pStyle w:val="TableContents"/>
              <w:bidi w:val="0"/>
              <w:spacing w:before="0" w:after="283"/>
              <w:jc w:val="left"/>
              <w:rPr/>
            </w:pPr>
            <w:hyperlink w:anchor="notestocondensedconsolidatedfinancialsta">
              <w:r>
                <w:rPr>
                  <w:rStyle w:val="InternetLink"/>
                  <w:rFonts w:ascii="Arial" w:hAnsi="Arial"/>
                  <w:color w:val="0000EE"/>
                  <w:sz w:val="20"/>
                  <w:u w:val="single"/>
                </w:rPr>
                <w:t>Notes to Unaudited Condensed Consolidated Financial Statements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item2managementsdiscussionandanalysisoff">
              <w:r>
                <w:rPr>
                  <w:rStyle w:val="InternetLink"/>
                  <w:rFonts w:ascii="Arial" w:hAnsi="Arial"/>
                  <w:color w:val="0000EE"/>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r>
      <w:tr>
        <w:trPr/>
        <w:tc>
          <w:tcPr>
            <w:tcW w:w="8536" w:type="dxa"/>
            <w:tcBorders/>
            <w:vAlign w:val="center"/>
          </w:tcPr>
          <w:p>
            <w:pPr>
              <w:pStyle w:val="TableContents"/>
              <w:bidi w:val="0"/>
              <w:spacing w:before="0" w:after="283"/>
              <w:jc w:val="left"/>
              <w:rPr/>
            </w:pPr>
            <w:hyperlink w:anchor="item3quantitative">
              <w:r>
                <w:rPr>
                  <w:rStyle w:val="InternetLink"/>
                  <w:rFonts w:ascii="Arial" w:hAnsi="Arial"/>
                  <w:color w:val="0000EE"/>
                  <w:sz w:val="20"/>
                  <w:u w:val="single"/>
                </w:rPr>
                <w:t>Item 3. 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8536" w:type="dxa"/>
            <w:tcBorders/>
            <w:vAlign w:val="center"/>
          </w:tcPr>
          <w:p>
            <w:pPr>
              <w:pStyle w:val="TableContents"/>
              <w:bidi w:val="0"/>
              <w:spacing w:before="0" w:after="283"/>
              <w:jc w:val="left"/>
              <w:rPr/>
            </w:pPr>
            <w:hyperlink w:anchor="item4controlsandprocedures">
              <w:r>
                <w:rPr>
                  <w:rStyle w:val="InternetLink"/>
                  <w:rFonts w:ascii="Arial" w:hAnsi="Arial"/>
                  <w:color w:val="0000EE"/>
                  <w:sz w:val="20"/>
                  <w:u w:val="single"/>
                </w:rPr>
                <w:t>Item 4. Controls and Procedures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8536" w:type="dxa"/>
            <w:tcBorders/>
            <w:vAlign w:val="center"/>
          </w:tcPr>
          <w:p>
            <w:pPr>
              <w:pStyle w:val="TableContents"/>
              <w:bidi w:val="0"/>
              <w:spacing w:before="0" w:after="283"/>
              <w:jc w:val="left"/>
              <w:rPr/>
            </w:pPr>
            <w:hyperlink w:anchor="partiiotherinformation_169197">
              <w:r>
                <w:rPr>
                  <w:rStyle w:val="InternetLink"/>
                  <w:rFonts w:ascii="Arial" w:hAnsi="Arial"/>
                  <w:color w:val="0000EE"/>
                  <w:sz w:val="20"/>
                  <w:u w:val="single"/>
                </w:rPr>
                <w:t>PART II. OTHER INFORMATION</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536" w:type="dxa"/>
            <w:tcBorders/>
            <w:vAlign w:val="center"/>
          </w:tcPr>
          <w:p>
            <w:pPr>
              <w:pStyle w:val="TableContents"/>
              <w:bidi w:val="0"/>
              <w:spacing w:before="0" w:after="283"/>
              <w:jc w:val="left"/>
              <w:rPr/>
            </w:pPr>
            <w:hyperlink w:anchor="item1legalproceedings_105808">
              <w:r>
                <w:rPr>
                  <w:rStyle w:val="InternetLink"/>
                  <w:rFonts w:ascii="Arial" w:hAnsi="Arial"/>
                  <w:color w:val="0000EE"/>
                  <w:sz w:val="20"/>
                  <w:u w:val="single"/>
                </w:rPr>
                <w:t>Item 1. Legal Proceedings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536" w:type="dxa"/>
            <w:tcBorders/>
            <w:vAlign w:val="center"/>
          </w:tcPr>
          <w:p>
            <w:pPr>
              <w:pStyle w:val="TableContents"/>
              <w:bidi w:val="0"/>
              <w:spacing w:before="0" w:after="283"/>
              <w:jc w:val="left"/>
              <w:rPr/>
            </w:pPr>
            <w:hyperlink w:anchor="item_1a_risk_factors">
              <w:r>
                <w:rPr>
                  <w:rStyle w:val="InternetLink"/>
                  <w:rFonts w:ascii="Arial" w:hAnsi="Arial"/>
                  <w:color w:val="0000EE"/>
                  <w:sz w:val="20"/>
                  <w:u w:val="single"/>
                </w:rPr>
                <w:t>Item 1A. Risk Factors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536" w:type="dxa"/>
            <w:tcBorders/>
            <w:vAlign w:val="center"/>
          </w:tcPr>
          <w:p>
            <w:pPr>
              <w:pStyle w:val="TableContents"/>
              <w:bidi w:val="0"/>
              <w:spacing w:before="0" w:after="283"/>
              <w:jc w:val="left"/>
              <w:rPr/>
            </w:pPr>
            <w:hyperlink w:anchor="item2unregisteredsalesofequitysecurities">
              <w:r>
                <w:rPr>
                  <w:rStyle w:val="InternetLink"/>
                  <w:rFonts w:ascii="Arial" w:hAnsi="Arial"/>
                  <w:color w:val="0000EE"/>
                  <w:sz w:val="20"/>
                  <w:u w:val="single"/>
                </w:rPr>
                <w:t>Item 2. 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536" w:type="dxa"/>
            <w:tcBorders/>
            <w:vAlign w:val="center"/>
          </w:tcPr>
          <w:p>
            <w:pPr>
              <w:pStyle w:val="TableContents"/>
              <w:bidi w:val="0"/>
              <w:spacing w:before="0" w:after="283"/>
              <w:jc w:val="left"/>
              <w:rPr/>
            </w:pPr>
            <w:hyperlink w:anchor="item3defaultsuponseniorsecurities_285444">
              <w:r>
                <w:rPr>
                  <w:rStyle w:val="InternetLink"/>
                  <w:rFonts w:ascii="Arial" w:hAnsi="Arial"/>
                  <w:color w:val="0000EE"/>
                  <w:sz w:val="20"/>
                  <w:u w:val="single"/>
                </w:rPr>
                <w:t>Item 3. Defaults Upon Senior Securities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536" w:type="dxa"/>
            <w:tcBorders/>
            <w:vAlign w:val="center"/>
          </w:tcPr>
          <w:p>
            <w:pPr>
              <w:pStyle w:val="TableContents"/>
              <w:bidi w:val="0"/>
              <w:spacing w:before="0" w:after="283"/>
              <w:jc w:val="left"/>
              <w:rPr/>
            </w:pPr>
            <w:hyperlink w:anchor="item4minesafetydisclosures_363877">
              <w:r>
                <w:rPr>
                  <w:rStyle w:val="InternetLink"/>
                  <w:rFonts w:ascii="Arial" w:hAnsi="Arial"/>
                  <w:color w:val="0000EE"/>
                  <w:sz w:val="20"/>
                  <w:u w:val="single"/>
                </w:rPr>
                <w:t>Item 4. Mine Safety Disclosures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536" w:type="dxa"/>
            <w:tcBorders/>
            <w:vAlign w:val="center"/>
          </w:tcPr>
          <w:p>
            <w:pPr>
              <w:pStyle w:val="TableContents"/>
              <w:bidi w:val="0"/>
              <w:spacing w:before="0" w:after="283"/>
              <w:jc w:val="left"/>
              <w:rPr/>
            </w:pPr>
            <w:hyperlink w:anchor="item5otherinformation_250924">
              <w:r>
                <w:rPr>
                  <w:rStyle w:val="InternetLink"/>
                  <w:rFonts w:ascii="Arial" w:hAnsi="Arial"/>
                  <w:color w:val="0000EE"/>
                  <w:sz w:val="20"/>
                  <w:u w:val="single"/>
                </w:rPr>
                <w:t>Item 5. Other Information</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536" w:type="dxa"/>
            <w:tcBorders/>
            <w:vAlign w:val="center"/>
          </w:tcPr>
          <w:p>
            <w:pPr>
              <w:pStyle w:val="TableContents"/>
              <w:bidi w:val="0"/>
              <w:spacing w:before="0" w:after="283"/>
              <w:jc w:val="left"/>
              <w:rPr/>
            </w:pPr>
            <w:hyperlink w:anchor="item6exhibits_686387">
              <w:r>
                <w:rPr>
                  <w:rStyle w:val="InternetLink"/>
                  <w:rFonts w:ascii="Arial" w:hAnsi="Arial"/>
                  <w:color w:val="0000EE"/>
                  <w:sz w:val="20"/>
                  <w:u w:val="single"/>
                </w:rPr>
                <w:t>Item 6. Exhibits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bookmarkStart w:id="3" w:name="partifinancialinformation_243352"/>
      <w:bookmarkEnd w:id="3"/>
      <w:r>
        <w:rPr>
          <w:rFonts w:ascii="Arial" w:hAnsi="Arial"/>
          <w:b/>
          <w:color w:val="000000"/>
          <w:sz w:val="20"/>
        </w:rPr>
        <w:t>PART I – FINANCIAL INFORMATION</w:t>
      </w:r>
    </w:p>
    <w:p>
      <w:pPr>
        <w:pStyle w:val="TextBody"/>
        <w:bidi w:val="0"/>
        <w:spacing w:before="240" w:after="283"/>
        <w:jc w:val="left"/>
        <w:rPr>
          <w:rFonts w:ascii="Arial" w:hAnsi="Arial"/>
          <w:b/>
          <w:color w:val="000000"/>
          <w:sz w:val="20"/>
        </w:rPr>
      </w:pPr>
      <w:bookmarkStart w:id="4" w:name="item1financialstatements_533031"/>
      <w:bookmarkEnd w:id="4"/>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bookmarkStart w:id="5" w:name="condensedconsolidatedbalancesheets_65975"/>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22"/>
        <w:gridCol w:w="146"/>
        <w:gridCol w:w="211"/>
        <w:gridCol w:w="856"/>
        <w:gridCol w:w="166"/>
        <w:gridCol w:w="146"/>
        <w:gridCol w:w="214"/>
        <w:gridCol w:w="871"/>
        <w:gridCol w:w="773"/>
      </w:tblGrid>
      <w:tr>
        <w:trPr/>
        <w:tc>
          <w:tcPr>
            <w:tcW w:w="6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68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7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8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ind w:left="0" w:right="0" w:firstLine="280"/>
              <w:jc w:val="right"/>
              <w:rPr/>
            </w:pPr>
            <w:r>
              <w:rPr/>
              <w:t> </w:t>
            </w:r>
          </w:p>
        </w:tc>
      </w:tr>
      <w:tr>
        <w:trPr/>
        <w:tc>
          <w:tcPr>
            <w:tcW w:w="682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33,720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68,539</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8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215,257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193,268</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82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3,113</w:t>
            </w:r>
          </w:p>
        </w:tc>
        <w:tc>
          <w:tcPr>
            <w:tcW w:w="16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4,706</w:t>
            </w:r>
          </w:p>
        </w:tc>
        <w:tc>
          <w:tcPr>
            <w:tcW w:w="773" w:type="dxa"/>
            <w:tcBorders>
              <w:bottom w:val="single" w:sz="4" w:space="0" w:color="231F2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252,090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266,513</w:t>
            </w:r>
          </w:p>
        </w:tc>
        <w:tc>
          <w:tcPr>
            <w:tcW w:w="773" w:type="dxa"/>
            <w:tcBorders/>
            <w:shd w:fill="FFFFFF" w:val="clear"/>
            <w:vAlign w:val="center"/>
          </w:tcPr>
          <w:p>
            <w:pPr>
              <w:pStyle w:val="TableContents"/>
              <w:bidi w:val="0"/>
              <w:spacing w:before="0" w:after="283"/>
              <w:jc w:val="left"/>
              <w:rPr/>
            </w:pPr>
            <w:r>
              <w:rPr/>
              <w:t> </w:t>
            </w:r>
          </w:p>
        </w:tc>
      </w:tr>
      <w:tr>
        <w:trPr/>
        <w:tc>
          <w:tcPr>
            <w:tcW w:w="68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2,291</w:t>
            </w:r>
          </w:p>
        </w:tc>
        <w:tc>
          <w:tcPr>
            <w:tcW w:w="773" w:type="dxa"/>
            <w:tcBorders/>
            <w:shd w:fill="CFF0FC" w:val="clear"/>
            <w:vAlign w:val="center"/>
          </w:tcPr>
          <w:p>
            <w:pPr>
              <w:pStyle w:val="TableContents"/>
              <w:bidi w:val="0"/>
              <w:spacing w:before="0" w:after="283"/>
              <w:jc w:val="lef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8,141</w:t>
            </w:r>
          </w:p>
        </w:tc>
        <w:tc>
          <w:tcPr>
            <w:tcW w:w="77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276,945</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lef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r>
      <w:tr>
        <w:trPr/>
        <w:tc>
          <w:tcPr>
            <w:tcW w:w="68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8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2,698</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82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988</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8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21,621</w:t>
            </w:r>
          </w:p>
        </w:tc>
        <w:tc>
          <w:tcPr>
            <w:tcW w:w="773" w:type="dxa"/>
            <w:tcBorders/>
            <w:shd w:fill="CFF0FC" w:val="clear"/>
            <w:vAlign w:val="center"/>
          </w:tcPr>
          <w:p>
            <w:pPr>
              <w:pStyle w:val="TableContents"/>
              <w:bidi w:val="0"/>
              <w:spacing w:before="0" w:after="283"/>
              <w:ind w:left="0" w:right="0" w:firstLine="560"/>
              <w:jc w:val="left"/>
              <w:rPr/>
            </w:pPr>
            <w:r>
              <w:rPr/>
              <w:t> </w:t>
            </w:r>
          </w:p>
        </w:tc>
      </w:tr>
      <w:tr>
        <w:trPr/>
        <w:tc>
          <w:tcPr>
            <w:tcW w:w="6822"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10)</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pPr>
            <w:r>
              <w:rPr/>
              <w:t> </w:t>
            </w:r>
          </w:p>
        </w:tc>
      </w:tr>
      <w:tr>
        <w:trPr/>
        <w:tc>
          <w:tcPr>
            <w:tcW w:w="68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pPr>
            <w:r>
              <w:rPr/>
              <w:t> </w:t>
            </w:r>
          </w:p>
        </w:tc>
      </w:tr>
      <w:tr>
        <w:trPr/>
        <w:tc>
          <w:tcPr>
            <w:tcW w:w="6822"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as of March 31, 2024 and December 31, 2023; no</w:t>
            </w:r>
            <w:r>
              <w:rPr>
                <w:rFonts w:ascii="Times New Roman" w:hAnsi="Times New Roman"/>
                <w:color w:val="000000"/>
                <w:sz w:val="20"/>
              </w:rPr>
              <w:t> </w:t>
            </w:r>
            <w:r>
              <w:rPr>
                <w:rFonts w:ascii="Arial" w:hAnsi="Arial"/>
                <w:color w:val="000000"/>
                <w:sz w:val="20"/>
              </w:rPr>
              <w:t>shares issued and outstanding as of March 31,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773" w:type="dxa"/>
            <w:tcBorders/>
            <w:shd w:fill="FFFFFF" w:val="clear"/>
            <w:vAlign w:val="center"/>
          </w:tcPr>
          <w:p>
            <w:pPr>
              <w:pStyle w:val="TableContents"/>
              <w:bidi w:val="0"/>
              <w:spacing w:before="0" w:after="283"/>
              <w:jc w:val="left"/>
              <w:rPr/>
            </w:pPr>
            <w:r>
              <w:rPr/>
              <w:t> </w:t>
            </w:r>
          </w:p>
        </w:tc>
      </w:tr>
      <w:tr>
        <w:trPr/>
        <w:tc>
          <w:tcPr>
            <w:tcW w:w="6822"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490,000,000</w:t>
            </w:r>
            <w:r>
              <w:rPr>
                <w:rFonts w:ascii="Times New Roman" w:hAnsi="Times New Roman"/>
                <w:color w:val="000000"/>
                <w:sz w:val="20"/>
              </w:rPr>
              <w:t> </w:t>
            </w:r>
            <w:r>
              <w:rPr>
                <w:rFonts w:ascii="Arial" w:hAnsi="Arial"/>
                <w:color w:val="000000"/>
                <w:sz w:val="20"/>
              </w:rPr>
              <w:t>shares authorized as of March 31, 2024 and December 31, 2023; 55,932,127</w:t>
            </w:r>
            <w:r>
              <w:rPr>
                <w:rFonts w:ascii="Times New Roman" w:hAnsi="Times New Roman"/>
                <w:color w:val="000000"/>
                <w:sz w:val="20"/>
              </w:rPr>
              <w:t> </w:t>
            </w:r>
            <w:r>
              <w:rPr>
                <w:rFonts w:ascii="Arial" w:hAnsi="Arial"/>
                <w:color w:val="000000"/>
                <w:sz w:val="20"/>
              </w:rPr>
              <w:t>and 55,097,118</w:t>
            </w:r>
            <w:r>
              <w:rPr>
                <w:rFonts w:ascii="Times New Roman" w:hAnsi="Times New Roman"/>
                <w:color w:val="000000"/>
                <w:sz w:val="20"/>
              </w:rPr>
              <w:t> </w:t>
            </w:r>
            <w:r>
              <w:rPr>
                <w:rFonts w:ascii="Arial" w:hAnsi="Arial"/>
                <w:color w:val="000000"/>
                <w:sz w:val="20"/>
              </w:rPr>
              <w:t>shares issued as of March 31, 2024 and December 31, 2023, respectively; 55,867,863</w:t>
            </w:r>
            <w:r>
              <w:rPr>
                <w:rFonts w:ascii="Times New Roman" w:hAnsi="Times New Roman"/>
                <w:color w:val="000000"/>
                <w:sz w:val="20"/>
              </w:rPr>
              <w:t> </w:t>
            </w:r>
            <w:r>
              <w:rPr>
                <w:rFonts w:ascii="Arial" w:hAnsi="Arial"/>
                <w:color w:val="000000"/>
                <w:sz w:val="20"/>
              </w:rPr>
              <w:t>and 54,992,784</w:t>
            </w:r>
            <w:r>
              <w:rPr>
                <w:rFonts w:ascii="Times New Roman" w:hAnsi="Times New Roman"/>
                <w:color w:val="000000"/>
                <w:sz w:val="20"/>
              </w:rPr>
              <w:t> </w:t>
            </w:r>
            <w:r>
              <w:rPr>
                <w:rFonts w:ascii="Arial" w:hAnsi="Arial"/>
                <w:color w:val="000000"/>
                <w:sz w:val="20"/>
              </w:rPr>
              <w:t>shares outstanding as of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3" w:type="dxa"/>
            <w:tcBorders/>
            <w:shd w:fill="CFF0FC" w:val="clear"/>
            <w:vAlign w:val="center"/>
          </w:tcPr>
          <w:p>
            <w:pPr>
              <w:pStyle w:val="TableContents"/>
              <w:bidi w:val="0"/>
              <w:spacing w:before="0" w:after="283"/>
              <w:jc w:val="lef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572,926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559,176</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82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347</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8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(305,632</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2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253,895</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276,945</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Times New Roman" w:hAnsi="Times New Roman"/>
          <w:sz w:val="20"/>
        </w:rPr>
      </w:pPr>
      <w:bookmarkStart w:id="6" w:name="condensedconsolidatedstatementsofoperati"/>
      <w:bookmarkEnd w:id="6"/>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90"/>
        <w:gridCol w:w="146"/>
        <w:gridCol w:w="211"/>
        <w:gridCol w:w="146"/>
        <w:gridCol w:w="1066"/>
        <w:gridCol w:w="166"/>
        <w:gridCol w:w="146"/>
        <w:gridCol w:w="211"/>
        <w:gridCol w:w="146"/>
        <w:gridCol w:w="1066"/>
        <w:gridCol w:w="611"/>
      </w:tblGrid>
      <w:tr>
        <w:trPr/>
        <w:tc>
          <w:tcPr>
            <w:tcW w:w="6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5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2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6290" w:type="dxa"/>
            <w:tcBorders/>
            <w:shd w:fill="FFFFFF" w:val="clear"/>
            <w:vAlign w:val="center"/>
          </w:tcPr>
          <w:p>
            <w:pPr>
              <w:pStyle w:val="TableContents"/>
              <w:bidi w:val="0"/>
              <w:spacing w:before="0" w:after="283"/>
              <w:ind w:left="280" w:right="0" w:firstLine="280"/>
              <w:jc w:val="left"/>
              <w:rPr>
                <w:color w:val="000000"/>
              </w:rPr>
            </w:pPr>
            <w:r>
              <w:rPr>
                <w:color w:val="000000"/>
              </w:rPr>
              <w:t> </w:t>
            </w: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29,883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22,826</w:t>
            </w:r>
          </w:p>
        </w:tc>
        <w:tc>
          <w:tcPr>
            <w:tcW w:w="611" w:type="dxa"/>
            <w:tcBorders/>
            <w:shd w:fill="FFFFFF" w:val="clear"/>
            <w:vAlign w:val="center"/>
          </w:tcPr>
          <w:p>
            <w:pPr>
              <w:pStyle w:val="TableContents"/>
              <w:bidi w:val="0"/>
              <w:spacing w:before="0" w:after="283"/>
              <w:ind w:left="0" w:right="0" w:firstLine="280"/>
              <w:jc w:val="left"/>
              <w:rPr/>
            </w:pPr>
            <w:r>
              <w:rPr/>
              <w:t> </w:t>
            </w:r>
          </w:p>
        </w:tc>
      </w:tr>
      <w:tr>
        <w:trPr/>
        <w:tc>
          <w:tcPr>
            <w:tcW w:w="6290" w:type="dxa"/>
            <w:tcBorders/>
            <w:shd w:fill="CFF0FC" w:val="clear"/>
            <w:vAlign w:val="center"/>
          </w:tcPr>
          <w:p>
            <w:pPr>
              <w:pStyle w:val="TableContents"/>
              <w:bidi w:val="0"/>
              <w:spacing w:before="0" w:after="283"/>
              <w:ind w:left="280" w:right="0" w:firstLine="280"/>
              <w:jc w:val="left"/>
              <w:rPr>
                <w:color w:val="000000"/>
              </w:rPr>
            </w:pPr>
            <w:r>
              <w:rPr>
                <w:color w:val="000000"/>
              </w:rPr>
              <w:t> </w:t>
            </w: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29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(34,339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(29,602</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9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left"/>
              <w:rPr>
                <w:sz w:val="4"/>
                <w:szCs w:val="4"/>
              </w:rPr>
            </w:pPr>
            <w:r>
              <w:rPr>
                <w:sz w:val="4"/>
                <w:szCs w:val="4"/>
              </w:rPr>
            </w:r>
          </w:p>
        </w:tc>
        <w:tc>
          <w:tcPr>
            <w:tcW w:w="611" w:type="dxa"/>
            <w:tcBorders/>
            <w:shd w:fill="FFFFFF" w:val="clear"/>
            <w:vAlign w:val="center"/>
          </w:tcPr>
          <w:p>
            <w:pPr>
              <w:pStyle w:val="TableContents"/>
              <w:bidi w:val="0"/>
              <w:spacing w:before="0" w:after="283"/>
              <w:ind w:left="0" w:right="0" w:firstLine="280"/>
              <w:jc w:val="right"/>
              <w:rPr/>
            </w:pPr>
            <w:r>
              <w:rPr/>
              <w:t> </w:t>
            </w:r>
          </w:p>
        </w:tc>
      </w:tr>
      <w:tr>
        <w:trPr/>
        <w:tc>
          <w:tcPr>
            <w:tcW w:w="629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1,305</w:t>
            </w:r>
          </w:p>
        </w:tc>
        <w:tc>
          <w:tcPr>
            <w:tcW w:w="611" w:type="dxa"/>
            <w:tcBorders/>
            <w:shd w:fill="CFF0FC" w:val="clear"/>
            <w:vAlign w:val="center"/>
          </w:tcPr>
          <w:p>
            <w:pPr>
              <w:pStyle w:val="TableContents"/>
              <w:bidi w:val="0"/>
              <w:spacing w:before="0" w:after="283"/>
              <w:ind w:left="0" w:right="0" w:firstLine="280"/>
              <w:jc w:val="left"/>
              <w:rPr/>
            </w:pPr>
            <w:r>
              <w:rPr/>
              <w:t> </w:t>
            </w:r>
          </w:p>
        </w:tc>
      </w:tr>
      <w:tr>
        <w:trPr/>
        <w:tc>
          <w:tcPr>
            <w:tcW w:w="629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29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29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(28,286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used to compute net loss per share, 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55,574,324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40,354,493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7959" w:type="dxa"/>
        <w:jc w:val="left"/>
        <w:tblInd w:w="0" w:type="dxa"/>
        <w:tblLayout w:type="fixed"/>
        <w:tblCellMar>
          <w:top w:w="28" w:type="dxa"/>
          <w:left w:w="28" w:type="dxa"/>
          <w:bottom w:w="28" w:type="dxa"/>
          <w:right w:w="28" w:type="dxa"/>
        </w:tblCellMar>
      </w:tblPr>
      <w:tblGrid>
        <w:gridCol w:w="4796"/>
        <w:gridCol w:w="146"/>
        <w:gridCol w:w="212"/>
        <w:gridCol w:w="147"/>
        <w:gridCol w:w="757"/>
        <w:gridCol w:w="167"/>
        <w:gridCol w:w="147"/>
        <w:gridCol w:w="212"/>
        <w:gridCol w:w="147"/>
        <w:gridCol w:w="757"/>
        <w:gridCol w:w="471"/>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7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6"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7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c>
          <w:tcPr>
            <w:tcW w:w="16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(28,286</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 income: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right"/>
              <w:rPr/>
            </w:pPr>
            <w:r>
              <w:rPr/>
              <w:t> </w:t>
            </w:r>
          </w:p>
        </w:tc>
        <w:tc>
          <w:tcPr>
            <w:tcW w:w="904"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right"/>
              <w:rPr/>
            </w:pPr>
            <w:r>
              <w:rPr/>
              <w:t> </w:t>
            </w:r>
          </w:p>
        </w:tc>
        <w:tc>
          <w:tcPr>
            <w:tcW w:w="904"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479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unrealized (loss) gain on marketable securities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(31,327</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(27,451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bookmarkStart w:id="7" w:name="condensedconsolidatedstatementsofconvert"/>
      <w:bookmarkEnd w:id="7"/>
      <w:r>
        <w:rPr>
          <w:rFonts w:ascii="Arial" w:hAnsi="Arial"/>
          <w:b/>
          <w:color w:val="000000"/>
          <w:sz w:val="20"/>
        </w:rPr>
        <w:t>Condensed Consolidated Statements of Stockholders’ Equity</w:t>
      </w:r>
      <w:r>
        <w:rPr>
          <w:rFonts w:ascii="Times New Roman" w:hAnsi="Times New Roman"/>
          <w:color w:val="000000"/>
          <w:sz w:val="20"/>
        </w:rPr>
        <w:t xml:space="preserve"> </w:t>
      </w: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32"/>
        <w:gridCol w:w="146"/>
        <w:gridCol w:w="146"/>
        <w:gridCol w:w="916"/>
        <w:gridCol w:w="146"/>
        <w:gridCol w:w="146"/>
        <w:gridCol w:w="213"/>
        <w:gridCol w:w="159"/>
        <w:gridCol w:w="379"/>
        <w:gridCol w:w="146"/>
        <w:gridCol w:w="146"/>
        <w:gridCol w:w="196"/>
        <w:gridCol w:w="146"/>
        <w:gridCol w:w="691"/>
        <w:gridCol w:w="146"/>
        <w:gridCol w:w="146"/>
        <w:gridCol w:w="289"/>
        <w:gridCol w:w="215"/>
        <w:gridCol w:w="847"/>
        <w:gridCol w:w="166"/>
        <w:gridCol w:w="146"/>
        <w:gridCol w:w="207"/>
        <w:gridCol w:w="154"/>
        <w:gridCol w:w="795"/>
        <w:gridCol w:w="166"/>
        <w:gridCol w:w="146"/>
        <w:gridCol w:w="220"/>
        <w:gridCol w:w="163"/>
        <w:gridCol w:w="778"/>
        <w:gridCol w:w="213"/>
      </w:tblGrid>
      <w:tr>
        <w:trPr/>
        <w:tc>
          <w:tcPr>
            <w:tcW w:w="1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32"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62"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3"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38"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37"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51" w:type="dxa"/>
            <w:gridSpan w:val="3"/>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7"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9"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61" w:type="dxa"/>
            <w:gridSpan w:val="3"/>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3"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c>
          <w:tcPr>
            <w:tcW w:w="53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94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1"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3" w:type="dxa"/>
            <w:tcBorders/>
            <w:shd w:fill="FFFFFF" w:val="clear"/>
            <w:vAlign w:val="center"/>
          </w:tcPr>
          <w:p>
            <w:pPr>
              <w:pStyle w:val="TableContents"/>
              <w:bidi w:val="0"/>
              <w:spacing w:before="0" w:after="283"/>
              <w:jc w:val="center"/>
              <w:rPr/>
            </w:pPr>
            <w:r>
              <w:rPr/>
              <w:t> </w:t>
            </w:r>
          </w:p>
        </w:tc>
      </w:tr>
      <w:tr>
        <w:trPr/>
        <w:tc>
          <w:tcPr>
            <w:tcW w:w="18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1"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18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54,992,784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559,176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15"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(305,632</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253,895</w:t>
            </w:r>
          </w:p>
        </w:tc>
        <w:tc>
          <w:tcPr>
            <w:tcW w:w="213" w:type="dxa"/>
            <w:tcBorders/>
            <w:shd w:fill="CFF0FC" w:val="cle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at-the-market offering, net of issuance costs of $167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546,326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7,901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7,901</w:t>
            </w:r>
          </w:p>
        </w:tc>
        <w:tc>
          <w:tcPr>
            <w:tcW w:w="213" w:type="dxa"/>
            <w:tcBorders/>
            <w:shd w:fill="FFFFFF" w:val="clear"/>
            <w:vAlign w:val="center"/>
          </w:tcPr>
          <w:p>
            <w:pPr>
              <w:pStyle w:val="TableContents"/>
              <w:bidi w:val="0"/>
              <w:spacing w:before="0" w:after="283"/>
              <w:jc w:val="left"/>
              <w:rPr/>
            </w:pPr>
            <w:r>
              <w:rPr/>
              <w:t> </w:t>
            </w:r>
          </w:p>
        </w:tc>
      </w:tr>
      <w:tr>
        <w:trPr/>
        <w:tc>
          <w:tcPr>
            <w:tcW w:w="183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4,704</w:t>
            </w:r>
          </w:p>
        </w:tc>
        <w:tc>
          <w:tcPr>
            <w:tcW w:w="213" w:type="dxa"/>
            <w:tcBorders/>
            <w:shd w:fill="CFF0FC" w:val="cle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288,402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940</w:t>
            </w:r>
          </w:p>
        </w:tc>
        <w:tc>
          <w:tcPr>
            <w:tcW w:w="213" w:type="dxa"/>
            <w:tcBorders/>
            <w:shd w:fill="FFFFFF" w:val="clear"/>
            <w:vAlign w:val="center"/>
          </w:tcPr>
          <w:p>
            <w:pPr>
              <w:pStyle w:val="TableContents"/>
              <w:bidi w:val="0"/>
              <w:spacing w:before="0" w:after="283"/>
              <w:jc w:val="left"/>
              <w:rPr/>
            </w:pPr>
            <w:r>
              <w:rPr/>
              <w:t> </w:t>
            </w:r>
          </w:p>
        </w:tc>
      </w:tr>
      <w:tr>
        <w:trPr/>
        <w:tc>
          <w:tcPr>
            <w:tcW w:w="183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205</w:t>
            </w:r>
          </w:p>
        </w:tc>
        <w:tc>
          <w:tcPr>
            <w:tcW w:w="213" w:type="dxa"/>
            <w:tcBorders/>
            <w:shd w:fill="CFF0FC" w:val="cle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40,351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183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loss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(357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(357</w:t>
            </w:r>
          </w:p>
        </w:tc>
        <w:tc>
          <w:tcPr>
            <w:tcW w:w="213"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3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(30,970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3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55,867,863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236,318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53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right"/>
              <w:rPr/>
            </w:pPr>
            <w:r>
              <w:rPr/>
              <w:t> </w:t>
            </w:r>
          </w:p>
        </w:tc>
        <w:tc>
          <w:tcPr>
            <w:tcW w:w="9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41"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183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c>
          <w:tcPr>
            <w:tcW w:w="53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94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1" w:type="dxa"/>
            <w:gridSpan w:val="3"/>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18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c>
          <w:tcPr>
            <w:tcW w:w="53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center"/>
              <w:rPr/>
            </w:pPr>
            <w:r>
              <w:rPr/>
              <w:t> </w:t>
            </w:r>
          </w:p>
        </w:tc>
        <w:tc>
          <w:tcPr>
            <w:tcW w:w="94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1"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3" w:type="dxa"/>
            <w:tcBorders/>
            <w:shd w:fill="FFFFFF" w:val="clear"/>
            <w:vAlign w:val="center"/>
          </w:tcPr>
          <w:p>
            <w:pPr>
              <w:pStyle w:val="TableContents"/>
              <w:bidi w:val="0"/>
              <w:spacing w:before="0" w:after="283"/>
              <w:jc w:val="center"/>
              <w:rPr/>
            </w:pPr>
            <w:r>
              <w:rPr/>
              <w:t> </w:t>
            </w:r>
          </w:p>
        </w:tc>
      </w:tr>
      <w:tr>
        <w:trPr/>
        <w:tc>
          <w:tcPr>
            <w:tcW w:w="18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1"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18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40,287,097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9"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408,333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5"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(1,813</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(208,977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197,546</w:t>
            </w:r>
          </w:p>
        </w:tc>
        <w:tc>
          <w:tcPr>
            <w:tcW w:w="213" w:type="dxa"/>
            <w:tcBorders/>
            <w:shd w:fill="CFF0FC" w:val="cle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early exercised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213" w:type="dxa"/>
            <w:tcBorders/>
            <w:shd w:fill="FFFFFF" w:val="clear"/>
            <w:vAlign w:val="center"/>
          </w:tcPr>
          <w:p>
            <w:pPr>
              <w:pStyle w:val="TableContents"/>
              <w:bidi w:val="0"/>
              <w:spacing w:before="0" w:after="283"/>
              <w:jc w:val="left"/>
              <w:rPr/>
            </w:pPr>
            <w:r>
              <w:rPr/>
              <w:t> </w:t>
            </w:r>
          </w:p>
        </w:tc>
      </w:tr>
      <w:tr>
        <w:trPr/>
        <w:tc>
          <w:tcPr>
            <w:tcW w:w="183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49,318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94,915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220</w:t>
            </w:r>
          </w:p>
        </w:tc>
        <w:tc>
          <w:tcPr>
            <w:tcW w:w="213" w:type="dxa"/>
            <w:tcBorders/>
            <w:shd w:fill="FFFFFF" w:val="clear"/>
            <w:vAlign w:val="center"/>
          </w:tcPr>
          <w:p>
            <w:pPr>
              <w:pStyle w:val="TableContents"/>
              <w:bidi w:val="0"/>
              <w:spacing w:before="0" w:after="283"/>
              <w:jc w:val="left"/>
              <w:rPr/>
            </w:pPr>
            <w:r>
              <w:rPr/>
              <w:t> </w:t>
            </w:r>
          </w:p>
        </w:tc>
      </w:tr>
      <w:tr>
        <w:trPr/>
        <w:tc>
          <w:tcPr>
            <w:tcW w:w="183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4,515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4,515</w:t>
            </w:r>
          </w:p>
        </w:tc>
        <w:tc>
          <w:tcPr>
            <w:tcW w:w="213" w:type="dxa"/>
            <w:tcBorders/>
            <w:shd w:fill="CFF0FC" w:val="cle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213" w:type="dxa"/>
            <w:tcBorders/>
            <w:shd w:fill="FFFFFF" w:val="clear"/>
            <w:vAlign w:val="center"/>
          </w:tcPr>
          <w:p>
            <w:pPr>
              <w:pStyle w:val="TableContents"/>
              <w:bidi w:val="0"/>
              <w:spacing w:before="0" w:after="283"/>
              <w:jc w:val="left"/>
              <w:rPr/>
            </w:pPr>
            <w:r>
              <w:rPr/>
              <w:t> </w:t>
            </w:r>
          </w:p>
        </w:tc>
      </w:tr>
      <w:tr>
        <w:trPr/>
        <w:tc>
          <w:tcPr>
            <w:tcW w:w="183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7"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835</w:t>
            </w:r>
          </w:p>
        </w:tc>
        <w:tc>
          <w:tcPr>
            <w:tcW w:w="213" w:type="dxa"/>
            <w:tcBorders/>
            <w:shd w:fill="CFF0FC" w:val="clear"/>
            <w:vAlign w:val="center"/>
          </w:tcPr>
          <w:p>
            <w:pPr>
              <w:pStyle w:val="TableContents"/>
              <w:bidi w:val="0"/>
              <w:spacing w:before="0" w:after="283"/>
              <w:jc w:val="left"/>
              <w:rPr/>
            </w:pPr>
            <w:r>
              <w:rPr/>
              <w:t> </w:t>
            </w:r>
          </w:p>
        </w:tc>
      </w:tr>
      <w:tr>
        <w:trPr/>
        <w:tc>
          <w:tcPr>
            <w:tcW w:w="1832"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(28,286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March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40,438,320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174,975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Cash Flows</w:t>
      </w:r>
    </w:p>
    <w:p>
      <w:pPr>
        <w:pStyle w:val="TextBody"/>
        <w:bidi w:val="0"/>
        <w:jc w:val="center"/>
        <w:rPr>
          <w:rFonts w:ascii="Arial" w:hAnsi="Arial"/>
          <w:b/>
          <w:color w:val="000000"/>
          <w:sz w:val="20"/>
        </w:rPr>
      </w:pPr>
      <w:bookmarkStart w:id="8" w:name="condensedconsolidatedstatementsofcashflo"/>
      <w:bookmarkEnd w:id="8"/>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65"/>
        <w:gridCol w:w="146"/>
        <w:gridCol w:w="211"/>
        <w:gridCol w:w="146"/>
        <w:gridCol w:w="755"/>
        <w:gridCol w:w="166"/>
        <w:gridCol w:w="146"/>
        <w:gridCol w:w="211"/>
        <w:gridCol w:w="146"/>
        <w:gridCol w:w="755"/>
        <w:gridCol w:w="758"/>
      </w:tblGrid>
      <w:tr>
        <w:trPr/>
        <w:tc>
          <w:tcPr>
            <w:tcW w:w="6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676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36"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76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758" w:type="dxa"/>
            <w:tcBorders/>
            <w:shd w:fill="CFF0FC" w:val="clear"/>
            <w:vAlign w:val="center"/>
          </w:tcPr>
          <w:p>
            <w:pPr>
              <w:pStyle w:val="TableContents"/>
              <w:bidi w:val="0"/>
              <w:spacing w:before="0" w:after="283"/>
              <w:ind w:left="0" w:right="0" w:firstLine="140"/>
              <w:jc w:val="right"/>
              <w:rPr/>
            </w:pPr>
            <w:r>
              <w:rPr/>
              <w:t> </w:t>
            </w:r>
          </w:p>
        </w:tc>
      </w:tr>
      <w:tr>
        <w:trPr/>
        <w:tc>
          <w:tcPr>
            <w:tcW w:w="676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(28,286</w:t>
            </w:r>
          </w:p>
        </w:tc>
        <w:tc>
          <w:tcPr>
            <w:tcW w:w="758"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6765"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758" w:type="dxa"/>
            <w:tcBorders/>
            <w:shd w:fill="CFF0FC" w:val="clear"/>
            <w:vAlign w:val="center"/>
          </w:tcPr>
          <w:p>
            <w:pPr>
              <w:pStyle w:val="TableContents"/>
              <w:bidi w:val="0"/>
              <w:spacing w:before="0" w:after="283"/>
              <w:ind w:left="0" w:right="0" w:firstLine="420"/>
              <w:jc w:val="right"/>
              <w:rPr/>
            </w:pPr>
            <w:r>
              <w:rPr/>
              <w:t> </w:t>
            </w:r>
          </w:p>
        </w:tc>
      </w:tr>
      <w:tr>
        <w:trPr/>
        <w:tc>
          <w:tcPr>
            <w:tcW w:w="6765"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Depreciation and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758" w:type="dxa"/>
            <w:tcBorders/>
            <w:shd w:fill="FFFFFF" w:val="clear"/>
            <w:vAlign w:val="center"/>
          </w:tcPr>
          <w:p>
            <w:pPr>
              <w:pStyle w:val="TableContents"/>
              <w:bidi w:val="0"/>
              <w:spacing w:before="0" w:after="283"/>
              <w:ind w:left="0" w:right="0" w:firstLine="420"/>
              <w:jc w:val="left"/>
              <w:rPr/>
            </w:pPr>
            <w:r>
              <w:rPr/>
              <w:t> </w:t>
            </w:r>
          </w:p>
        </w:tc>
      </w:tr>
      <w:tr>
        <w:trPr/>
        <w:tc>
          <w:tcPr>
            <w:tcW w:w="6765"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327</w:t>
            </w:r>
          </w:p>
        </w:tc>
        <w:tc>
          <w:tcPr>
            <w:tcW w:w="758" w:type="dxa"/>
            <w:tcBorders/>
            <w:shd w:fill="CFF0FC" w:val="clear"/>
            <w:vAlign w:val="center"/>
          </w:tcPr>
          <w:p>
            <w:pPr>
              <w:pStyle w:val="TableContents"/>
              <w:bidi w:val="0"/>
              <w:spacing w:before="0" w:after="283"/>
              <w:ind w:left="0" w:right="0" w:firstLine="420"/>
              <w:jc w:val="left"/>
              <w:rPr/>
            </w:pPr>
            <w:r>
              <w:rPr/>
              <w:t> </w:t>
            </w:r>
          </w:p>
        </w:tc>
      </w:tr>
      <w:tr>
        <w:trPr/>
        <w:tc>
          <w:tcPr>
            <w:tcW w:w="6765"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Non-cash interest income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(2,355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(869</w:t>
            </w:r>
          </w:p>
        </w:tc>
        <w:tc>
          <w:tcPr>
            <w:tcW w:w="758" w:type="dxa"/>
            <w:tcBorders/>
            <w:shd w:fill="FFFFFF" w:val="cle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765"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Stock-based compensation expense, including employee stock purchase plan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4,630</w:t>
            </w:r>
          </w:p>
        </w:tc>
        <w:tc>
          <w:tcPr>
            <w:tcW w:w="758" w:type="dxa"/>
            <w:tcBorders/>
            <w:shd w:fill="CFF0FC" w:val="clear"/>
            <w:vAlign w:val="center"/>
          </w:tcPr>
          <w:p>
            <w:pPr>
              <w:pStyle w:val="TableContents"/>
              <w:bidi w:val="0"/>
              <w:spacing w:before="0" w:after="283"/>
              <w:ind w:left="0" w:right="0" w:firstLine="420"/>
              <w:jc w:val="left"/>
              <w:rPr/>
            </w:pPr>
            <w:r>
              <w:rPr/>
              <w:t> </w:t>
            </w:r>
          </w:p>
        </w:tc>
      </w:tr>
      <w:tr>
        <w:trPr/>
        <w:tc>
          <w:tcPr>
            <w:tcW w:w="6765"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758" w:type="dxa"/>
            <w:tcBorders/>
            <w:shd w:fill="FFFFFF" w:val="clear"/>
            <w:vAlign w:val="center"/>
          </w:tcPr>
          <w:p>
            <w:pPr>
              <w:pStyle w:val="TableContents"/>
              <w:bidi w:val="0"/>
              <w:spacing w:before="0" w:after="283"/>
              <w:ind w:left="0" w:right="0" w:firstLine="560"/>
              <w:jc w:val="right"/>
              <w:rPr/>
            </w:pPr>
            <w:r>
              <w:rPr/>
              <w:t> </w:t>
            </w:r>
          </w:p>
        </w:tc>
      </w:tr>
      <w:tr>
        <w:trPr/>
        <w:tc>
          <w:tcPr>
            <w:tcW w:w="67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1,035</w:t>
            </w:r>
          </w:p>
        </w:tc>
        <w:tc>
          <w:tcPr>
            <w:tcW w:w="758" w:type="dxa"/>
            <w:tcBorders/>
            <w:shd w:fill="CFF0FC" w:val="clear"/>
            <w:vAlign w:val="center"/>
          </w:tcPr>
          <w:p>
            <w:pPr>
              <w:pStyle w:val="TableContents"/>
              <w:bidi w:val="0"/>
              <w:spacing w:before="0" w:after="283"/>
              <w:ind w:left="0" w:right="0" w:firstLine="560"/>
              <w:jc w:val="left"/>
              <w:rPr/>
            </w:pPr>
            <w:r>
              <w:rPr/>
              <w:t> </w:t>
            </w:r>
          </w:p>
        </w:tc>
      </w:tr>
      <w:tr>
        <w:trPr/>
        <w:tc>
          <w:tcPr>
            <w:tcW w:w="676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(1,343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758" w:type="dxa"/>
            <w:tcBorders/>
            <w:shd w:fill="FFFFFF" w:val="clear"/>
            <w:vAlign w:val="center"/>
          </w:tcPr>
          <w:p>
            <w:pPr>
              <w:pStyle w:val="TableContents"/>
              <w:bidi w:val="0"/>
              <w:spacing w:before="0" w:after="283"/>
              <w:ind w:left="0" w:right="0" w:firstLine="560"/>
              <w:jc w:val="left"/>
              <w:rPr/>
            </w:pPr>
            <w:r>
              <w:rPr/>
              <w:t> </w:t>
            </w:r>
          </w:p>
        </w:tc>
      </w:tr>
      <w:tr>
        <w:trPr/>
        <w:tc>
          <w:tcPr>
            <w:tcW w:w="67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758" w:type="dxa"/>
            <w:tcBorders/>
            <w:shd w:fill="CFF0FC" w:val="clear"/>
            <w:vAlign w:val="center"/>
          </w:tcPr>
          <w:p>
            <w:pPr>
              <w:pStyle w:val="TableContents"/>
              <w:bidi w:val="0"/>
              <w:spacing w:before="0" w:after="283"/>
              <w:ind w:left="0" w:right="0" w:firstLine="560"/>
              <w:jc w:val="left"/>
              <w:rPr/>
            </w:pPr>
            <w:r>
              <w:rPr/>
              <w:t> </w:t>
            </w:r>
          </w:p>
        </w:tc>
      </w:tr>
      <w:tr>
        <w:trPr/>
        <w:tc>
          <w:tcPr>
            <w:tcW w:w="6765"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2,691</w:t>
            </w:r>
          </w:p>
        </w:tc>
        <w:tc>
          <w:tcPr>
            <w:tcW w:w="758" w:type="dxa"/>
            <w:tcBorders/>
            <w:shd w:fill="FFFFFF" w:val="clear"/>
            <w:vAlign w:val="center"/>
          </w:tcPr>
          <w:p>
            <w:pPr>
              <w:pStyle w:val="TableContents"/>
              <w:bidi w:val="0"/>
              <w:spacing w:before="0" w:after="283"/>
              <w:ind w:left="0" w:right="0" w:firstLine="560"/>
              <w:jc w:val="left"/>
              <w:rPr/>
            </w:pPr>
            <w:r>
              <w:rPr/>
              <w:t> </w:t>
            </w:r>
          </w:p>
        </w:tc>
      </w:tr>
      <w:tr>
        <w:trPr/>
        <w:tc>
          <w:tcPr>
            <w:tcW w:w="67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765"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(20,391</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65"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01" w:type="dxa"/>
            <w:gridSpan w:val="2"/>
            <w:tcBorders/>
            <w:shd w:fill="CFF0FC" w:val="clear"/>
            <w:vAlign w:val="center"/>
          </w:tcPr>
          <w:p>
            <w:pPr>
              <w:pStyle w:val="TableContents"/>
              <w:bidi w:val="0"/>
              <w:spacing w:before="0" w:after="283"/>
              <w:jc w:val="right"/>
              <w:rPr/>
            </w:pPr>
            <w:r>
              <w:rPr/>
              <w:t> </w:t>
            </w:r>
          </w:p>
        </w:tc>
        <w:tc>
          <w:tcPr>
            <w:tcW w:w="758" w:type="dxa"/>
            <w:tcBorders/>
            <w:shd w:fill="CFF0FC" w:val="clear"/>
            <w:vAlign w:val="center"/>
          </w:tcPr>
          <w:p>
            <w:pPr>
              <w:pStyle w:val="TableContents"/>
              <w:bidi w:val="0"/>
              <w:spacing w:before="0" w:after="283"/>
              <w:jc w:val="right"/>
              <w:rPr/>
            </w:pPr>
            <w:r>
              <w:rPr/>
              <w:t> </w:t>
            </w:r>
          </w:p>
        </w:tc>
      </w:tr>
      <w:tr>
        <w:trPr/>
        <w:tc>
          <w:tcPr>
            <w:tcW w:w="67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 of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758" w:type="dxa"/>
            <w:tcBorders/>
            <w:shd w:fill="FFFFFF" w:val="clear"/>
            <w:vAlign w:val="center"/>
          </w:tcPr>
          <w:p>
            <w:pPr>
              <w:pStyle w:val="TableContents"/>
              <w:bidi w:val="0"/>
              <w:spacing w:before="0" w:after="283"/>
              <w:jc w:val="left"/>
              <w:rPr/>
            </w:pPr>
            <w:r>
              <w:rPr/>
              <w:t> </w:t>
            </w:r>
          </w:p>
        </w:tc>
      </w:tr>
      <w:tr>
        <w:trPr/>
        <w:tc>
          <w:tcPr>
            <w:tcW w:w="67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61,760</w:t>
            </w:r>
          </w:p>
        </w:tc>
        <w:tc>
          <w:tcPr>
            <w:tcW w:w="758" w:type="dxa"/>
            <w:tcBorders/>
            <w:shd w:fill="CFF0FC"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(24,373</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765"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cash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37,387</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901" w:type="dxa"/>
            <w:gridSpan w:val="2"/>
            <w:tcBorders/>
            <w:shd w:fill="FFFFFF" w:val="clear"/>
            <w:vAlign w:val="center"/>
          </w:tcPr>
          <w:p>
            <w:pPr>
              <w:pStyle w:val="TableContents"/>
              <w:bidi w:val="0"/>
              <w:spacing w:before="0" w:after="283"/>
              <w:jc w:val="right"/>
              <w:rPr/>
            </w:pPr>
            <w:r>
              <w:rPr/>
              <w:t> </w:t>
            </w:r>
          </w:p>
        </w:tc>
        <w:tc>
          <w:tcPr>
            <w:tcW w:w="758" w:type="dxa"/>
            <w:tcBorders/>
            <w:shd w:fill="FFFFFF" w:val="clear"/>
            <w:vAlign w:val="center"/>
          </w:tcPr>
          <w:p>
            <w:pPr>
              <w:pStyle w:val="TableContents"/>
              <w:bidi w:val="0"/>
              <w:spacing w:before="0" w:after="283"/>
              <w:jc w:val="right"/>
              <w:rPr/>
            </w:pPr>
            <w:r>
              <w:rPr/>
              <w:t> </w:t>
            </w:r>
          </w:p>
        </w:tc>
      </w:tr>
      <w:tr>
        <w:trPr/>
        <w:tc>
          <w:tcPr>
            <w:tcW w:w="67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shares under at-the-market offering, net of issuance costs of $167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758" w:type="dxa"/>
            <w:tcBorders/>
            <w:shd w:fill="CFF0FC" w:val="cle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765"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5"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(34,819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17,216</w:t>
            </w:r>
          </w:p>
        </w:tc>
        <w:tc>
          <w:tcPr>
            <w:tcW w:w="758" w:type="dxa"/>
            <w:tcBorders/>
            <w:shd w:fill="FFFFFF" w:val="clear"/>
            <w:vAlign w:val="center"/>
          </w:tcPr>
          <w:p>
            <w:pPr>
              <w:pStyle w:val="TableContents"/>
              <w:bidi w:val="0"/>
              <w:spacing w:before="0" w:after="283"/>
              <w:jc w:val="left"/>
              <w:rPr/>
            </w:pPr>
            <w:r>
              <w:rPr/>
              <w:t> </w:t>
            </w:r>
          </w:p>
        </w:tc>
      </w:tr>
      <w:tr>
        <w:trPr/>
        <w:tc>
          <w:tcPr>
            <w:tcW w:w="67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23,702</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40,918</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0" w:after="240"/>
        <w:jc w:val="center"/>
        <w:rPr>
          <w:rFonts w:ascii="Arial" w:hAnsi="Arial"/>
          <w:b/>
          <w:color w:val="000000"/>
          <w:sz w:val="20"/>
        </w:rPr>
      </w:pPr>
      <w:bookmarkStart w:id="9" w:name="notestocondensedconsolidatedfinancialsta"/>
      <w:bookmarkEnd w:id="9"/>
      <w:r>
        <w:rPr>
          <w:rFonts w:ascii="Arial" w:hAnsi="Arial"/>
          <w:b/>
          <w:color w:val="000000"/>
          <w:sz w:val="20"/>
        </w:rPr>
        <w:t>Notes to condensed consolidated financial statements</w:t>
      </w:r>
    </w:p>
    <w:p>
      <w:pPr>
        <w:pStyle w:val="TextBody"/>
        <w:bidi w:val="0"/>
        <w:spacing w:before="0" w:after="240"/>
        <w:jc w:val="center"/>
        <w:rPr>
          <w:rFonts w:ascii="Arial" w:hAnsi="Arial"/>
          <w:b/>
          <w:color w:val="000000"/>
          <w:sz w:val="20"/>
        </w:rPr>
      </w:pPr>
      <w:r>
        <w:rPr>
          <w:rFonts w:ascii="Arial" w:hAnsi="Arial"/>
          <w:b/>
          <w:color w:val="000000"/>
          <w:sz w:val="20"/>
        </w:rPr>
        <w:t>(Unaudited)</w:t>
      </w:r>
    </w:p>
    <w:p>
      <w:pPr>
        <w:pStyle w:val="TextBody"/>
        <w:bidi w:val="0"/>
        <w:spacing w:before="240" w:after="283"/>
        <w:jc w:val="both"/>
        <w:rPr>
          <w:rFonts w:ascii="Arial" w:hAnsi="Arial"/>
          <w:color w:val="000000"/>
          <w:sz w:val="20"/>
        </w:rPr>
      </w:pPr>
      <w:r>
        <w:rPr>
          <w:rFonts w:ascii="Arial" w:hAnsi="Arial"/>
          <w:color w:val="000000"/>
          <w:sz w:val="20"/>
        </w:rPr>
        <w:t>1.</w:t>
      </w:r>
    </w:p>
    <w:p>
      <w:pPr>
        <w:pStyle w:val="TextBody"/>
        <w:bidi w:val="0"/>
        <w:spacing w:before="240" w:after="283"/>
        <w:jc w:val="both"/>
        <w:rPr>
          <w:rFonts w:ascii="Arial" w:hAnsi="Arial"/>
          <w:color w:val="000000"/>
          <w:sz w:val="20"/>
        </w:rPr>
      </w:pPr>
      <w:r>
        <w:rPr>
          <w:rFonts w:ascii="Arial" w:hAnsi="Arial"/>
          <w:color w:val="000000"/>
          <w:sz w:val="20"/>
        </w:rPr>
        <w:t>Nature of the Business and Basis of Presentation</w:t>
      </w:r>
    </w:p>
    <w:p>
      <w:pPr>
        <w:pStyle w:val="TextBody"/>
        <w:bidi w:val="0"/>
        <w:spacing w:before="240" w:after="283"/>
        <w:jc w:val="both"/>
        <w:rPr>
          <w:rFonts w:ascii="Times New Roman" w:hAnsi="Times New Roman"/>
          <w:sz w:val="20"/>
        </w:rPr>
      </w:pPr>
      <w:r>
        <w:rPr>
          <w:rFonts w:ascii="Arial" w:hAnsi="Arial"/>
          <w:color w:val="000000"/>
          <w:sz w:val="20"/>
        </w:rPr>
        <w:t>Olema Pharmaceuticals, Inc. (“Olema” or the “Company”) is a clinical-stage biopharmaceutical company focused on the discovery, development and commercialization of next-generation targeted therapies for women’s cancers.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was incorporated on January 6, 2021, and is a wholly-owned subsidiary of the Company (collectively with Olema Pharmaceuticals, Inc., referred to as “Olema” or the “Company” herein). It operates in one</w:t>
      </w:r>
      <w:r>
        <w:rPr>
          <w:rFonts w:ascii="Times New Roman" w:hAnsi="Times New Roman"/>
          <w:color w:val="000000"/>
          <w:sz w:val="20"/>
        </w:rPr>
        <w:t xml:space="preserve"> </w:t>
      </w:r>
      <w:r>
        <w:rPr>
          <w:rFonts w:ascii="Arial" w:hAnsi="Arial"/>
          <w:color w:val="000000"/>
          <w:sz w:val="20"/>
        </w:rPr>
        <w:t>business segment and therefore has only one</w:t>
      </w:r>
      <w:r>
        <w:rPr>
          <w:rFonts w:ascii="Times New Roman" w:hAnsi="Times New Roman"/>
          <w:color w:val="000000"/>
          <w:sz w:val="20"/>
        </w:rPr>
        <w:t xml:space="preserve"> </w:t>
      </w:r>
      <w:r>
        <w:rPr>
          <w:rFonts w:ascii="Arial" w:hAnsi="Arial"/>
          <w:color w:val="000000"/>
          <w:sz w:val="20"/>
        </w:rPr>
        <w:t>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TextBody"/>
        <w:bidi w:val="0"/>
        <w:spacing w:before="240" w:after="283"/>
        <w:jc w:val="left"/>
        <w:rPr>
          <w:rFonts w:ascii="Arial" w:hAnsi="Arial"/>
          <w:i/>
          <w:color w:val="000000"/>
          <w:sz w:val="20"/>
        </w:rPr>
      </w:pPr>
      <w:r>
        <w:rPr>
          <w:rFonts w:ascii="Arial" w:hAnsi="Arial"/>
          <w:i/>
          <w:color w:val="000000"/>
          <w:sz w:val="20"/>
        </w:rPr>
        <w:t>Liquidity</w:t>
      </w:r>
    </w:p>
    <w:p>
      <w:pPr>
        <w:pStyle w:val="TextBody"/>
        <w:bidi w:val="0"/>
        <w:spacing w:before="240" w:after="283"/>
        <w:jc w:val="both"/>
        <w:rPr>
          <w:rFonts w:ascii="Times New Roman" w:hAnsi="Times New Roman"/>
          <w:sz w:val="20"/>
        </w:rPr>
      </w:pPr>
      <w:r>
        <w:rPr>
          <w:rFonts w:ascii="Arial" w:hAnsi="Arial"/>
          <w:color w:val="000000"/>
          <w:sz w:val="20"/>
        </w:rPr>
        <w:t>The Company had $249.0</w:t>
      </w:r>
      <w:r>
        <w:rPr>
          <w:rFonts w:ascii="Times New Roman" w:hAnsi="Times New Roman"/>
          <w:color w:val="000000"/>
          <w:sz w:val="20"/>
        </w:rPr>
        <w:t xml:space="preserve"> </w:t>
      </w:r>
      <w:r>
        <w:rPr>
          <w:rFonts w:ascii="Arial" w:hAnsi="Arial"/>
          <w:color w:val="000000"/>
          <w:sz w:val="20"/>
        </w:rPr>
        <w:t>million of cash, cash equivalents and marketable securities at March 31, 2024, in addition to an available balance of $25.0</w:t>
      </w:r>
      <w:r>
        <w:rPr>
          <w:rFonts w:ascii="Times New Roman" w:hAnsi="Times New Roman"/>
          <w:color w:val="000000"/>
          <w:sz w:val="20"/>
        </w:rPr>
        <w:t xml:space="preserve"> </w:t>
      </w:r>
      <w:r>
        <w:rPr>
          <w:rFonts w:ascii="Arial" w:hAnsi="Arial"/>
          <w:color w:val="000000"/>
          <w:sz w:val="20"/>
        </w:rPr>
        <w:t>million under the Loan and Security Agreement (the “Loan Agreement”), by and between the Company, as borrower, and Silicon Valley Bank, a division of First-Citizens Bank &amp; Trust Company (the “Bank”). Management believes that the Company’s cash, cash equivalents, marketable securities, and the amounts available under the Loan Agreement will be sufficient to fund the Company’s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At-The-Market Offering</w:t>
      </w:r>
    </w:p>
    <w:p>
      <w:pPr>
        <w:pStyle w:val="TextBody"/>
        <w:bidi w:val="0"/>
        <w:spacing w:before="240" w:after="283"/>
        <w:jc w:val="both"/>
        <w:rPr>
          <w:rFonts w:ascii="Times New Roman" w:hAnsi="Times New Roman"/>
          <w:sz w:val="20"/>
        </w:rPr>
      </w:pPr>
      <w:r>
        <w:rPr>
          <w:rFonts w:ascii="Arial" w:hAnsi="Arial"/>
          <w:color w:val="000000"/>
          <w:sz w:val="20"/>
        </w:rPr>
        <w:t>On January 5, 2024, the Company entered into a sales agreement (the “Sales Agreement”) with Cowen and Company, LLC (“TD Cowen”) as sales agent, pursuant to which the Company may offer and sell, from time to time, shares of our common stock, having an aggregate offering price of up to $150.0</w:t>
      </w:r>
      <w:r>
        <w:rPr>
          <w:rFonts w:ascii="Times New Roman" w:hAnsi="Times New Roman"/>
          <w:color w:val="000000"/>
          <w:sz w:val="20"/>
        </w:rPr>
        <w:t xml:space="preserve"> </w:t>
      </w:r>
      <w:r>
        <w:rPr>
          <w:rFonts w:ascii="Arial" w:hAnsi="Arial"/>
          <w:color w:val="000000"/>
          <w:sz w:val="20"/>
        </w:rPr>
        <w:t>million (the “ATM Shares”). The sales of the ATM Shares will be made by any method permitted that is deemed to be an "at-the-market" equity offering as defined in Rule 415(a)(4) promulgated under the Securities Act of 1933, as amended ("Securities Act"), including sales made directly on or through the Nasdaq Global Select Market. The Company has agreed to pay TD Cowen a commission of up to 3.0% of the aggregate gross proceeds from any ATM Shares sold by TD Cowen.</w:t>
      </w:r>
    </w:p>
    <w:p>
      <w:pPr>
        <w:pStyle w:val="TextBody"/>
        <w:bidi w:val="0"/>
        <w:spacing w:before="240" w:after="283"/>
        <w:jc w:val="both"/>
        <w:rPr>
          <w:rFonts w:ascii="Times New Roman" w:hAnsi="Times New Roman"/>
          <w:sz w:val="20"/>
        </w:rPr>
      </w:pPr>
      <w:r>
        <w:rPr>
          <w:rFonts w:ascii="Arial" w:hAnsi="Arial"/>
          <w:color w:val="000000"/>
          <w:sz w:val="20"/>
        </w:rPr>
        <w:t>During the three months ended March 31, 2024, the Company issued 546,326</w:t>
      </w:r>
      <w:r>
        <w:rPr>
          <w:rFonts w:ascii="Times New Roman" w:hAnsi="Times New Roman"/>
          <w:color w:val="000000"/>
          <w:sz w:val="20"/>
        </w:rPr>
        <w:t xml:space="preserve"> </w:t>
      </w:r>
      <w:r>
        <w:rPr>
          <w:rFonts w:ascii="Arial" w:hAnsi="Arial"/>
          <w:color w:val="000000"/>
          <w:sz w:val="20"/>
        </w:rPr>
        <w:t>shares of its common stock under the Sales Agreement at a weighted-average price of $15.00</w:t>
      </w:r>
      <w:r>
        <w:rPr>
          <w:rFonts w:ascii="Times New Roman" w:hAnsi="Times New Roman"/>
          <w:color w:val="000000"/>
          <w:sz w:val="20"/>
        </w:rPr>
        <w:t xml:space="preserve"> </w:t>
      </w:r>
      <w:r>
        <w:rPr>
          <w:rFonts w:ascii="Arial" w:hAnsi="Arial"/>
          <w:color w:val="000000"/>
          <w:sz w:val="20"/>
        </w:rPr>
        <w:t>per share for net proceeds of $7.9</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after deducting related issuance costs. As of March 31, 2024, approximately $141.8</w:t>
      </w:r>
      <w:r>
        <w:rPr>
          <w:rFonts w:ascii="Times New Roman" w:hAnsi="Times New Roman"/>
          <w:color w:val="000000"/>
          <w:sz w:val="20"/>
        </w:rPr>
        <w:t xml:space="preserve"> </w:t>
      </w:r>
      <w:r>
        <w:rPr>
          <w:rFonts w:ascii="Arial" w:hAnsi="Arial"/>
          <w:color w:val="000000"/>
          <w:sz w:val="20"/>
        </w:rPr>
        <w:t>million remained available for issuance under the Sales Agreement.</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Impact of Geopolitical and Macroeconomic Events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recession risks, as well as potential disruptions from the Russia-Ukraine conflict and armed conflict between Israel and groups based in surrounding regions, all of which have resulted in volatility in the U.S. and global financial markets and which have led to, and may continue to lead to, additional disruptions to trade, commerce, pricing stability, credit availability and supply chain continuity globally.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Summary of Significant Accounting Policies</w:t>
      </w:r>
    </w:p>
    <w:p>
      <w:pPr>
        <w:pStyle w:val="TextBody"/>
        <w:bidi w:val="0"/>
        <w:spacing w:before="240" w:after="283"/>
        <w:jc w:val="left"/>
        <w:rPr>
          <w:rFonts w:ascii="Arial" w:hAnsi="Arial"/>
          <w:i/>
          <w:color w:val="000000"/>
          <w:sz w:val="20"/>
        </w:rPr>
      </w:pPr>
      <w:r>
        <w:rPr>
          <w:rFonts w:ascii="Arial" w:hAnsi="Arial"/>
          <w:i/>
          <w:color w:val="000000"/>
          <w:sz w:val="20"/>
        </w:rPr>
        <w:t>Basis of Presentation and Consolidation</w:t>
      </w:r>
    </w:p>
    <w:p>
      <w:pPr>
        <w:pStyle w:val="TextBody"/>
        <w:bidi w:val="0"/>
        <w:spacing w:before="240" w:after="283"/>
        <w:jc w:val="both"/>
        <w:rPr>
          <w:rFonts w:ascii="Arial" w:hAnsi="Arial"/>
          <w:color w:val="000000"/>
          <w:sz w:val="20"/>
        </w:rPr>
      </w:pPr>
      <w:r>
        <w:rPr>
          <w:rFonts w:ascii="Arial" w:hAnsi="Arial"/>
          <w:color w:val="000000"/>
          <w:sz w:val="20"/>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w:t>
        <w:noBreakHyphen/>
        <w:t>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pStyle w:val="TextBody"/>
        <w:bidi w:val="0"/>
        <w:spacing w:before="240" w:after="283"/>
        <w:jc w:val="left"/>
        <w:rPr>
          <w:rFonts w:ascii="Arial" w:hAnsi="Arial"/>
          <w:i/>
          <w:color w:val="000000"/>
          <w:sz w:val="20"/>
        </w:rPr>
      </w:pPr>
      <w:r>
        <w:rPr>
          <w:rFonts w:ascii="Arial" w:hAnsi="Arial"/>
          <w:i/>
          <w:color w:val="000000"/>
          <w:sz w:val="20"/>
        </w:rPr>
        <w:t>Unaudited Interim Financial Information</w:t>
      </w:r>
    </w:p>
    <w:p>
      <w:pPr>
        <w:pStyle w:val="TextBody"/>
        <w:bidi w:val="0"/>
        <w:spacing w:before="240" w:after="283"/>
        <w:jc w:val="both"/>
        <w:rPr>
          <w:rFonts w:ascii="Times New Roman" w:hAnsi="Times New Roman"/>
          <w:sz w:val="20"/>
        </w:rPr>
      </w:pPr>
      <w:r>
        <w:rPr>
          <w:rFonts w:ascii="Arial" w:hAnsi="Arial"/>
          <w:color w:val="000000"/>
          <w:sz w:val="20"/>
        </w:rPr>
        <w:t>The interim condensed consolidated balance sheet as of March 31, 2024, and the statements of operations and comprehensive loss, stockholders’ equity and cash flows for the three months ended March 31, 2024 and 2023</w:t>
      </w:r>
      <w:r>
        <w:rPr>
          <w:rFonts w:ascii="Times New Roman" w:hAnsi="Times New Roman"/>
          <w:color w:val="000000"/>
          <w:sz w:val="20"/>
        </w:rPr>
        <w:t xml:space="preserve"> </w:t>
      </w:r>
      <w:r>
        <w:rPr>
          <w:rFonts w:ascii="Arial" w:hAnsi="Arial"/>
          <w:color w:val="000000"/>
          <w:sz w:val="20"/>
        </w:rPr>
        <w:t>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three-month periods are also unaudited. The results of operations presented in these unaudited condensed consolidated financial statements are not necessarily indicative of the results to be expected for the year ending December 31, 2024, or for any other future annual or interim period. The condensed consolidated balance sheet as of December 31, 2023 included herein was derived from the audited financial statements as of that date. These interim condensed consolidated financial statements should be read in conjunction with the Company’s audited consolidated financial statements included in the Company’s Form 10</w:t>
        <w:noBreakHyphen/>
        <w:t>K as filed with the SEC on March 11, 2024 (the “Annual Report”).</w:t>
      </w:r>
    </w:p>
    <w:p>
      <w:pPr>
        <w:pStyle w:val="TextBody"/>
        <w:bidi w:val="0"/>
        <w:spacing w:before="240" w:after="283"/>
        <w:jc w:val="left"/>
        <w:rPr>
          <w:rFonts w:ascii="Arial" w:hAnsi="Arial"/>
          <w:i/>
          <w:color w:val="000000"/>
          <w:sz w:val="20"/>
        </w:rPr>
      </w:pPr>
      <w:r>
        <w:rPr>
          <w:rFonts w:ascii="Arial" w:hAnsi="Arial"/>
          <w:i/>
          <w:color w:val="000000"/>
          <w:sz w:val="20"/>
        </w:rPr>
        <w:t>Use of Estimates</w:t>
      </w:r>
    </w:p>
    <w:p>
      <w:pPr>
        <w:pStyle w:val="TextBody"/>
        <w:bidi w:val="0"/>
        <w:spacing w:before="240" w:after="283"/>
        <w:jc w:val="both"/>
        <w:rPr>
          <w:rFonts w:ascii="Arial" w:hAnsi="Arial"/>
          <w:color w:val="000000"/>
          <w:sz w:val="20"/>
        </w:rPr>
      </w:pPr>
      <w:r>
        <w:rPr>
          <w:rFonts w:ascii="Arial" w:hAnsi="Arial"/>
          <w:color w:val="000000"/>
          <w:sz w:val="20"/>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Cash and Cash Equivalents</w:t>
      </w:r>
    </w:p>
    <w:p>
      <w:pPr>
        <w:pStyle w:val="TextBody"/>
        <w:bidi w:val="0"/>
        <w:spacing w:before="240" w:after="283"/>
        <w:jc w:val="both"/>
        <w:rPr>
          <w:rFonts w:ascii="Arial" w:hAnsi="Arial"/>
          <w:color w:val="000000"/>
          <w:sz w:val="20"/>
        </w:rPr>
      </w:pPr>
      <w:r>
        <w:rPr>
          <w:rFonts w:ascii="Arial" w:hAnsi="Arial"/>
          <w:color w:val="000000"/>
          <w:sz w:val="20"/>
        </w:rPr>
        <w:t>Cash and cash equivalents are defined as short-term, highly liquid investments with original maturities of 90 days or fewer at the date of purchase. Cash deposits are all in reputable financial institutions in the United States as of March 31, 2024, and December 31, 2023. Cash and cash equivalents consisted of cash on deposit with U.S. banks, including the Company’s bank account for its Australia subsidiary, denominated in U.S. dollars and Australian dollars and investments in interest bearing money market funds.</w:t>
      </w:r>
    </w:p>
    <w:p>
      <w:pPr>
        <w:pStyle w:val="TextBody"/>
        <w:bidi w:val="0"/>
        <w:spacing w:before="240" w:after="283"/>
        <w:jc w:val="left"/>
        <w:rPr>
          <w:rFonts w:ascii="Arial" w:hAnsi="Arial"/>
          <w:i/>
          <w:color w:val="000000"/>
          <w:sz w:val="20"/>
        </w:rPr>
      </w:pPr>
      <w:r>
        <w:rPr>
          <w:rFonts w:ascii="Arial" w:hAnsi="Arial"/>
          <w:i/>
          <w:color w:val="000000"/>
          <w:sz w:val="20"/>
        </w:rPr>
        <w:t>Marketable Securities</w:t>
      </w:r>
    </w:p>
    <w:p>
      <w:pPr>
        <w:pStyle w:val="TextBody"/>
        <w:bidi w:val="0"/>
        <w:spacing w:before="240" w:after="283"/>
        <w:jc w:val="both"/>
        <w:rPr>
          <w:rFonts w:ascii="Times New Roman" w:hAnsi="Times New Roman"/>
          <w:sz w:val="20"/>
        </w:rPr>
      </w:pPr>
      <w:r>
        <w:rPr>
          <w:rFonts w:ascii="Arial" w:hAnsi="Arial"/>
          <w:color w:val="000000"/>
          <w:sz w:val="20"/>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pStyle w:val="TextBody"/>
        <w:bidi w:val="0"/>
        <w:spacing w:before="240" w:after="283"/>
        <w:jc w:val="both"/>
        <w:rPr>
          <w:rFonts w:ascii="Arial" w:hAnsi="Arial"/>
          <w:color w:val="000000"/>
          <w:sz w:val="20"/>
        </w:rPr>
      </w:pPr>
      <w:r>
        <w:rPr>
          <w:rFonts w:ascii="Arial" w:hAnsi="Arial"/>
          <w:color w:val="000000"/>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pStyle w:val="TextBody"/>
        <w:bidi w:val="0"/>
        <w:spacing w:before="240" w:after="283"/>
        <w:jc w:val="left"/>
        <w:rPr>
          <w:rFonts w:ascii="Arial" w:hAnsi="Arial"/>
          <w:i/>
          <w:color w:val="000000"/>
          <w:sz w:val="20"/>
        </w:rPr>
      </w:pPr>
      <w:r>
        <w:rPr>
          <w:rFonts w:ascii="Arial" w:hAnsi="Arial"/>
          <w:i/>
          <w:color w:val="000000"/>
          <w:sz w:val="20"/>
        </w:rPr>
        <w:t>Concentration of Credit Risk and Other Risks and Uncertainties</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pStyle w:val="TextBody"/>
        <w:bidi w:val="0"/>
        <w:spacing w:before="240" w:after="283"/>
        <w:jc w:val="both"/>
        <w:rPr>
          <w:rFonts w:ascii="Arial" w:hAnsi="Arial"/>
          <w:color w:val="000000"/>
          <w:sz w:val="20"/>
        </w:rPr>
      </w:pPr>
      <w:r>
        <w:rPr>
          <w:rFonts w:ascii="Arial" w:hAnsi="Arial"/>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pStyle w:val="TextBody"/>
        <w:bidi w:val="0"/>
        <w:spacing w:before="240" w:after="283"/>
        <w:jc w:val="left"/>
        <w:rPr>
          <w:rFonts w:ascii="Arial" w:hAnsi="Arial"/>
          <w:i/>
          <w:color w:val="000000"/>
          <w:sz w:val="20"/>
        </w:rPr>
      </w:pPr>
      <w:r>
        <w:rPr>
          <w:rFonts w:ascii="Arial" w:hAnsi="Arial"/>
          <w:i/>
          <w:color w:val="000000"/>
          <w:sz w:val="20"/>
        </w:rPr>
        <w:t>Leases</w:t>
      </w:r>
    </w:p>
    <w:p>
      <w:pPr>
        <w:pStyle w:val="TextBody"/>
        <w:bidi w:val="0"/>
        <w:spacing w:before="240" w:after="283"/>
        <w:jc w:val="both"/>
        <w:rPr>
          <w:rFonts w:ascii="Times New Roman" w:hAnsi="Times New Roman"/>
          <w:sz w:val="20"/>
        </w:rPr>
      </w:pPr>
      <w:r>
        <w:rPr>
          <w:rFonts w:ascii="Arial" w:hAnsi="Arial"/>
          <w:color w:val="000000"/>
          <w:sz w:val="20"/>
        </w:rPr>
        <w:t xml:space="preserve">The Company adopted Accounting Standard Update (“ASU”) 2016-12, </w:t>
      </w:r>
      <w:r>
        <w:rPr>
          <w:rFonts w:ascii="Arial" w:hAnsi="Arial"/>
          <w:i/>
          <w:color w:val="000000"/>
          <w:sz w:val="20"/>
        </w:rPr>
        <w:t>Leases</w:t>
      </w:r>
      <w:r>
        <w:rPr>
          <w:rFonts w:ascii="Arial" w:hAnsi="Arial"/>
          <w:color w:val="000000"/>
          <w:sz w:val="20"/>
        </w:rPr>
        <w:t>, Topic 842, (“Topic 842”) as of January 1, 2021. Under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bidi w:val="0"/>
        <w:spacing w:before="240" w:after="283"/>
        <w:jc w:val="both"/>
        <w:rPr>
          <w:rFonts w:ascii="Arial" w:hAnsi="Arial"/>
          <w:color w:val="000000"/>
          <w:sz w:val="20"/>
        </w:rPr>
      </w:pPr>
      <w:r>
        <w:rPr>
          <w:rFonts w:ascii="Arial" w:hAnsi="Arial"/>
          <w:color w:val="000000"/>
          <w:sz w:val="20"/>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pStyle w:val="TextBody"/>
        <w:bidi w:val="0"/>
        <w:spacing w:before="240" w:after="283"/>
        <w:jc w:val="both"/>
        <w:rPr>
          <w:rFonts w:ascii="Arial" w:hAnsi="Arial"/>
          <w:color w:val="000000"/>
          <w:sz w:val="20"/>
        </w:rPr>
      </w:pPr>
      <w:r>
        <w:rPr>
          <w:rFonts w:ascii="Arial" w:hAnsi="Arial"/>
          <w:color w:val="000000"/>
          <w:sz w:val="20"/>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The Company elected to not apply the recognition requirements of Topic 842 to short-term leases with terms of 12 months or less. Additional information and disclosures required by Topic 842 are contained in Note 11 “Lease” in the Annual Report.</w:t>
      </w:r>
    </w:p>
    <w:p>
      <w:pPr>
        <w:pStyle w:val="TextBody"/>
        <w:bidi w:val="0"/>
        <w:spacing w:before="240" w:after="283"/>
        <w:jc w:val="left"/>
        <w:rPr>
          <w:rFonts w:ascii="Arial" w:hAnsi="Arial"/>
          <w:i/>
          <w:color w:val="000000"/>
          <w:sz w:val="20"/>
        </w:rPr>
      </w:pPr>
      <w:r>
        <w:rPr>
          <w:rFonts w:ascii="Arial" w:hAnsi="Arial"/>
          <w:i/>
          <w:color w:val="000000"/>
          <w:sz w:val="20"/>
        </w:rPr>
        <w:t>Research and Development Costs</w:t>
      </w:r>
    </w:p>
    <w:p>
      <w:pPr>
        <w:pStyle w:val="TextBody"/>
        <w:bidi w:val="0"/>
        <w:spacing w:before="240" w:after="283"/>
        <w:jc w:val="both"/>
        <w:rPr>
          <w:rFonts w:ascii="Arial" w:hAnsi="Arial"/>
          <w:color w:val="000000"/>
          <w:sz w:val="20"/>
        </w:rPr>
      </w:pPr>
      <w:r>
        <w:rPr>
          <w:rFonts w:ascii="Arial" w:hAnsi="Arial"/>
          <w:color w:val="000000"/>
          <w:sz w:val="20"/>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pStyle w:val="TextBody"/>
        <w:bidi w:val="0"/>
        <w:spacing w:before="240" w:after="283"/>
        <w:jc w:val="both"/>
        <w:rPr>
          <w:rFonts w:ascii="Times New Roman" w:hAnsi="Times New Roman"/>
          <w:sz w:val="20"/>
        </w:rPr>
      </w:pPr>
      <w:r>
        <w:rPr>
          <w:rFonts w:ascii="Arial" w:hAnsi="Arial"/>
          <w:color w:val="000000"/>
          <w:sz w:val="20"/>
        </w:rPr>
        <w:t>Reimbursements of certain costs associated with research activities performed under the agreement with Novartis Institutes for BioMedical Research, Inc. (“Novartis”) are recorded as a reduction of research and development expenses</w:t>
      </w:r>
      <w:r>
        <w:rPr>
          <w:rFonts w:ascii="Times New Roman" w:hAnsi="Times New Roman"/>
          <w:color w:val="000000"/>
          <w:sz w:val="20"/>
        </w:rPr>
        <w:t xml:space="preserve"> </w:t>
      </w:r>
      <w:r>
        <w:rPr>
          <w:rFonts w:ascii="Arial" w:hAnsi="Arial"/>
          <w:color w:val="000000"/>
          <w:sz w:val="20"/>
        </w:rPr>
        <w:t>and as a receivable due from Novartis, which is recorded under prepaid expenses and other current assets in the accompanying condensed consolidated financial statements, as described in Note 10, Commitments and Contingencies – Clinical Collaboration and Supply Agreement.</w:t>
      </w:r>
    </w:p>
    <w:p>
      <w:pPr>
        <w:pStyle w:val="TextBody"/>
        <w:bidi w:val="0"/>
        <w:spacing w:before="240" w:after="283"/>
        <w:jc w:val="left"/>
        <w:rPr>
          <w:rFonts w:ascii="Arial" w:hAnsi="Arial"/>
          <w:i/>
          <w:color w:val="000000"/>
          <w:sz w:val="20"/>
        </w:rPr>
      </w:pPr>
      <w:r>
        <w:rPr>
          <w:rFonts w:ascii="Arial" w:hAnsi="Arial"/>
          <w:i/>
          <w:color w:val="000000"/>
          <w:sz w:val="20"/>
        </w:rPr>
        <w:t>Research Contract Costs and Accruals</w:t>
      </w:r>
    </w:p>
    <w:p>
      <w:pPr>
        <w:pStyle w:val="TextBody"/>
        <w:bidi w:val="0"/>
        <w:spacing w:before="240" w:after="283"/>
        <w:jc w:val="both"/>
        <w:rPr>
          <w:rFonts w:ascii="Arial" w:hAnsi="Arial"/>
          <w:color w:val="000000"/>
          <w:sz w:val="20"/>
        </w:rPr>
      </w:pPr>
      <w:r>
        <w:rPr>
          <w:rFonts w:ascii="Arial" w:hAnsi="Arial"/>
          <w:color w:val="000000"/>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pStyle w:val="TextBody"/>
        <w:bidi w:val="0"/>
        <w:spacing w:before="240" w:after="283"/>
        <w:jc w:val="both"/>
        <w:rPr>
          <w:rFonts w:ascii="Arial" w:hAnsi="Arial"/>
          <w:color w:val="000000"/>
          <w:sz w:val="20"/>
        </w:rPr>
      </w:pPr>
      <w:r>
        <w:rPr>
          <w:rFonts w:ascii="Arial" w:hAnsi="Arial"/>
          <w:color w:val="000000"/>
          <w:sz w:val="20"/>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pStyle w:val="TextBody"/>
        <w:bidi w:val="0"/>
        <w:spacing w:before="240" w:after="283"/>
        <w:jc w:val="left"/>
        <w:rPr>
          <w:rFonts w:ascii="Arial" w:hAnsi="Arial"/>
          <w:i/>
          <w:color w:val="000000"/>
          <w:sz w:val="20"/>
        </w:rPr>
      </w:pPr>
      <w:r>
        <w:rPr>
          <w:rFonts w:ascii="Arial" w:hAnsi="Arial"/>
          <w:i/>
          <w:color w:val="000000"/>
          <w:sz w:val="20"/>
        </w:rPr>
        <w:t>Stock-Based Compensation</w:t>
      </w:r>
    </w:p>
    <w:p>
      <w:pPr>
        <w:pStyle w:val="TextBody"/>
        <w:bidi w:val="0"/>
        <w:spacing w:before="240" w:after="283"/>
        <w:jc w:val="both"/>
        <w:rPr>
          <w:rFonts w:ascii="Arial" w:hAnsi="Arial"/>
          <w:color w:val="000000"/>
          <w:sz w:val="20"/>
        </w:rPr>
      </w:pPr>
      <w:r>
        <w:rPr>
          <w:rFonts w:ascii="Arial" w:hAnsi="Arial"/>
          <w:color w:val="000000"/>
          <w:sz w:val="20"/>
        </w:rPr>
        <w:t>Stock-based compensation cost, including grants of stock options and restricted stock awards issued under the Company’s equity incentive plans and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ASC 718, Compensation — Stock Compensation (“ASC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Equity instruments issued to nonemployees are recorded at their fair value on the grant date and without subsequent remeasurement.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pStyle w:val="TextBody"/>
        <w:bidi w:val="0"/>
        <w:spacing w:before="240" w:after="283"/>
        <w:jc w:val="both"/>
        <w:rPr>
          <w:rFonts w:ascii="Arial" w:hAnsi="Arial"/>
          <w:i/>
          <w:color w:val="000000"/>
          <w:sz w:val="20"/>
        </w:rPr>
      </w:pPr>
      <w:r>
        <w:rPr>
          <w:rFonts w:ascii="Arial" w:hAnsi="Arial"/>
          <w:i/>
          <w:color w:val="000000"/>
          <w:sz w:val="20"/>
        </w:rPr>
        <w:t>Foreign Currency Transactions</w:t>
      </w:r>
    </w:p>
    <w:p>
      <w:pPr>
        <w:pStyle w:val="TextBody"/>
        <w:bidi w:val="0"/>
        <w:spacing w:before="240" w:after="283"/>
        <w:jc w:val="both"/>
        <w:rPr>
          <w:rFonts w:ascii="Times New Roman" w:hAnsi="Times New Roman"/>
          <w:sz w:val="20"/>
        </w:rPr>
      </w:pPr>
      <w:r>
        <w:rPr>
          <w:rFonts w:ascii="Arial" w:hAnsi="Arial"/>
          <w:color w:val="000000"/>
          <w:sz w:val="20"/>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during the period. Remeasurement gains and losses are recorded as other income (expense) on the consolidated statements of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pStyle w:val="TextBody"/>
        <w:bidi w:val="0"/>
        <w:spacing w:before="240" w:after="283"/>
        <w:jc w:val="left"/>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unvested performance-based restricted stock unit awards and contingently issuable common stock related to the 2020 Employee Stock Purchase Plan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240" w:after="283"/>
        <w:jc w:val="left"/>
        <w:rPr>
          <w:rFonts w:ascii="Arial" w:hAnsi="Arial"/>
          <w:i/>
          <w:color w:val="000000"/>
          <w:sz w:val="20"/>
        </w:rPr>
      </w:pPr>
      <w:r>
        <w:rPr>
          <w:rFonts w:ascii="Arial" w:hAnsi="Arial"/>
          <w:i/>
          <w:color w:val="000000"/>
          <w:sz w:val="20"/>
        </w:rPr>
        <w:t>Recent Accounting Pronouncements</w:t>
      </w:r>
    </w:p>
    <w:p>
      <w:pPr>
        <w:pStyle w:val="TextBody"/>
        <w:bidi w:val="0"/>
        <w:spacing w:before="240" w:after="283"/>
        <w:jc w:val="both"/>
        <w:rPr>
          <w:rFonts w:ascii="Arial" w:hAnsi="Arial"/>
          <w:color w:val="000000"/>
          <w:sz w:val="20"/>
        </w:rPr>
      </w:pPr>
      <w:r>
        <w:rPr>
          <w:rFonts w:ascii="Arial" w:hAnsi="Arial"/>
          <w:color w:val="000000"/>
          <w:sz w:val="20"/>
        </w:rPr>
        <w:t>There were no new accounting pronouncements that were relevant to the Company as of and for the three months ended March 31, 2024.</w:t>
      </w:r>
    </w:p>
    <w:p>
      <w:pPr>
        <w:pStyle w:val="TextBody"/>
        <w:bidi w:val="0"/>
        <w:spacing w:before="0" w:after="240"/>
        <w:jc w:val="both"/>
        <w:rPr/>
      </w:pPr>
      <w:r>
        <w:rPr/>
        <w:t> </w:t>
      </w:r>
    </w:p>
    <w:p>
      <w:pPr>
        <w:pStyle w:val="TextBody"/>
        <w:bidi w:val="0"/>
        <w:spacing w:before="240" w:after="283"/>
        <w:jc w:val="both"/>
        <w:rPr>
          <w:rFonts w:ascii="Arial" w:hAnsi="Arial"/>
          <w:color w:val="000000"/>
          <w:sz w:val="20"/>
        </w:rPr>
      </w:pPr>
      <w:r>
        <w:rPr>
          <w:rFonts w:ascii="Arial" w:hAnsi="Arial"/>
          <w:color w:val="000000"/>
          <w:sz w:val="20"/>
        </w:rPr>
        <w:t>3. Fair Value Measurement</w:t>
      </w:r>
    </w:p>
    <w:p>
      <w:pPr>
        <w:pStyle w:val="TextBody"/>
        <w:bidi w:val="0"/>
        <w:spacing w:before="240" w:after="283"/>
        <w:jc w:val="both"/>
        <w:rPr>
          <w:rFonts w:ascii="Times New Roman" w:hAnsi="Times New Roman"/>
          <w:sz w:val="20"/>
        </w:rPr>
      </w:pPr>
      <w:r>
        <w:rPr>
          <w:rFonts w:ascii="Arial" w:hAnsi="Arial"/>
          <w:color w:val="000000"/>
          <w:sz w:val="20"/>
        </w:rPr>
        <w:t xml:space="preserve">The Company assesses the fair value of financial instruments based on the provisions of ASC 820, </w:t>
      </w:r>
      <w:r>
        <w:rPr>
          <w:rFonts w:ascii="Arial" w:hAnsi="Arial"/>
          <w:i/>
          <w:color w:val="000000"/>
          <w:sz w:val="20"/>
        </w:rPr>
        <w:t>Fair Value Measurements</w:t>
      </w:r>
      <w:r>
        <w:rPr>
          <w:rFonts w:ascii="Arial" w:hAnsi="Arial"/>
          <w:color w:val="000000"/>
          <w:sz w:val="20"/>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1 — Inputs are unadjusted quoted prices in active markets for identical assets or liabilities accessible to the reporting entity at the measurement date.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8,779</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18,173</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105,710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15,167</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80,411</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20,943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249,183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3,570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59,280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59,280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105,017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12,627</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60,012</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262,112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83"/>
        <w:gridCol w:w="196"/>
        <w:gridCol w:w="467"/>
        <w:gridCol w:w="146"/>
        <w:gridCol w:w="146"/>
        <w:gridCol w:w="238"/>
        <w:gridCol w:w="164"/>
        <w:gridCol w:w="544"/>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right"/>
              <w:rPr/>
            </w:pPr>
            <w:r>
              <w:rPr/>
              <w:t> </w:t>
            </w:r>
          </w:p>
        </w:tc>
        <w:tc>
          <w:tcPr>
            <w:tcW w:w="66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right"/>
              <w:rPr/>
            </w:pPr>
            <w:r>
              <w:rPr/>
              <w:t> </w:t>
            </w:r>
          </w:p>
        </w:tc>
        <w:tc>
          <w:tcPr>
            <w:tcW w:w="7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33,926</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4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190,213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3"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190,171</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25,086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249,193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249,183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56"/>
        <w:gridCol w:w="177"/>
        <w:gridCol w:w="513"/>
        <w:gridCol w:w="146"/>
        <w:gridCol w:w="146"/>
        <w:gridCol w:w="283"/>
        <w:gridCol w:w="196"/>
        <w:gridCol w:w="467"/>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right"/>
              <w:rPr/>
            </w:pPr>
            <w:r>
              <w:rPr/>
              <w:t> </w:t>
            </w:r>
          </w:p>
        </w:tc>
        <w:tc>
          <w:tcPr>
            <w:tcW w:w="6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right"/>
              <w:rPr/>
            </w:pPr>
            <w:r>
              <w:rPr/>
              <w:t> </w:t>
            </w:r>
          </w:p>
        </w:tc>
        <w:tc>
          <w:tcPr>
            <w:tcW w:w="66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68,844</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4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3"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170,134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23,134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262,112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pStyle w:val="TextBody"/>
        <w:bidi w:val="0"/>
        <w:spacing w:before="240" w:after="283"/>
        <w:jc w:val="both"/>
        <w:rPr>
          <w:rFonts w:ascii="Arial" w:hAnsi="Arial"/>
          <w:color w:val="000000"/>
          <w:sz w:val="20"/>
        </w:rPr>
      </w:pPr>
      <w:r>
        <w:rPr>
          <w:rFonts w:ascii="Arial" w:hAnsi="Arial"/>
          <w:color w:val="000000"/>
          <w:sz w:val="20"/>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marketable securities that had been in a consecutive loss position for more than 12 months as of March 31, 2024. During the three months ended March 31, 2024, the Company did not recognize any other-than-temporary impairment loss. As of March 31, 2024, there was no</w:t>
      </w:r>
      <w:r>
        <w:rPr>
          <w:rFonts w:ascii="Times New Roman" w:hAnsi="Times New Roman"/>
          <w:color w:val="000000"/>
          <w:sz w:val="20"/>
        </w:rPr>
        <w:t xml:space="preserve"> </w:t>
      </w:r>
      <w:r>
        <w:rPr>
          <w:rFonts w:ascii="Arial" w:hAnsi="Arial"/>
          <w:color w:val="000000"/>
          <w:sz w:val="20"/>
        </w:rPr>
        <w:t>allowance for losses on available-for-sale debt securities attributable to credit risk.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March 31, 2024, all of the Company’s cash and cash equivalents consisted of cash on deposit with U.S. banks denominated in U. S. dollars and Australian dollars.</w:t>
      </w:r>
    </w:p>
    <w:p>
      <w:pPr>
        <w:pStyle w:val="TextBody"/>
        <w:bidi w:val="0"/>
        <w:spacing w:before="240" w:after="283"/>
        <w:jc w:val="both"/>
        <w:rPr>
          <w:rFonts w:ascii="Arial" w:hAnsi="Arial"/>
          <w:color w:val="000000"/>
          <w:sz w:val="20"/>
        </w:rPr>
      </w:pPr>
      <w:r>
        <w:rPr>
          <w:rFonts w:ascii="Arial" w:hAnsi="Arial"/>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 consisted of the following (in thousands):</w:t>
      </w:r>
    </w:p>
    <w:tbl>
      <w:tblPr>
        <w:tblW w:w="9373" w:type="dxa"/>
        <w:jc w:val="left"/>
        <w:tblInd w:w="0" w:type="dxa"/>
        <w:tblLayout w:type="fixed"/>
        <w:tblCellMar>
          <w:top w:w="28" w:type="dxa"/>
          <w:left w:w="28" w:type="dxa"/>
          <w:bottom w:w="28" w:type="dxa"/>
          <w:right w:w="28" w:type="dxa"/>
        </w:tblCellMar>
      </w:tblPr>
      <w:tblGrid>
        <w:gridCol w:w="6631"/>
        <w:gridCol w:w="146"/>
        <w:gridCol w:w="211"/>
        <w:gridCol w:w="146"/>
        <w:gridCol w:w="586"/>
        <w:gridCol w:w="146"/>
        <w:gridCol w:w="146"/>
        <w:gridCol w:w="262"/>
        <w:gridCol w:w="181"/>
        <w:gridCol w:w="727"/>
        <w:gridCol w:w="1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1,239</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clinical development costs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858</w:t>
            </w:r>
          </w:p>
        </w:tc>
        <w:tc>
          <w:tcPr>
            <w:tcW w:w="191" w:type="dxa"/>
            <w:tcBorders/>
            <w:shd w:fill="FFFFFF" w:val="clear"/>
            <w:vAlign w:val="center"/>
          </w:tcPr>
          <w:p>
            <w:pPr>
              <w:pStyle w:val="TableContents"/>
              <w:bidi w:val="0"/>
              <w:spacing w:before="0" w:after="283"/>
              <w:jc w:val="left"/>
              <w:rPr/>
            </w:pPr>
            <w:r>
              <w:rPr/>
              <w:t> </w:t>
            </w:r>
          </w:p>
        </w:tc>
      </w:tr>
      <w:tr>
        <w:trPr/>
        <w:tc>
          <w:tcPr>
            <w:tcW w:w="6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subscriptions and licenses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191" w:type="dxa"/>
            <w:tcBorders/>
            <w:shd w:fill="FFFFFF" w:val="clear"/>
            <w:vAlign w:val="center"/>
          </w:tcPr>
          <w:p>
            <w:pPr>
              <w:pStyle w:val="TableContents"/>
              <w:bidi w:val="0"/>
              <w:spacing w:before="0" w:after="283"/>
              <w:jc w:val="left"/>
              <w:rPr/>
            </w:pPr>
            <w:r>
              <w:rPr/>
              <w:t> </w:t>
            </w:r>
          </w:p>
        </w:tc>
      </w:tr>
      <w:tr>
        <w:trPr/>
        <w:tc>
          <w:tcPr>
            <w:tcW w:w="6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Reimbursable research and development costs from a collaboration partner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5.</w:t>
      </w:r>
    </w:p>
    <w:p>
      <w:pPr>
        <w:pStyle w:val="TextBody"/>
        <w:bidi w:val="0"/>
        <w:spacing w:before="40" w:after="283"/>
        <w:jc w:val="both"/>
        <w:rPr>
          <w:rFonts w:ascii="Arial" w:hAnsi="Arial"/>
          <w:color w:val="000000"/>
          <w:sz w:val="20"/>
        </w:rPr>
      </w:pPr>
      <w:r>
        <w:rPr>
          <w:rFonts w:ascii="Arial" w:hAnsi="Arial"/>
          <w:color w:val="000000"/>
          <w:sz w:val="20"/>
        </w:rPr>
        <w:t xml:space="preserve">Other Assets and Long-Term Deposits </w:t>
      </w:r>
    </w:p>
    <w:p>
      <w:pPr>
        <w:pStyle w:val="TextBody"/>
        <w:bidi w:val="0"/>
        <w:spacing w:before="240" w:after="283"/>
        <w:jc w:val="both"/>
        <w:rPr>
          <w:rFonts w:ascii="Arial" w:hAnsi="Arial"/>
          <w:color w:val="000000"/>
          <w:sz w:val="20"/>
        </w:rPr>
      </w:pPr>
      <w:r>
        <w:rPr>
          <w:rFonts w:ascii="Arial" w:hAnsi="Arial"/>
          <w:color w:val="000000"/>
          <w:sz w:val="20"/>
        </w:rPr>
        <w:t>Other assets and long-term deposits consisted of the following (in thousands):</w:t>
      </w:r>
    </w:p>
    <w:p>
      <w:pPr>
        <w:pStyle w:val="TextBody"/>
        <w:bidi w:val="0"/>
        <w:jc w:val="both"/>
        <w:rPr/>
      </w:pPr>
      <w:r>
        <w:rPr/>
        <w:t> </w:t>
      </w:r>
    </w:p>
    <w:tbl>
      <w:tblPr>
        <w:tblW w:w="6103" w:type="dxa"/>
        <w:jc w:val="left"/>
        <w:tblInd w:w="0" w:type="dxa"/>
        <w:tblLayout w:type="fixed"/>
        <w:tblCellMar>
          <w:top w:w="28" w:type="dxa"/>
          <w:left w:w="28" w:type="dxa"/>
          <w:bottom w:w="28" w:type="dxa"/>
          <w:right w:w="28" w:type="dxa"/>
        </w:tblCellMar>
      </w:tblPr>
      <w:tblGrid>
        <w:gridCol w:w="3361"/>
        <w:gridCol w:w="146"/>
        <w:gridCol w:w="211"/>
        <w:gridCol w:w="146"/>
        <w:gridCol w:w="586"/>
        <w:gridCol w:w="146"/>
        <w:gridCol w:w="146"/>
        <w:gridCol w:w="262"/>
        <w:gridCol w:w="181"/>
        <w:gridCol w:w="727"/>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Clinical development project deposits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6,688</w:t>
            </w:r>
          </w:p>
        </w:tc>
        <w:tc>
          <w:tcPr>
            <w:tcW w:w="19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968</w:t>
            </w:r>
          </w:p>
        </w:tc>
        <w:tc>
          <w:tcPr>
            <w:tcW w:w="191"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Security deposits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6.</w:t>
      </w:r>
    </w:p>
    <w:p>
      <w:pPr>
        <w:pStyle w:val="TextBody"/>
        <w:bidi w:val="0"/>
        <w:spacing w:before="40" w:after="283"/>
        <w:jc w:val="both"/>
        <w:rPr>
          <w:rFonts w:ascii="Arial" w:hAnsi="Arial"/>
          <w:color w:val="000000"/>
          <w:sz w:val="20"/>
        </w:rPr>
      </w:pPr>
      <w:r>
        <w:rPr>
          <w:rFonts w:ascii="Arial" w:hAnsi="Arial"/>
          <w:color w:val="000000"/>
          <w:sz w:val="20"/>
        </w:rPr>
        <w:t>Accrued and Other Current Liabilities</w:t>
      </w:r>
    </w:p>
    <w:p>
      <w:pPr>
        <w:pStyle w:val="TextBody"/>
        <w:bidi w:val="0"/>
        <w:spacing w:before="240" w:after="283"/>
        <w:jc w:val="both"/>
        <w:rPr>
          <w:rFonts w:ascii="Times New Roman" w:hAnsi="Times New Roman"/>
          <w:sz w:val="20"/>
        </w:rPr>
      </w:pPr>
      <w:r>
        <w:rPr>
          <w:rFonts w:ascii="Arial" w:hAnsi="Arial"/>
          <w:color w:val="000000"/>
          <w:sz w:val="20"/>
        </w:rPr>
        <w:t>Accrued and other current liabilities consisted of the following (in thousands):</w:t>
      </w:r>
      <w:r>
        <w:rPr>
          <w:rFonts w:ascii="Times New Roman" w:hAnsi="Times New Roman"/>
          <w:color w:val="000000"/>
          <w:sz w:val="20"/>
        </w:rPr>
        <w:t xml:space="preserve"> </w:t>
      </w:r>
    </w:p>
    <w:p>
      <w:pPr>
        <w:pStyle w:val="TextBody"/>
        <w:bidi w:val="0"/>
        <w:jc w:val="both"/>
        <w:rPr/>
      </w:pPr>
      <w:r>
        <w:rPr/>
        <w:t> </w:t>
      </w:r>
    </w:p>
    <w:tbl>
      <w:tblPr>
        <w:tblW w:w="7228" w:type="dxa"/>
        <w:jc w:val="left"/>
        <w:tblInd w:w="0" w:type="dxa"/>
        <w:tblLayout w:type="fixed"/>
        <w:tblCellMar>
          <w:top w:w="28" w:type="dxa"/>
          <w:left w:w="28" w:type="dxa"/>
          <w:bottom w:w="28" w:type="dxa"/>
          <w:right w:w="28" w:type="dxa"/>
        </w:tblCellMar>
      </w:tblPr>
      <w:tblGrid>
        <w:gridCol w:w="4381"/>
        <w:gridCol w:w="146"/>
        <w:gridCol w:w="211"/>
        <w:gridCol w:w="146"/>
        <w:gridCol w:w="691"/>
        <w:gridCol w:w="146"/>
        <w:gridCol w:w="146"/>
        <w:gridCol w:w="235"/>
        <w:gridCol w:w="163"/>
        <w:gridCol w:w="772"/>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related costs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14,098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11,322</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employee bonuses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5,465</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fees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903</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payroll related costs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taxes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9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rial" w:hAnsi="Arial"/>
          <w:color w:val="000000"/>
          <w:sz w:val="20"/>
        </w:rPr>
      </w:pPr>
      <w:r>
        <w:rPr>
          <w:rFonts w:ascii="Arial" w:hAnsi="Arial"/>
          <w:color w:val="000000"/>
          <w:sz w:val="20"/>
        </w:rPr>
        <w:t>7.</w:t>
      </w:r>
    </w:p>
    <w:p>
      <w:pPr>
        <w:pStyle w:val="TextBody"/>
        <w:bidi w:val="0"/>
        <w:spacing w:before="40" w:after="283"/>
        <w:jc w:val="left"/>
        <w:rPr>
          <w:rFonts w:ascii="Arial" w:hAnsi="Arial"/>
          <w:color w:val="000000"/>
          <w:sz w:val="20"/>
        </w:rPr>
      </w:pPr>
      <w:r>
        <w:rPr>
          <w:rFonts w:ascii="Arial" w:hAnsi="Arial"/>
          <w:color w:val="000000"/>
          <w:sz w:val="20"/>
        </w:rPr>
        <w:t>Stock-Based Compensation</w:t>
      </w:r>
    </w:p>
    <w:p>
      <w:pPr>
        <w:pStyle w:val="TextBody"/>
        <w:bidi w:val="0"/>
        <w:spacing w:before="240" w:after="283"/>
        <w:jc w:val="both"/>
        <w:rPr>
          <w:rFonts w:ascii="Arial" w:hAnsi="Arial"/>
          <w:color w:val="000000"/>
          <w:sz w:val="20"/>
        </w:rPr>
      </w:pPr>
      <w:r>
        <w:rPr>
          <w:rFonts w:ascii="Arial" w:hAnsi="Arial"/>
          <w:color w:val="000000"/>
          <w:sz w:val="20"/>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were initially issuable under the 2020 Plan was a number not to exceed 6,494,510</w:t>
      </w:r>
      <w:r>
        <w:rPr>
          <w:rFonts w:ascii="Times New Roman" w:hAnsi="Times New Roman"/>
          <w:color w:val="000000"/>
          <w:sz w:val="20"/>
        </w:rPr>
        <w:t xml:space="preserve"> </w:t>
      </w:r>
      <w:r>
        <w:rPr>
          <w:rFonts w:ascii="Arial" w:hAnsi="Arial"/>
          <w:color w:val="000000"/>
          <w:sz w:val="20"/>
        </w:rPr>
        <w:t>shares of the Company’s common stock, which is the sum of (i) 2,152,080</w:t>
      </w:r>
      <w:r>
        <w:rPr>
          <w:rFonts w:ascii="Times New Roman" w:hAnsi="Times New Roman"/>
          <w:color w:val="000000"/>
          <w:sz w:val="20"/>
        </w:rPr>
        <w:t xml:space="preserve"> </w:t>
      </w:r>
      <w:r>
        <w:rPr>
          <w:rFonts w:ascii="Arial" w:hAnsi="Arial"/>
          <w:color w:val="000000"/>
          <w:sz w:val="20"/>
        </w:rPr>
        <w:t>new shares, plus (ii) an additional number of shares not to exceed 4,342,430</w:t>
      </w:r>
      <w:r>
        <w:rPr>
          <w:rFonts w:ascii="Times New Roman" w:hAnsi="Times New Roman"/>
          <w:color w:val="000000"/>
          <w:sz w:val="20"/>
        </w:rPr>
        <w:t xml:space="preserve"> </w:t>
      </w:r>
      <w:r>
        <w:rPr>
          <w:rFonts w:ascii="Arial" w:hAnsi="Arial"/>
          <w:color w:val="000000"/>
          <w:sz w:val="20"/>
        </w:rPr>
        <w:t>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pStyle w:val="TextBody"/>
        <w:bidi w:val="0"/>
        <w:spacing w:before="240" w:after="283"/>
        <w:jc w:val="both"/>
        <w:rPr>
          <w:rFonts w:ascii="Times New Roman" w:hAnsi="Times New Roman"/>
          <w:sz w:val="20"/>
        </w:rPr>
      </w:pPr>
      <w:r>
        <w:rPr>
          <w:rFonts w:ascii="Arial" w:hAnsi="Arial"/>
          <w:color w:val="000000"/>
          <w:sz w:val="20"/>
        </w:rPr>
        <w:t>In 2022, the Board approved and adopted the Company’s 2022 Inducement Plan (the “2022 Inducement Plan”). Under the 2022 Inducement Plan, initially 2,000,000</w:t>
      </w:r>
      <w:r>
        <w:rPr>
          <w:rFonts w:ascii="Times New Roman" w:hAnsi="Times New Roman"/>
          <w:color w:val="000000"/>
          <w:sz w:val="20"/>
        </w:rPr>
        <w:t xml:space="preserve"> </w:t>
      </w:r>
      <w:r>
        <w:rPr>
          <w:rFonts w:ascii="Arial" w:hAnsi="Arial"/>
          <w:color w:val="000000"/>
          <w:sz w:val="20"/>
        </w:rPr>
        <w:t>shares of common stock were reserved for issuance. The 2022 Inducement Plan permits the grant of options, restricted stock awards, stock appreciation rights, restricted stock unit awards, performance awards, and other awards.</w:t>
      </w:r>
    </w:p>
    <w:p>
      <w:pPr>
        <w:pStyle w:val="TextBody"/>
        <w:bidi w:val="0"/>
        <w:spacing w:before="240" w:after="283"/>
        <w:jc w:val="both"/>
        <w:rPr>
          <w:rFonts w:ascii="Times New Roman" w:hAnsi="Times New Roman"/>
          <w:sz w:val="20"/>
        </w:rPr>
      </w:pPr>
      <w:r>
        <w:rPr>
          <w:rFonts w:ascii="Arial" w:hAnsi="Arial"/>
          <w:color w:val="000000"/>
          <w:sz w:val="20"/>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w:t>
      </w:r>
      <w:r>
        <w:rPr>
          <w:rFonts w:ascii="Times New Roman" w:hAnsi="Times New Roman"/>
          <w:color w:val="000000"/>
          <w:sz w:val="20"/>
        </w:rPr>
        <w:t xml:space="preserve"> </w:t>
      </w:r>
      <w:r>
        <w:rPr>
          <w:rFonts w:ascii="Arial" w:hAnsi="Arial"/>
          <w:color w:val="000000"/>
          <w:sz w:val="20"/>
        </w:rPr>
        <w:t>after the date of grant.</w:t>
      </w:r>
    </w:p>
    <w:p>
      <w:pPr>
        <w:pStyle w:val="TextBody"/>
        <w:bidi w:val="0"/>
        <w:spacing w:before="240" w:after="283"/>
        <w:jc w:val="left"/>
        <w:rPr>
          <w:rFonts w:ascii="Arial" w:hAnsi="Arial"/>
          <w:i/>
          <w:color w:val="000000"/>
          <w:sz w:val="20"/>
        </w:rPr>
      </w:pPr>
      <w:r>
        <w:rPr>
          <w:rFonts w:ascii="Arial" w:hAnsi="Arial"/>
          <w:i/>
          <w:color w:val="000000"/>
          <w:sz w:val="20"/>
        </w:rPr>
        <w:t>Stock Option Valuation</w:t>
      </w:r>
    </w:p>
    <w:p>
      <w:pPr>
        <w:pStyle w:val="TextBody"/>
        <w:bidi w:val="0"/>
        <w:spacing w:before="240" w:after="283"/>
        <w:jc w:val="both"/>
        <w:rPr>
          <w:rFonts w:ascii="Arial" w:hAnsi="Arial"/>
          <w:color w:val="000000"/>
          <w:sz w:val="20"/>
        </w:rPr>
      </w:pPr>
      <w:r>
        <w:rPr>
          <w:rFonts w:ascii="Arial" w:hAnsi="Arial"/>
          <w:color w:val="000000"/>
          <w:sz w:val="20"/>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pStyle w:val="TextBody"/>
        <w:bidi w:val="0"/>
        <w:spacing w:before="240" w:after="283"/>
        <w:jc w:val="both"/>
        <w:rPr>
          <w:rFonts w:ascii="Arial" w:hAnsi="Arial"/>
          <w:color w:val="000000"/>
          <w:sz w:val="20"/>
        </w:rPr>
      </w:pPr>
      <w:r>
        <w:rPr>
          <w:rFonts w:ascii="Arial" w:hAnsi="Arial"/>
          <w:color w:val="000000"/>
          <w:sz w:val="20"/>
        </w:rPr>
        <w:t>The assumptions that the Company used to determine the estimated grant-date fair value of stock options granted to employees and directors under the 2020 Plan and the 2022 Inducement Plan were as follows, presented as a weighted average:</w:t>
      </w:r>
    </w:p>
    <w:p>
      <w:pPr>
        <w:pStyle w:val="TextBody"/>
        <w:bidi w:val="0"/>
        <w:jc w:val="both"/>
        <w:rPr/>
      </w:pPr>
      <w:r>
        <w:rPr/>
        <w:t> </w:t>
      </w:r>
    </w:p>
    <w:tbl>
      <w:tblPr>
        <w:tblW w:w="4785" w:type="dxa"/>
        <w:jc w:val="left"/>
        <w:tblInd w:w="0" w:type="dxa"/>
        <w:tblLayout w:type="fixed"/>
        <w:tblCellMar>
          <w:top w:w="28" w:type="dxa"/>
          <w:left w:w="28" w:type="dxa"/>
          <w:bottom w:w="28" w:type="dxa"/>
          <w:right w:w="28" w:type="dxa"/>
        </w:tblCellMar>
      </w:tblPr>
      <w:tblGrid>
        <w:gridCol w:w="2266"/>
        <w:gridCol w:w="146"/>
        <w:gridCol w:w="146"/>
        <w:gridCol w:w="586"/>
        <w:gridCol w:w="286"/>
        <w:gridCol w:w="146"/>
        <w:gridCol w:w="146"/>
        <w:gridCol w:w="146"/>
        <w:gridCol w:w="586"/>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33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85.36</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87.22</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40" w:after="283"/>
        <w:jc w:val="left"/>
        <w:rPr>
          <w:rFonts w:ascii="Arial" w:hAnsi="Arial"/>
          <w:i/>
          <w:color w:val="000000"/>
          <w:sz w:val="20"/>
        </w:rPr>
      </w:pPr>
      <w:r>
        <w:rPr>
          <w:rFonts w:ascii="Arial" w:hAnsi="Arial"/>
          <w:i/>
          <w:color w:val="000000"/>
          <w:sz w:val="20"/>
        </w:rPr>
        <w:t>Stock Option Activity</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stock option activity under the 2014 Plan, the 2020 Plan and the 2022 Inducement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59"/>
        <w:gridCol w:w="146"/>
        <w:gridCol w:w="146"/>
        <w:gridCol w:w="1066"/>
        <w:gridCol w:w="166"/>
        <w:gridCol w:w="146"/>
        <w:gridCol w:w="211"/>
        <w:gridCol w:w="146"/>
        <w:gridCol w:w="586"/>
        <w:gridCol w:w="146"/>
        <w:gridCol w:w="146"/>
        <w:gridCol w:w="240"/>
        <w:gridCol w:w="796"/>
        <w:gridCol w:w="146"/>
        <w:gridCol w:w="146"/>
        <w:gridCol w:w="249"/>
        <w:gridCol w:w="172"/>
        <w:gridCol w:w="819"/>
        <w:gridCol w:w="473"/>
      </w:tblGrid>
      <w:tr>
        <w:trPr/>
        <w:tc>
          <w:tcPr>
            <w:tcW w:w="4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25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pPr>
            <w:r>
              <w:rPr/>
              <w:t> </w:t>
            </w:r>
          </w:p>
        </w:tc>
        <w:tc>
          <w:tcPr>
            <w:tcW w:w="473" w:type="dxa"/>
            <w:tcBorders/>
            <w:shd w:fill="FFFFFF" w:val="clear"/>
            <w:vAlign w:val="center"/>
          </w:tcPr>
          <w:p>
            <w:pPr>
              <w:pStyle w:val="TableContents"/>
              <w:bidi w:val="0"/>
              <w:spacing w:before="0" w:after="283"/>
              <w:jc w:val="center"/>
              <w:rPr/>
            </w:pPr>
            <w:r>
              <w:rPr/>
              <w:t> </w:t>
            </w:r>
          </w:p>
        </w:tc>
      </w:tr>
      <w:tr>
        <w:trPr/>
        <w:tc>
          <w:tcPr>
            <w:tcW w:w="42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r>
          </w:p>
        </w:tc>
        <w:tc>
          <w:tcPr>
            <w:tcW w:w="473" w:type="dxa"/>
            <w:tcBorders/>
            <w:shd w:fill="FFFFFF" w:val="clear"/>
            <w:vAlign w:val="center"/>
          </w:tcPr>
          <w:p>
            <w:pPr>
              <w:pStyle w:val="TableContents"/>
              <w:bidi w:val="0"/>
              <w:spacing w:before="0" w:after="283"/>
              <w:jc w:val="center"/>
              <w:rPr/>
            </w:pPr>
            <w:r>
              <w:rPr/>
              <w:t> </w:t>
            </w:r>
          </w:p>
        </w:tc>
      </w:tr>
      <w:tr>
        <w:trPr/>
        <w:tc>
          <w:tcPr>
            <w:tcW w:w="42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Intrinsic</w:t>
            </w:r>
          </w:p>
        </w:tc>
        <w:tc>
          <w:tcPr>
            <w:tcW w:w="473" w:type="dxa"/>
            <w:tcBorders/>
            <w:shd w:fill="FFFFFF" w:val="clear"/>
            <w:vAlign w:val="center"/>
          </w:tcPr>
          <w:p>
            <w:pPr>
              <w:pStyle w:val="TableContents"/>
              <w:bidi w:val="0"/>
              <w:spacing w:before="0" w:after="283"/>
              <w:jc w:val="center"/>
              <w:rPr/>
            </w:pPr>
            <w:r>
              <w:rPr/>
              <w:t> </w:t>
            </w:r>
          </w:p>
        </w:tc>
      </w:tr>
      <w:tr>
        <w:trPr/>
        <w:tc>
          <w:tcPr>
            <w:tcW w:w="42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0"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3" w:type="dxa"/>
            <w:tcBorders/>
            <w:shd w:fill="FFFFFF" w:val="clear"/>
            <w:vAlign w:val="center"/>
          </w:tcPr>
          <w:p>
            <w:pPr>
              <w:pStyle w:val="TableContents"/>
              <w:bidi w:val="0"/>
              <w:spacing w:before="0" w:after="283"/>
              <w:jc w:val="center"/>
              <w:rPr/>
            </w:pPr>
            <w:r>
              <w:rPr/>
              <w:t> </w:t>
            </w:r>
          </w:p>
        </w:tc>
      </w:tr>
      <w:tr>
        <w:trPr/>
        <w:tc>
          <w:tcPr>
            <w:tcW w:w="425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8,670,742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61,749</w:t>
            </w:r>
          </w:p>
        </w:tc>
        <w:tc>
          <w:tcPr>
            <w:tcW w:w="473" w:type="dxa"/>
            <w:tcBorders/>
            <w:shd w:fill="CFF0FC" w:val="clear"/>
            <w:vAlign w:val="center"/>
          </w:tcPr>
          <w:p>
            <w:pPr>
              <w:pStyle w:val="TableContents"/>
              <w:bidi w:val="0"/>
              <w:spacing w:before="0" w:after="283"/>
              <w:ind w:left="0" w:right="0" w:firstLine="280"/>
              <w:jc w:val="left"/>
              <w:rPr/>
            </w:pPr>
            <w:r>
              <w:rPr/>
              <w:t> </w:t>
            </w:r>
          </w:p>
        </w:tc>
      </w:tr>
      <w:tr>
        <w:trPr/>
        <w:tc>
          <w:tcPr>
            <w:tcW w:w="4259"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2,530,750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right"/>
              <w:rPr/>
            </w:pPr>
            <w:r>
              <w:rPr/>
              <w:t> </w:t>
            </w:r>
          </w:p>
        </w:tc>
        <w:tc>
          <w:tcPr>
            <w:tcW w:w="991" w:type="dxa"/>
            <w:gridSpan w:val="2"/>
            <w:tcBorders/>
            <w:shd w:fill="FFFFFF" w:val="clear"/>
            <w:vAlign w:val="center"/>
          </w:tcPr>
          <w:p>
            <w:pPr>
              <w:pStyle w:val="TableContents"/>
              <w:bidi w:val="0"/>
              <w:spacing w:before="0" w:after="283"/>
              <w:jc w:val="right"/>
              <w:rPr>
                <w:color w:val="000000"/>
              </w:rPr>
            </w:pPr>
            <w:r>
              <w:rPr>
                <w:color w:val="000000"/>
              </w:rPr>
              <w:t>—</w:t>
            </w:r>
          </w:p>
        </w:tc>
        <w:tc>
          <w:tcPr>
            <w:tcW w:w="473" w:type="dxa"/>
            <w:tcBorders/>
            <w:shd w:fill="FFFFFF" w:val="clear"/>
            <w:vAlign w:val="center"/>
          </w:tcPr>
          <w:p>
            <w:pPr>
              <w:pStyle w:val="TableContents"/>
              <w:bidi w:val="0"/>
              <w:spacing w:before="0" w:after="283"/>
              <w:ind w:left="0" w:right="0" w:firstLine="280"/>
              <w:jc w:val="right"/>
              <w:rPr/>
            </w:pPr>
            <w:r>
              <w:rPr/>
              <w:t> </w:t>
            </w:r>
          </w:p>
        </w:tc>
      </w:tr>
      <w:tr>
        <w:trPr/>
        <w:tc>
          <w:tcPr>
            <w:tcW w:w="4259"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Exercised (1)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(308,574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right"/>
              <w:rPr/>
            </w:pPr>
            <w:r>
              <w:rPr/>
              <w:t> </w:t>
            </w:r>
          </w:p>
        </w:tc>
        <w:tc>
          <w:tcPr>
            <w:tcW w:w="991" w:type="dxa"/>
            <w:gridSpan w:val="2"/>
            <w:tcBorders/>
            <w:shd w:fill="CFF0FC" w:val="clear"/>
            <w:vAlign w:val="center"/>
          </w:tcPr>
          <w:p>
            <w:pPr>
              <w:pStyle w:val="TableContents"/>
              <w:bidi w:val="0"/>
              <w:spacing w:before="0" w:after="283"/>
              <w:jc w:val="right"/>
              <w:rPr>
                <w:color w:val="000000"/>
              </w:rPr>
            </w:pPr>
            <w:r>
              <w:rPr>
                <w:color w:val="000000"/>
              </w:rPr>
              <w:t>—</w:t>
            </w:r>
          </w:p>
        </w:tc>
        <w:tc>
          <w:tcPr>
            <w:tcW w:w="473" w:type="dxa"/>
            <w:tcBorders/>
            <w:shd w:fill="CFF0FC" w:val="clear"/>
            <w:vAlign w:val="center"/>
          </w:tcPr>
          <w:p>
            <w:pPr>
              <w:pStyle w:val="TableContents"/>
              <w:bidi w:val="0"/>
              <w:spacing w:before="0" w:after="283"/>
              <w:ind w:left="0" w:right="0" w:firstLine="280"/>
              <w:jc w:val="right"/>
              <w:rPr/>
            </w:pPr>
            <w:r>
              <w:rPr/>
              <w:t> </w:t>
            </w:r>
          </w:p>
        </w:tc>
      </w:tr>
      <w:tr>
        <w:trPr/>
        <w:tc>
          <w:tcPr>
            <w:tcW w:w="4259"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5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10,786,902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40,729</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righ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473" w:type="dxa"/>
            <w:tcBorders/>
            <w:shd w:fill="FFFFFF" w:val="clear"/>
            <w:vAlign w:val="center"/>
          </w:tcPr>
          <w:p>
            <w:pPr>
              <w:pStyle w:val="TableContents"/>
              <w:bidi w:val="0"/>
              <w:spacing w:before="0" w:after="283"/>
              <w:jc w:val="right"/>
              <w:rPr/>
            </w:pPr>
            <w:r>
              <w:rPr/>
              <w:t> </w:t>
            </w:r>
          </w:p>
        </w:tc>
      </w:tr>
      <w:tr>
        <w:trPr/>
        <w:tc>
          <w:tcPr>
            <w:tcW w:w="425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vested and exercisable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5,112,161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24,246</w:t>
            </w:r>
          </w:p>
        </w:tc>
        <w:tc>
          <w:tcPr>
            <w:tcW w:w="473" w:type="dxa"/>
            <w:tcBorders/>
            <w:shd w:fill="FFFFFF" w:val="clear"/>
            <w:vAlign w:val="center"/>
          </w:tcPr>
          <w:p>
            <w:pPr>
              <w:pStyle w:val="TableContents"/>
              <w:bidi w:val="0"/>
              <w:spacing w:before="0" w:after="283"/>
              <w:jc w:val="left"/>
              <w:rPr/>
            </w:pPr>
            <w:r>
              <w:rPr/>
              <w:t> </w:t>
            </w:r>
          </w:p>
        </w:tc>
      </w:tr>
      <w:tr>
        <w:trPr/>
        <w:tc>
          <w:tcPr>
            <w:tcW w:w="4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expected to vest as of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5,674,741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16,483</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231F20"/>
          <w:sz w:val="16"/>
        </w:rPr>
      </w:pPr>
      <w:r>
        <w:rPr>
          <w:rFonts w:ascii="Arial" w:hAnsi="Arial"/>
          <w:color w:val="231F20"/>
          <w:sz w:val="16"/>
        </w:rPr>
        <w:t>(1)</w:t>
      </w:r>
    </w:p>
    <w:p>
      <w:pPr>
        <w:pStyle w:val="TextBody"/>
        <w:bidi w:val="0"/>
        <w:jc w:val="both"/>
        <w:rPr>
          <w:rFonts w:ascii="Arial" w:hAnsi="Arial"/>
          <w:color w:val="231F20"/>
          <w:sz w:val="16"/>
        </w:rPr>
      </w:pPr>
      <w:r>
        <w:rPr>
          <w:rFonts w:ascii="Arial" w:hAnsi="Arial"/>
          <w:color w:val="231F20"/>
          <w:sz w:val="16"/>
        </w:rPr>
        <w:t>Exercised amount includes shares returned for taxes withheld for exercise and net transactions.</w:t>
      </w:r>
    </w:p>
    <w:p>
      <w:pPr>
        <w:pStyle w:val="TextBody"/>
        <w:bidi w:val="0"/>
        <w:spacing w:before="240" w:after="283"/>
        <w:jc w:val="both"/>
        <w:rPr>
          <w:rFonts w:ascii="Arial" w:hAnsi="Arial"/>
          <w:i/>
          <w:color w:val="000000"/>
          <w:sz w:val="20"/>
        </w:rPr>
      </w:pPr>
      <w:r>
        <w:rPr>
          <w:rFonts w:ascii="Arial" w:hAnsi="Arial"/>
          <w:i/>
          <w:color w:val="000000"/>
          <w:sz w:val="20"/>
        </w:rPr>
        <w:t>Early Exercise of Stock Options</w:t>
      </w:r>
    </w:p>
    <w:p>
      <w:pPr>
        <w:pStyle w:val="TextBody"/>
        <w:bidi w:val="0"/>
        <w:spacing w:before="240" w:after="283"/>
        <w:jc w:val="both"/>
        <w:rPr>
          <w:rFonts w:ascii="Arial" w:hAnsi="Arial"/>
          <w:color w:val="000000"/>
          <w:sz w:val="20"/>
        </w:rPr>
      </w:pPr>
      <w:r>
        <w:rPr>
          <w:rFonts w:ascii="Arial" w:hAnsi="Arial"/>
          <w:color w:val="000000"/>
          <w:sz w:val="20"/>
        </w:rPr>
        <w:t>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All early exercised options were vested as of March 31, 2024.</w:t>
      </w:r>
    </w:p>
    <w:p>
      <w:pPr>
        <w:pStyle w:val="TextBody"/>
        <w:bidi w:val="0"/>
        <w:spacing w:before="240" w:after="283"/>
        <w:jc w:val="both"/>
        <w:rPr>
          <w:rFonts w:ascii="Arial" w:hAnsi="Arial"/>
          <w:i/>
          <w:color w:val="000000"/>
          <w:sz w:val="20"/>
        </w:rPr>
      </w:pPr>
      <w:r>
        <w:rPr>
          <w:rFonts w:ascii="Arial" w:hAnsi="Arial"/>
          <w:i/>
          <w:color w:val="000000"/>
          <w:sz w:val="20"/>
        </w:rPr>
        <w:t>Restricted Stock Awards</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restricted stock activity under the 2014 Plan during the three months ended March 31, 2024:</w:t>
      </w:r>
    </w:p>
    <w:p>
      <w:pPr>
        <w:pStyle w:val="TextBody"/>
        <w:bidi w:val="0"/>
        <w:jc w:val="both"/>
        <w:rPr/>
      </w:pPr>
      <w:r>
        <w:rPr/>
        <w:t> </w:t>
      </w:r>
    </w:p>
    <w:tbl>
      <w:tblPr>
        <w:tblW w:w="8996" w:type="dxa"/>
        <w:jc w:val="left"/>
        <w:tblInd w:w="0" w:type="dxa"/>
        <w:tblLayout w:type="fixed"/>
        <w:tblCellMar>
          <w:top w:w="28" w:type="dxa"/>
          <w:left w:w="28" w:type="dxa"/>
          <w:bottom w:w="28" w:type="dxa"/>
          <w:right w:w="28" w:type="dxa"/>
        </w:tblCellMar>
      </w:tblPr>
      <w:tblGrid>
        <w:gridCol w:w="4606"/>
        <w:gridCol w:w="146"/>
        <w:gridCol w:w="146"/>
        <w:gridCol w:w="249"/>
        <w:gridCol w:w="1281"/>
        <w:gridCol w:w="166"/>
        <w:gridCol w:w="146"/>
        <w:gridCol w:w="449"/>
        <w:gridCol w:w="311"/>
        <w:gridCol w:w="1025"/>
        <w:gridCol w:w="47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6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8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6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as of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80,703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6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30"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49" w:type="dxa"/>
            <w:tcBorders/>
            <w:shd w:fill="FFFFFF" w:val="clear"/>
            <w:vAlign w:val="center"/>
          </w:tcPr>
          <w:p>
            <w:pPr>
              <w:pStyle w:val="TableContents"/>
              <w:bidi w:val="0"/>
              <w:spacing w:before="0" w:after="283"/>
              <w:jc w:val="righ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46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(40,351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6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30"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as of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40" w:after="283"/>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Performance-Based Restricted Stock Unit Awards</w:t>
      </w:r>
    </w:p>
    <w:p>
      <w:pPr>
        <w:pStyle w:val="TextBody"/>
        <w:bidi w:val="0"/>
        <w:spacing w:before="240" w:after="283"/>
        <w:jc w:val="both"/>
        <w:rPr>
          <w:rFonts w:ascii="Times New Roman" w:hAnsi="Times New Roman"/>
          <w:sz w:val="20"/>
        </w:rPr>
      </w:pPr>
      <w:r>
        <w:rPr>
          <w:rFonts w:ascii="Arial" w:hAnsi="Arial"/>
          <w:color w:val="000000"/>
          <w:sz w:val="20"/>
        </w:rPr>
        <w:t>In November 2022, the Company granted to certain employees 710,000</w:t>
      </w:r>
      <w:r>
        <w:rPr>
          <w:rFonts w:ascii="Times New Roman" w:hAnsi="Times New Roman"/>
          <w:color w:val="000000"/>
          <w:sz w:val="20"/>
        </w:rPr>
        <w:t xml:space="preserve"> </w:t>
      </w:r>
      <w:r>
        <w:rPr>
          <w:rFonts w:ascii="Arial" w:hAnsi="Arial"/>
          <w:color w:val="000000"/>
          <w:sz w:val="20"/>
        </w:rPr>
        <w:t>shares of performance-based restricted stock unit awards (the “PSUs”) under the 2020 Plan as consideration for services subject to performance conditions with a fair value based on the closing price of the underlying common stock on the date of grant. Pursuant to the terms of the PSUs, 65% of each PSU vests upon certification by the Compensation Committee of the Company of achieving a pre-determined performance goal by June 30, 2024, and 35% of each PSU vests upon certification by the Compensation Committee of the Company of achieving a pre-determined performance goal by June 30,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Expense recognition for PSUs commences when it is determined that attainment of the performance goal is met. During the three months ended March 31, 2024, no performance goal was met, and therefore, no</w:t>
      </w:r>
      <w:r>
        <w:rPr>
          <w:rFonts w:ascii="Times New Roman" w:hAnsi="Times New Roman"/>
          <w:color w:val="000000"/>
          <w:sz w:val="20"/>
        </w:rPr>
        <w:t xml:space="preserve"> </w:t>
      </w:r>
      <w:r>
        <w:rPr>
          <w:rFonts w:ascii="Arial" w:hAnsi="Arial"/>
          <w:color w:val="000000"/>
          <w:sz w:val="20"/>
        </w:rPr>
        <w:t>related stock-based compensation expense was recorded.</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performance-based restricted stock activity under the 2020 plan during the three months ended March 31, 2024:</w:t>
      </w:r>
    </w:p>
    <w:p>
      <w:pPr>
        <w:pStyle w:val="TextBody"/>
        <w:bidi w:val="0"/>
        <w:jc w:val="both"/>
        <w:rPr/>
      </w:pPr>
      <w:r>
        <w:rPr/>
        <w:t> </w:t>
      </w:r>
    </w:p>
    <w:tbl>
      <w:tblPr>
        <w:tblW w:w="7791" w:type="dxa"/>
        <w:jc w:val="left"/>
        <w:tblInd w:w="0" w:type="dxa"/>
        <w:tblLayout w:type="fixed"/>
        <w:tblCellMar>
          <w:top w:w="28" w:type="dxa"/>
          <w:left w:w="28" w:type="dxa"/>
          <w:bottom w:w="28" w:type="dxa"/>
          <w:right w:w="28" w:type="dxa"/>
        </w:tblCellMar>
      </w:tblPr>
      <w:tblGrid>
        <w:gridCol w:w="3421"/>
        <w:gridCol w:w="146"/>
        <w:gridCol w:w="146"/>
        <w:gridCol w:w="237"/>
        <w:gridCol w:w="1293"/>
        <w:gridCol w:w="146"/>
        <w:gridCol w:w="146"/>
        <w:gridCol w:w="449"/>
        <w:gridCol w:w="311"/>
        <w:gridCol w:w="1025"/>
        <w:gridCol w:w="47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8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4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49" w:type="dxa"/>
            <w:tcBorders/>
            <w:shd w:fill="FFFFFF" w:val="clear"/>
            <w:vAlign w:val="center"/>
          </w:tcPr>
          <w:p>
            <w:pPr>
              <w:pStyle w:val="TableContents"/>
              <w:bidi w:val="0"/>
              <w:spacing w:before="0" w:after="283"/>
              <w:jc w:val="righ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34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4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i/>
          <w:color w:val="000000"/>
          <w:sz w:val="20"/>
        </w:rPr>
      </w:pPr>
      <w:r>
        <w:rPr>
          <w:rFonts w:ascii="Arial" w:hAnsi="Arial"/>
          <w:i/>
          <w:color w:val="000000"/>
          <w:sz w:val="20"/>
        </w:rPr>
        <w:t>2020 Employee Stock Purchase Plan</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w:t>
      </w:r>
      <w:r>
        <w:rPr>
          <w:rFonts w:ascii="Times New Roman" w:hAnsi="Times New Roman"/>
          <w:color w:val="000000"/>
          <w:sz w:val="20"/>
        </w:rPr>
        <w:t xml:space="preserve"> </w:t>
      </w:r>
      <w:r>
        <w:rPr>
          <w:rFonts w:ascii="Arial" w:hAnsi="Arial"/>
          <w:color w:val="000000"/>
          <w:sz w:val="20"/>
        </w:rPr>
        <w:t>and will include one or more purchase periods (each a “Purchase Period”) as approved by the Board in the offering. A total of 430,416</w:t>
      </w:r>
      <w:r>
        <w:rPr>
          <w:rFonts w:ascii="Times New Roman" w:hAnsi="Times New Roman"/>
          <w:color w:val="000000"/>
          <w:sz w:val="20"/>
        </w:rPr>
        <w:t xml:space="preserve"> </w:t>
      </w:r>
      <w:r>
        <w:rPr>
          <w:rFonts w:ascii="Arial" w:hAnsi="Arial"/>
          <w:color w:val="000000"/>
          <w:sz w:val="20"/>
        </w:rPr>
        <w:t>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w:t>
      </w:r>
      <w:r>
        <w:rPr>
          <w:rFonts w:ascii="Times New Roman" w:hAnsi="Times New Roman"/>
          <w:color w:val="000000"/>
          <w:sz w:val="20"/>
        </w:rPr>
        <w:t xml:space="preserve"> </w:t>
      </w:r>
      <w:r>
        <w:rPr>
          <w:rFonts w:ascii="Arial" w:hAnsi="Arial"/>
          <w:color w:val="000000"/>
          <w:sz w:val="20"/>
        </w:rPr>
        <w:t>shares of common stock, or (iii) a lesser number of shares determined by the Board no later than December 31 of the preceding calendar year.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ESPP is a compensatory plan as defined by the authoritative guidance for stock-based compensation. The Company uses the Black-Scholes option-pricing model to estimate the fair value of stock offered under the ESPP. Stock-based compensation expense related to the ESPP was $0.2</w:t>
      </w:r>
      <w:r>
        <w:rPr>
          <w:rFonts w:ascii="Times New Roman" w:hAnsi="Times New Roman"/>
          <w:color w:val="000000"/>
          <w:sz w:val="20"/>
        </w:rPr>
        <w:t xml:space="preserve"> </w:t>
      </w:r>
      <w:r>
        <w:rPr>
          <w:rFonts w:ascii="Arial" w:hAnsi="Arial"/>
          <w:color w:val="000000"/>
          <w:sz w:val="20"/>
        </w:rPr>
        <w:t>million and $0.1</w:t>
      </w:r>
      <w:r>
        <w:rPr>
          <w:rFonts w:ascii="Times New Roman" w:hAnsi="Times New Roman"/>
          <w:color w:val="000000"/>
          <w:sz w:val="20"/>
        </w:rPr>
        <w:t xml:space="preserve"> </w:t>
      </w:r>
      <w:r>
        <w:rPr>
          <w:rFonts w:ascii="Arial" w:hAnsi="Arial"/>
          <w:color w:val="000000"/>
          <w:sz w:val="20"/>
        </w:rPr>
        <w:t>million for the three months ended March 31, 2024 and 2023, respectively.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Stock-Based Compensation Expense</w:t>
      </w:r>
    </w:p>
    <w:p>
      <w:pPr>
        <w:pStyle w:val="TextBody"/>
        <w:bidi w:val="0"/>
        <w:spacing w:before="240" w:after="283"/>
        <w:jc w:val="both"/>
        <w:rPr>
          <w:rFonts w:ascii="Arial" w:hAnsi="Arial"/>
          <w:color w:val="000000"/>
          <w:sz w:val="20"/>
        </w:rPr>
      </w:pPr>
      <w:r>
        <w:rPr>
          <w:rFonts w:ascii="Arial" w:hAnsi="Arial"/>
          <w:color w:val="000000"/>
          <w:sz w:val="20"/>
        </w:rPr>
        <w:t>Stock-based compensation expense related to awards granted under the 2014 Plan, the 2020 Plan, the ESPP and the 2022 Inducement Plan was classified in the condensed consolidated statements of operations and comprehensive loss as follows (in thousands):</w:t>
      </w:r>
    </w:p>
    <w:p>
      <w:pPr>
        <w:pStyle w:val="TextBody"/>
        <w:bidi w:val="0"/>
        <w:jc w:val="both"/>
        <w:rPr/>
      </w:pPr>
      <w:r>
        <w:rPr/>
        <w:t> </w:t>
      </w:r>
    </w:p>
    <w:tbl>
      <w:tblPr>
        <w:tblW w:w="5378" w:type="dxa"/>
        <w:jc w:val="left"/>
        <w:tblInd w:w="0" w:type="dxa"/>
        <w:tblLayout w:type="fixed"/>
        <w:tblCellMar>
          <w:top w:w="28" w:type="dxa"/>
          <w:left w:w="28" w:type="dxa"/>
          <w:bottom w:w="28" w:type="dxa"/>
          <w:right w:w="28" w:type="dxa"/>
        </w:tblCellMar>
      </w:tblPr>
      <w:tblGrid>
        <w:gridCol w:w="2491"/>
        <w:gridCol w:w="146"/>
        <w:gridCol w:w="247"/>
        <w:gridCol w:w="171"/>
        <w:gridCol w:w="686"/>
        <w:gridCol w:w="171"/>
        <w:gridCol w:w="171"/>
        <w:gridCol w:w="247"/>
        <w:gridCol w:w="171"/>
        <w:gridCol w:w="68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50"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3,412</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3,088</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w:t>
            </w:r>
          </w:p>
        </w:tc>
        <w:tc>
          <w:tcPr>
            <w:tcW w:w="1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1,542</w:t>
            </w:r>
          </w:p>
        </w:tc>
        <w:tc>
          <w:tcPr>
            <w:tcW w:w="1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4,909</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8.</w:t>
      </w:r>
    </w:p>
    <w:p>
      <w:pPr>
        <w:pStyle w:val="TextBody"/>
        <w:bidi w:val="0"/>
        <w:spacing w:before="40" w:after="283"/>
        <w:jc w:val="both"/>
        <w:rPr>
          <w:rFonts w:ascii="Arial" w:hAnsi="Arial"/>
          <w:color w:val="000000"/>
          <w:sz w:val="20"/>
        </w:rPr>
      </w:pPr>
      <w:r>
        <w:rPr>
          <w:rFonts w:ascii="Arial" w:hAnsi="Arial"/>
          <w:color w:val="000000"/>
          <w:sz w:val="20"/>
        </w:rPr>
        <w:t>Net Loss Per Common Share</w:t>
      </w:r>
    </w:p>
    <w:p>
      <w:pPr>
        <w:pStyle w:val="TextBody"/>
        <w:bidi w:val="0"/>
        <w:spacing w:before="240" w:after="283"/>
        <w:jc w:val="both"/>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and diluted net loss per common share was calculated as follows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430"/>
        <w:gridCol w:w="146"/>
        <w:gridCol w:w="211"/>
        <w:gridCol w:w="146"/>
        <w:gridCol w:w="1066"/>
        <w:gridCol w:w="166"/>
        <w:gridCol w:w="146"/>
        <w:gridCol w:w="211"/>
        <w:gridCol w:w="146"/>
        <w:gridCol w:w="1066"/>
        <w:gridCol w:w="471"/>
      </w:tblGrid>
      <w:tr>
        <w:trPr/>
        <w:tc>
          <w:tcPr>
            <w:tcW w:w="6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4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5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43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643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(28,286</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43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left"/>
              <w:rPr>
                <w:sz w:val="4"/>
                <w:szCs w:val="4"/>
              </w:rPr>
            </w:pPr>
            <w:r>
              <w:rPr>
                <w:sz w:val="4"/>
                <w:szCs w:val="4"/>
              </w:rPr>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643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 average shares used to compute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55,574,324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40,354,493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The potentially dilutive shares that were excluded from the calculation of diluted net loss per share because their effect would have been anti-dilutive for the periods presented are as follows:</w:t>
      </w:r>
    </w:p>
    <w:p>
      <w:pPr>
        <w:pStyle w:val="TextBody"/>
        <w:bidi w:val="0"/>
        <w:jc w:val="both"/>
        <w:rPr/>
      </w:pPr>
      <w:r>
        <w:rPr/>
        <w:t> </w:t>
      </w:r>
    </w:p>
    <w:tbl>
      <w:tblPr>
        <w:tblW w:w="8184" w:type="dxa"/>
        <w:jc w:val="left"/>
        <w:tblInd w:w="0" w:type="dxa"/>
        <w:tblLayout w:type="fixed"/>
        <w:tblCellMar>
          <w:top w:w="28" w:type="dxa"/>
          <w:left w:w="28" w:type="dxa"/>
          <w:bottom w:w="28" w:type="dxa"/>
          <w:right w:w="28" w:type="dxa"/>
        </w:tblCellMar>
      </w:tblPr>
      <w:tblGrid>
        <w:gridCol w:w="5131"/>
        <w:gridCol w:w="146"/>
        <w:gridCol w:w="146"/>
        <w:gridCol w:w="1066"/>
        <w:gridCol w:w="146"/>
        <w:gridCol w:w="146"/>
        <w:gridCol w:w="146"/>
        <w:gridCol w:w="1066"/>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246,593</w:t>
            </w:r>
          </w:p>
        </w:tc>
        <w:tc>
          <w:tcPr>
            <w:tcW w:w="191" w:type="dxa"/>
            <w:tcBorders/>
            <w:shd w:fill="CFF0FC"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performance-based restricted stock unit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710,000</w:t>
            </w:r>
          </w:p>
        </w:tc>
        <w:tc>
          <w:tcPr>
            <w:tcW w:w="191" w:type="dxa"/>
            <w:tcBorders/>
            <w:shd w:fill="FFFFFF" w:val="clear"/>
            <w:vAlign w:val="center"/>
          </w:tcPr>
          <w:p>
            <w:pPr>
              <w:pStyle w:val="TableContents"/>
              <w:bidi w:val="0"/>
              <w:spacing w:before="0" w:after="283"/>
              <w:jc w:val="left"/>
              <w:rPr/>
            </w:pPr>
            <w:r>
              <w:rPr/>
              <w:t> </w:t>
            </w:r>
          </w:p>
        </w:tc>
      </w:tr>
      <w:tr>
        <w:trPr/>
        <w:tc>
          <w:tcPr>
            <w:tcW w:w="51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10,786,902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9,835,844</w:t>
            </w:r>
          </w:p>
        </w:tc>
        <w:tc>
          <w:tcPr>
            <w:tcW w:w="191" w:type="dxa"/>
            <w:tcBorders/>
            <w:shd w:fill="CFF0FC"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 contingently issuable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247,993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11,320,420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11,040,430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40"/>
        <w:jc w:val="both"/>
        <w:rPr>
          <w:rFonts w:ascii="Arial" w:hAnsi="Arial"/>
          <w:color w:val="000000"/>
          <w:sz w:val="20"/>
        </w:rPr>
      </w:pPr>
      <w:r>
        <w:rPr>
          <w:rFonts w:ascii="Arial" w:hAnsi="Arial"/>
          <w:color w:val="000000"/>
          <w:sz w:val="20"/>
        </w:rPr>
        <w:t>9.</w:t>
      </w:r>
    </w:p>
    <w:p>
      <w:pPr>
        <w:pStyle w:val="TextBody"/>
        <w:bidi w:val="0"/>
        <w:spacing w:before="40" w:after="240"/>
        <w:jc w:val="both"/>
        <w:rPr>
          <w:rFonts w:ascii="Arial" w:hAnsi="Arial"/>
          <w:color w:val="000000"/>
          <w:sz w:val="20"/>
        </w:rPr>
      </w:pPr>
      <w:r>
        <w:rPr>
          <w:rFonts w:ascii="Arial" w:hAnsi="Arial"/>
          <w:color w:val="000000"/>
          <w:sz w:val="20"/>
        </w:rPr>
        <w:t>Lease</w:t>
      </w:r>
    </w:p>
    <w:p>
      <w:pPr>
        <w:pStyle w:val="TextBody"/>
        <w:bidi w:val="0"/>
        <w:spacing w:before="0" w:after="240"/>
        <w:jc w:val="both"/>
        <w:rPr>
          <w:rFonts w:ascii="Times New Roman" w:hAnsi="Times New Roman"/>
          <w:sz w:val="20"/>
        </w:rPr>
      </w:pPr>
      <w:r>
        <w:rPr>
          <w:rFonts w:ascii="Arial" w:hAnsi="Arial"/>
          <w:color w:val="000000"/>
          <w:sz w:val="20"/>
        </w:rPr>
        <w:t>The Company leases certain of its facilities under non-cancellable operating leases expiring at various dates through 2026.</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June 1, 2013, the Company entered into a management services agreement with MandalMed, Inc. (the “MandalMed Services Agreement”) to have access to and use a portion of approximately 5,762</w:t>
      </w:r>
      <w:r>
        <w:rPr>
          <w:rFonts w:ascii="Times New Roman" w:hAnsi="Times New Roman"/>
          <w:color w:val="000000"/>
          <w:sz w:val="20"/>
        </w:rPr>
        <w:t xml:space="preserve"> </w:t>
      </w:r>
      <w:r>
        <w:rPr>
          <w:rFonts w:ascii="Arial" w:hAnsi="Arial"/>
          <w:color w:val="000000"/>
          <w:sz w:val="20"/>
        </w:rPr>
        <w:t>square feet of space for the use of laboratory benches, lab equipment, office space, and administrative and facilities services. The Company subsequently entered into six</w:t>
      </w:r>
      <w:r>
        <w:rPr>
          <w:rFonts w:ascii="Times New Roman" w:hAnsi="Times New Roman"/>
          <w:color w:val="000000"/>
          <w:sz w:val="20"/>
        </w:rPr>
        <w:t xml:space="preserve"> </w:t>
      </w:r>
      <w:r>
        <w:rPr>
          <w:rFonts w:ascii="Arial" w:hAnsi="Arial"/>
          <w:color w:val="000000"/>
          <w:sz w:val="20"/>
        </w:rPr>
        <w:t>amendments to extend the agreement term to November 2023. As part of the sixth amendment, the Company gained access to use additional space of approximately 2,130</w:t>
      </w:r>
      <w:r>
        <w:rPr>
          <w:rFonts w:ascii="Times New Roman" w:hAnsi="Times New Roman"/>
          <w:color w:val="000000"/>
          <w:sz w:val="20"/>
        </w:rPr>
        <w:t xml:space="preserve"> </w:t>
      </w:r>
      <w:r>
        <w:rPr>
          <w:rFonts w:ascii="Arial" w:hAnsi="Arial"/>
          <w:color w:val="000000"/>
          <w:sz w:val="20"/>
        </w:rPr>
        <w:t>square feet for a three year</w:t>
      </w:r>
      <w:r>
        <w:rPr>
          <w:rFonts w:ascii="Times New Roman" w:hAnsi="Times New Roman"/>
          <w:color w:val="000000"/>
          <w:sz w:val="20"/>
        </w:rPr>
        <w:t xml:space="preserve"> </w:t>
      </w:r>
      <w:r>
        <w:rPr>
          <w:rFonts w:ascii="Arial" w:hAnsi="Arial"/>
          <w:color w:val="000000"/>
          <w:sz w:val="20"/>
        </w:rPr>
        <w:t>period commencing on December 1, 2020 and ending on November 30, 2023. This lease was terminated during the fourth quarter of 2023. According to the terms of the MandalMed Services Agreement, the Company had previously paid a security deposit of less than $0.1</w:t>
      </w:r>
      <w:r>
        <w:rPr>
          <w:rFonts w:ascii="Times New Roman" w:hAnsi="Times New Roman"/>
          <w:color w:val="000000"/>
          <w:sz w:val="20"/>
        </w:rPr>
        <w:t xml:space="preserve"> </w:t>
      </w:r>
      <w:r>
        <w:rPr>
          <w:rFonts w:ascii="Arial" w:hAnsi="Arial"/>
          <w:color w:val="000000"/>
          <w:sz w:val="20"/>
        </w:rPr>
        <w:t>million and was required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pay monthly rent and common area charges. As of March 31, 2024, this security deposit had been returned to the Company.</w:t>
      </w:r>
    </w:p>
    <w:p>
      <w:pPr>
        <w:pStyle w:val="TextBody"/>
        <w:bidi w:val="0"/>
        <w:spacing w:before="0" w:after="240"/>
        <w:jc w:val="both"/>
        <w:rPr>
          <w:rFonts w:ascii="Times New Roman" w:hAnsi="Times New Roman"/>
          <w:sz w:val="20"/>
        </w:rPr>
      </w:pPr>
      <w:r>
        <w:rPr>
          <w:rFonts w:ascii="Arial" w:hAnsi="Arial"/>
          <w:color w:val="000000"/>
          <w:sz w:val="20"/>
        </w:rPr>
        <w:t>On August 27, 2020, the Company entered into a lease agreement with 512 2nd Street LLC to lease approximately 3,500</w:t>
      </w:r>
      <w:r>
        <w:rPr>
          <w:rFonts w:ascii="Times New Roman" w:hAnsi="Times New Roman"/>
          <w:color w:val="000000"/>
          <w:sz w:val="20"/>
        </w:rPr>
        <w:t xml:space="preserve"> </w:t>
      </w:r>
      <w:r>
        <w:rPr>
          <w:rFonts w:ascii="Arial" w:hAnsi="Arial"/>
          <w:color w:val="000000"/>
          <w:sz w:val="20"/>
        </w:rPr>
        <w:t>square feet of office space in San Francisco, California (the “Office Space Lease Agreement”). The Office Space Lease Agreement was for a period of two years</w:t>
      </w:r>
      <w:r>
        <w:rPr>
          <w:rFonts w:ascii="Times New Roman" w:hAnsi="Times New Roman"/>
          <w:color w:val="000000"/>
          <w:sz w:val="20"/>
        </w:rPr>
        <w:t xml:space="preserve"> </w:t>
      </w:r>
      <w:r>
        <w:rPr>
          <w:rFonts w:ascii="Arial" w:hAnsi="Arial"/>
          <w:color w:val="000000"/>
          <w:sz w:val="20"/>
        </w:rPr>
        <w:t>commencing on September 1, 2020 and ending August 31, 2022. In April 2022, the Company extended the Office Space Lease Agreement up to August 31, 2023 and had one year</w:t>
      </w:r>
      <w:r>
        <w:rPr>
          <w:rFonts w:ascii="Times New Roman" w:hAnsi="Times New Roman"/>
          <w:color w:val="000000"/>
          <w:sz w:val="20"/>
        </w:rPr>
        <w:t xml:space="preserve"> </w:t>
      </w:r>
      <w:r>
        <w:rPr>
          <w:rFonts w:ascii="Arial" w:hAnsi="Arial"/>
          <w:color w:val="000000"/>
          <w:sz w:val="20"/>
        </w:rPr>
        <w:t>renewal option to extend the term up to August 31, 2024. The Company decided not to exercise the one-year</w:t>
      </w:r>
      <w:r>
        <w:rPr>
          <w:rFonts w:ascii="Times New Roman" w:hAnsi="Times New Roman"/>
          <w:color w:val="000000"/>
          <w:sz w:val="20"/>
        </w:rPr>
        <w:t xml:space="preserve"> </w:t>
      </w:r>
      <w:r>
        <w:rPr>
          <w:rFonts w:ascii="Arial" w:hAnsi="Arial"/>
          <w:color w:val="000000"/>
          <w:sz w:val="20"/>
        </w:rPr>
        <w:t>renewal option at the end of the lease term (i.e., August 31, 2023). According to the terms of the Office Space Lease Agreement, the Company had previously paid a $0.1</w:t>
      </w:r>
      <w:r>
        <w:rPr>
          <w:rFonts w:ascii="Times New Roman" w:hAnsi="Times New Roman"/>
          <w:color w:val="000000"/>
          <w:sz w:val="20"/>
        </w:rPr>
        <w:t xml:space="preserve"> </w:t>
      </w:r>
      <w:r>
        <w:rPr>
          <w:rFonts w:ascii="Arial" w:hAnsi="Arial"/>
          <w:color w:val="000000"/>
          <w:sz w:val="20"/>
        </w:rPr>
        <w:t>million security deposit and was required to pay monthly rent and common area charges. As of March 31, 2024, this security deposit had been returned to the Company.</w:t>
      </w:r>
    </w:p>
    <w:p>
      <w:pPr>
        <w:pStyle w:val="TextBody"/>
        <w:bidi w:val="0"/>
        <w:spacing w:before="0" w:after="240"/>
        <w:jc w:val="both"/>
        <w:rPr>
          <w:rFonts w:ascii="Times New Roman" w:hAnsi="Times New Roman"/>
          <w:sz w:val="20"/>
        </w:rPr>
      </w:pPr>
      <w:r>
        <w:rPr>
          <w:rFonts w:ascii="Arial" w:hAnsi="Arial"/>
          <w:color w:val="000000"/>
          <w:sz w:val="20"/>
        </w:rPr>
        <w:t>On December 15, 2020, the Company entered into a lease agreement with Tennieh LLC to lease approximately 9,800</w:t>
      </w:r>
      <w:r>
        <w:rPr>
          <w:rFonts w:ascii="Times New Roman" w:hAnsi="Times New Roman"/>
          <w:color w:val="000000"/>
          <w:sz w:val="20"/>
        </w:rPr>
        <w:t xml:space="preserve"> </w:t>
      </w:r>
      <w:r>
        <w:rPr>
          <w:rFonts w:ascii="Arial" w:hAnsi="Arial"/>
          <w:color w:val="000000"/>
          <w:sz w:val="20"/>
        </w:rPr>
        <w:t>square feet of office and lab space in San Francisco, California (the “Laboratory Lease Agreement”). The Laboratory Lease Agreement is for a period of five years</w:t>
      </w:r>
      <w:r>
        <w:rPr>
          <w:rFonts w:ascii="Times New Roman" w:hAnsi="Times New Roman"/>
          <w:color w:val="000000"/>
          <w:sz w:val="20"/>
        </w:rPr>
        <w:t xml:space="preserve"> </w:t>
      </w:r>
      <w:r>
        <w:rPr>
          <w:rFonts w:ascii="Arial" w:hAnsi="Arial"/>
          <w:color w:val="000000"/>
          <w:sz w:val="20"/>
        </w:rPr>
        <w:t>commencing approximately February 1, 2021 and ending January 31, 2026. According to the terms of the Laboratory Lease Agreement, the Company paid a $0.4</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w:t>
      </w:r>
    </w:p>
    <w:p>
      <w:pPr>
        <w:pStyle w:val="TextBody"/>
        <w:bidi w:val="0"/>
        <w:spacing w:before="0" w:after="240"/>
        <w:jc w:val="both"/>
        <w:rPr>
          <w:rFonts w:ascii="Times New Roman" w:hAnsi="Times New Roman"/>
          <w:sz w:val="20"/>
        </w:rPr>
      </w:pPr>
      <w:r>
        <w:rPr>
          <w:rFonts w:ascii="Arial" w:hAnsi="Arial"/>
          <w:color w:val="000000"/>
          <w:sz w:val="20"/>
        </w:rPr>
        <w:t>On August 17, 2023, the Company entered into a sublease agreement with Dropbox, Inc. to sublease approximately 6,713</w:t>
      </w:r>
      <w:r>
        <w:rPr>
          <w:rFonts w:ascii="Times New Roman" w:hAnsi="Times New Roman"/>
          <w:color w:val="000000"/>
          <w:sz w:val="20"/>
        </w:rPr>
        <w:t xml:space="preserve"> </w:t>
      </w:r>
      <w:r>
        <w:rPr>
          <w:rFonts w:ascii="Arial" w:hAnsi="Arial"/>
          <w:color w:val="000000"/>
          <w:sz w:val="20"/>
        </w:rPr>
        <w:t>square feet of office space in San Francisco, California (the “Dropbox Sublease Agreement”). The Dropbox Sublease Agreement is for a period of two years</w:t>
      </w:r>
      <w:r>
        <w:rPr>
          <w:rFonts w:ascii="Times New Roman" w:hAnsi="Times New Roman"/>
          <w:color w:val="000000"/>
          <w:sz w:val="20"/>
        </w:rPr>
        <w:t xml:space="preserve"> </w:t>
      </w:r>
      <w:r>
        <w:rPr>
          <w:rFonts w:ascii="Arial" w:hAnsi="Arial"/>
          <w:color w:val="000000"/>
          <w:sz w:val="20"/>
        </w:rPr>
        <w:t>commencing on September 5, 2023 and ending December 31, 2025. According to the terms of the Dropbox Sublease Agreement, the Company paid a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The sublease was accounted for under Topic 842 and the Company recorded ROU asset and lease liability of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respectively, in the accompanying condensed consolidated financial statements.</w:t>
      </w:r>
    </w:p>
    <w:p>
      <w:pPr>
        <w:pStyle w:val="TextBody"/>
        <w:bidi w:val="0"/>
        <w:spacing w:before="0" w:after="240"/>
        <w:jc w:val="both"/>
        <w:rPr>
          <w:rFonts w:ascii="Times New Roman" w:hAnsi="Times New Roman"/>
          <w:sz w:val="20"/>
        </w:rPr>
      </w:pPr>
      <w:r>
        <w:rPr>
          <w:rFonts w:ascii="Arial" w:hAnsi="Arial"/>
          <w:color w:val="000000"/>
          <w:sz w:val="20"/>
        </w:rPr>
        <w:t>On August 23, 2023, the Company entered into a lease agreement with The Cambridge Redevelopment Authority to lease approximately 4,020</w:t>
      </w:r>
      <w:r>
        <w:rPr>
          <w:rFonts w:ascii="Times New Roman" w:hAnsi="Times New Roman"/>
          <w:color w:val="000000"/>
          <w:sz w:val="20"/>
        </w:rPr>
        <w:t xml:space="preserve"> </w:t>
      </w:r>
      <w:r>
        <w:rPr>
          <w:rFonts w:ascii="Arial" w:hAnsi="Arial"/>
          <w:color w:val="000000"/>
          <w:sz w:val="20"/>
        </w:rPr>
        <w:t>square feet of office space in Cambridge, Massachusetts (the “Cambridge Lease Agreement”). The Cambridge Lease Agreement is for a period of three years</w:t>
      </w:r>
      <w:r>
        <w:rPr>
          <w:rFonts w:ascii="Times New Roman" w:hAnsi="Times New Roman"/>
          <w:color w:val="000000"/>
          <w:sz w:val="20"/>
        </w:rPr>
        <w:t xml:space="preserve"> </w:t>
      </w:r>
      <w:r>
        <w:rPr>
          <w:rFonts w:ascii="Arial" w:hAnsi="Arial"/>
          <w:color w:val="000000"/>
          <w:sz w:val="20"/>
        </w:rPr>
        <w:t>commencing on September 15, 2023 and ending September 14, 2026. According to the terms of the Cambridge Lease Agreement, the Company paid a less than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The lease was accounted for under Topic 842 and the Company recorded ROU asset and lease liability of $0.7</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respectively, in the accompanying condensed consolidated financial statements.</w:t>
      </w:r>
    </w:p>
    <w:p>
      <w:pPr>
        <w:pStyle w:val="TextBody"/>
        <w:bidi w:val="0"/>
        <w:jc w:val="both"/>
        <w:rPr>
          <w:rFonts w:ascii="Arial" w:hAnsi="Arial"/>
          <w:color w:val="000000"/>
          <w:sz w:val="20"/>
        </w:rPr>
      </w:pPr>
      <w:r>
        <w:rPr>
          <w:rFonts w:ascii="Arial" w:hAnsi="Arial"/>
          <w:color w:val="000000"/>
          <w:sz w:val="20"/>
        </w:rPr>
        <w:t>The following table summarizes total lease expense during the three months ended March 31, 2024 (in thousands):</w:t>
      </w:r>
    </w:p>
    <w:p>
      <w:pPr>
        <w:pStyle w:val="TextBody"/>
        <w:bidi w:val="0"/>
        <w:jc w:val="both"/>
        <w:rPr/>
      </w:pPr>
      <w:r>
        <w:rPr/>
        <w:t> </w:t>
      </w:r>
    </w:p>
    <w:tbl>
      <w:tblPr>
        <w:tblW w:w="6216" w:type="dxa"/>
        <w:jc w:val="left"/>
        <w:tblInd w:w="0" w:type="dxa"/>
        <w:tblLayout w:type="fixed"/>
        <w:tblCellMar>
          <w:top w:w="28" w:type="dxa"/>
          <w:left w:w="28" w:type="dxa"/>
          <w:bottom w:w="28" w:type="dxa"/>
          <w:right w:w="28" w:type="dxa"/>
        </w:tblCellMar>
      </w:tblPr>
      <w:tblGrid>
        <w:gridCol w:w="3331"/>
        <w:gridCol w:w="146"/>
        <w:gridCol w:w="291"/>
        <w:gridCol w:w="201"/>
        <w:gridCol w:w="581"/>
        <w:gridCol w:w="201"/>
        <w:gridCol w:w="201"/>
        <w:gridCol w:w="291"/>
        <w:gridCol w:w="201"/>
        <w:gridCol w:w="581"/>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8"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7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Straight-line operating lease expense</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20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327</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expense</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c>
          <w:tcPr>
            <w:tcW w:w="201"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lease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supplemental cash flow information during the three months ended March 31, 2024 (in thousands):</w:t>
      </w:r>
    </w:p>
    <w:p>
      <w:pPr>
        <w:pStyle w:val="TextBody"/>
        <w:bidi w:val="0"/>
        <w:jc w:val="both"/>
        <w:rPr/>
      </w:pPr>
      <w:r>
        <w:rPr/>
        <w:t> </w:t>
      </w:r>
    </w:p>
    <w:tbl>
      <w:tblPr>
        <w:tblW w:w="8896" w:type="dxa"/>
        <w:jc w:val="left"/>
        <w:tblInd w:w="0" w:type="dxa"/>
        <w:tblLayout w:type="fixed"/>
        <w:tblCellMar>
          <w:top w:w="28" w:type="dxa"/>
          <w:left w:w="28" w:type="dxa"/>
          <w:bottom w:w="28" w:type="dxa"/>
          <w:right w:w="28" w:type="dxa"/>
        </w:tblCellMar>
      </w:tblPr>
      <w:tblGrid>
        <w:gridCol w:w="5731"/>
        <w:gridCol w:w="146"/>
        <w:gridCol w:w="291"/>
        <w:gridCol w:w="201"/>
        <w:gridCol w:w="581"/>
        <w:gridCol w:w="201"/>
        <w:gridCol w:w="201"/>
        <w:gridCol w:w="291"/>
        <w:gridCol w:w="201"/>
        <w:gridCol w:w="581"/>
        <w:gridCol w:w="47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7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8"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7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7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measurement of lease liabilities:</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center"/>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471" w:type="dxa"/>
            <w:tcBorders/>
            <w:shd w:fill="CFF0FC" w:val="clear"/>
            <w:vAlign w:val="center"/>
          </w:tcPr>
          <w:p>
            <w:pPr>
              <w:pStyle w:val="TableContents"/>
              <w:bidi w:val="0"/>
              <w:spacing w:before="0" w:after="283"/>
              <w:ind w:left="0" w:right="0" w:firstLine="280"/>
              <w:jc w:val="center"/>
              <w:rPr/>
            </w:pPr>
            <w:r>
              <w:rPr/>
              <w:t> </w:t>
            </w:r>
          </w:p>
        </w:tc>
      </w:tr>
      <w:tr>
        <w:trPr/>
        <w:tc>
          <w:tcPr>
            <w:tcW w:w="573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the Company’s future minimum lease payments and reconciliation of lease liabilities as of March 31, 2024 (in thousands):</w:t>
      </w:r>
    </w:p>
    <w:p>
      <w:pPr>
        <w:pStyle w:val="TextBody"/>
        <w:bidi w:val="0"/>
        <w:jc w:val="both"/>
        <w:rPr/>
      </w:pPr>
      <w:r>
        <w:rPr/>
        <w:t> </w:t>
      </w:r>
    </w:p>
    <w:tbl>
      <w:tblPr>
        <w:tblW w:w="4706" w:type="dxa"/>
        <w:jc w:val="left"/>
        <w:tblInd w:w="0" w:type="dxa"/>
        <w:tblLayout w:type="fixed"/>
        <w:tblCellMar>
          <w:top w:w="28" w:type="dxa"/>
          <w:left w:w="28" w:type="dxa"/>
          <w:bottom w:w="28" w:type="dxa"/>
          <w:right w:w="28" w:type="dxa"/>
        </w:tblCellMar>
      </w:tblPr>
      <w:tblGrid>
        <w:gridCol w:w="3406"/>
        <w:gridCol w:w="146"/>
        <w:gridCol w:w="211"/>
        <w:gridCol w:w="146"/>
        <w:gridCol w:w="586"/>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Ended December 31,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2024 (from April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902</w:t>
            </w:r>
          </w:p>
        </w:tc>
        <w:tc>
          <w:tcPr>
            <w:tcW w:w="2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1,245</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minimum lease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2,410</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present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2,209</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non-current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lease term and discount rate as of March 31, 2024:</w:t>
      </w:r>
    </w:p>
    <w:p>
      <w:pPr>
        <w:pStyle w:val="TextBody"/>
        <w:bidi w:val="0"/>
        <w:jc w:val="both"/>
        <w:rPr/>
      </w:pPr>
      <w:r>
        <w:rPr/>
        <w:t> </w:t>
      </w:r>
    </w:p>
    <w:tbl>
      <w:tblPr>
        <w:tblW w:w="7239" w:type="dxa"/>
        <w:jc w:val="left"/>
        <w:tblInd w:w="0" w:type="dxa"/>
        <w:tblLayout w:type="fixed"/>
        <w:tblCellMar>
          <w:top w:w="28" w:type="dxa"/>
          <w:left w:w="28" w:type="dxa"/>
          <w:bottom w:w="28" w:type="dxa"/>
          <w:right w:w="28" w:type="dxa"/>
        </w:tblCellMar>
      </w:tblPr>
      <w:tblGrid>
        <w:gridCol w:w="4216"/>
        <w:gridCol w:w="146"/>
        <w:gridCol w:w="220"/>
        <w:gridCol w:w="727"/>
        <w:gridCol w:w="432"/>
        <w:gridCol w:w="220"/>
        <w:gridCol w:w="220"/>
        <w:gridCol w:w="727"/>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(years)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43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331" w:type="dxa"/>
            <w:tcBorders/>
            <w:shd w:fill="CFF0FC" w:val="clear"/>
            <w:vAlign w:val="center"/>
          </w:tcPr>
          <w:p>
            <w:pPr>
              <w:pStyle w:val="TableContents"/>
              <w:bidi w:val="0"/>
              <w:spacing w:before="0" w:after="283"/>
              <w:jc w:val="left"/>
              <w:rPr/>
            </w:pPr>
            <w:r>
              <w:rPr/>
              <w:t> </w:t>
            </w:r>
          </w:p>
        </w:tc>
      </w:tr>
      <w:tr>
        <w:trPr/>
        <w:tc>
          <w:tcPr>
            <w:tcW w:w="4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10.</w:t>
      </w:r>
    </w:p>
    <w:p>
      <w:pPr>
        <w:pStyle w:val="TextBody"/>
        <w:bidi w:val="0"/>
        <w:spacing w:before="40" w:after="283"/>
        <w:jc w:val="both"/>
        <w:rPr>
          <w:rFonts w:ascii="Arial" w:hAnsi="Arial"/>
          <w:color w:val="000000"/>
          <w:sz w:val="20"/>
        </w:rPr>
      </w:pPr>
      <w:r>
        <w:rPr>
          <w:rFonts w:ascii="Arial" w:hAnsi="Arial"/>
          <w:color w:val="000000"/>
          <w:sz w:val="20"/>
        </w:rPr>
        <w:t>Commitments and Contingencies</w:t>
      </w:r>
    </w:p>
    <w:p>
      <w:pPr>
        <w:pStyle w:val="TextBody"/>
        <w:bidi w:val="0"/>
        <w:spacing w:before="240" w:after="283"/>
        <w:jc w:val="both"/>
        <w:rPr>
          <w:rFonts w:ascii="Arial" w:hAnsi="Arial"/>
          <w:i/>
          <w:color w:val="000000"/>
          <w:sz w:val="20"/>
        </w:rPr>
      </w:pPr>
      <w:r>
        <w:rPr>
          <w:rFonts w:ascii="Arial" w:hAnsi="Arial"/>
          <w:i/>
          <w:color w:val="000000"/>
          <w:sz w:val="20"/>
        </w:rPr>
        <w:t>Loan Agreement</w:t>
      </w:r>
    </w:p>
    <w:p>
      <w:pPr>
        <w:pStyle w:val="TextBody"/>
        <w:bidi w:val="0"/>
        <w:spacing w:before="240" w:after="283"/>
        <w:jc w:val="both"/>
        <w:rPr>
          <w:rFonts w:ascii="Times New Roman" w:hAnsi="Times New Roman"/>
          <w:sz w:val="20"/>
        </w:rPr>
      </w:pPr>
      <w:r>
        <w:rPr>
          <w:rFonts w:ascii="Arial" w:hAnsi="Arial"/>
          <w:color w:val="000000"/>
          <w:sz w:val="20"/>
        </w:rPr>
        <w:t>On September 5, 2023, the Company entered into the Loan Agreement by and between the Company and the Bank. The Loan Agreement provides for a four-year</w:t>
      </w:r>
      <w:r>
        <w:rPr>
          <w:rFonts w:ascii="Times New Roman" w:hAnsi="Times New Roman"/>
          <w:color w:val="000000"/>
          <w:sz w:val="20"/>
        </w:rPr>
        <w:t xml:space="preserve"> </w:t>
      </w:r>
      <w:r>
        <w:rPr>
          <w:rFonts w:ascii="Arial" w:hAnsi="Arial"/>
          <w:color w:val="000000"/>
          <w:sz w:val="20"/>
        </w:rPr>
        <w:t>senior secured credit facility in an aggregate principal amount of up to $50.0</w:t>
      </w:r>
      <w:r>
        <w:rPr>
          <w:rFonts w:ascii="Times New Roman" w:hAnsi="Times New Roman"/>
          <w:color w:val="000000"/>
          <w:sz w:val="20"/>
        </w:rPr>
        <w:t xml:space="preserve"> </w:t>
      </w:r>
      <w:r>
        <w:rPr>
          <w:rFonts w:ascii="Arial" w:hAnsi="Arial"/>
          <w:color w:val="000000"/>
          <w:sz w:val="20"/>
        </w:rPr>
        <w:t>million (the “Credit Facility”), of which $25.0</w:t>
      </w:r>
      <w:r>
        <w:rPr>
          <w:rFonts w:ascii="Times New Roman" w:hAnsi="Times New Roman"/>
          <w:color w:val="000000"/>
          <w:sz w:val="20"/>
        </w:rPr>
        <w:t xml:space="preserve"> </w:t>
      </w:r>
      <w:r>
        <w:rPr>
          <w:rFonts w:ascii="Arial" w:hAnsi="Arial"/>
          <w:color w:val="000000"/>
          <w:sz w:val="20"/>
        </w:rPr>
        <w:t>million became available upon the closing of the Private Placement, and the remaining $25.0</w:t>
      </w:r>
      <w:r>
        <w:rPr>
          <w:rFonts w:ascii="Times New Roman" w:hAnsi="Times New Roman"/>
          <w:color w:val="000000"/>
          <w:sz w:val="20"/>
        </w:rPr>
        <w:t xml:space="preserve"> </w:t>
      </w:r>
      <w:r>
        <w:rPr>
          <w:rFonts w:ascii="Arial" w:hAnsi="Arial"/>
          <w:color w:val="000000"/>
          <w:sz w:val="20"/>
        </w:rPr>
        <w:t>million may be made available upon approval of the Bank in its discretion. The Credit Facility will mature on August 1, 2027 (the “Maturity Date”). As of March 31, 2024, the Company had not drawn down from the Credit Facility.</w:t>
      </w:r>
    </w:p>
    <w:p>
      <w:pPr>
        <w:pStyle w:val="TextBody"/>
        <w:bidi w:val="0"/>
        <w:spacing w:before="240" w:after="283"/>
        <w:jc w:val="both"/>
        <w:rPr>
          <w:rFonts w:ascii="Times New Roman" w:hAnsi="Times New Roman"/>
          <w:sz w:val="20"/>
        </w:rPr>
      </w:pPr>
      <w:r>
        <w:rPr>
          <w:rFonts w:ascii="Arial" w:hAnsi="Arial"/>
          <w:color w:val="000000"/>
          <w:sz w:val="20"/>
        </w:rPr>
        <w:t>The obligations under the Loan Agreement are secured by substantially all of the assets of the Company, subject to limited exceptions.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During the term of the Credit Facility, interest will accrue on any outstanding balance due under the Credit Facility at a floating rate per annum equal to the higher of (i) 8.0%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 and an unused commitment fee of 1.5% on the portion of Credit Facility that remains undrawn as of June 30, 2024, as well as certain other fees and expenses of the Bank.</w:t>
      </w:r>
    </w:p>
    <w:p>
      <w:pPr>
        <w:pStyle w:val="TextBody"/>
        <w:bidi w:val="0"/>
        <w:spacing w:before="240" w:after="283"/>
        <w:jc w:val="both"/>
        <w:rPr>
          <w:rFonts w:ascii="Arial" w:hAnsi="Arial"/>
          <w:color w:val="000000"/>
          <w:sz w:val="20"/>
        </w:rPr>
      </w:pPr>
      <w:r>
        <w:rPr>
          <w:rFonts w:ascii="Arial" w:hAnsi="Arial"/>
          <w:color w:val="000000"/>
          <w:sz w:val="20"/>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pStyle w:val="TextBody"/>
        <w:bidi w:val="0"/>
        <w:spacing w:before="240" w:after="283"/>
        <w:jc w:val="both"/>
        <w:rPr>
          <w:rFonts w:ascii="Times New Roman" w:hAnsi="Times New Roman"/>
          <w:sz w:val="20"/>
        </w:rPr>
      </w:pPr>
      <w:r>
        <w:rPr>
          <w:rFonts w:ascii="Arial" w:hAnsi="Arial"/>
          <w:i/>
          <w:color w:val="000000"/>
          <w:sz w:val="20"/>
        </w:rPr>
        <w:t>Clinical Collaboration and Supply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July 22, 2020, the Company entered into a non-exclusive clinical collaboration and supply agreement with Novartis Institutes for BioMedical Research, Inc. (“Novartis”). On January 13, 2022, the Company entered into the amended and restated clinical collaboration and supply agreement with Novartis, and on October 9, 2023, the Company and Novartis entered into the amendment no. 1 (the “Novartis Amendment 1”) to amended and restated clinical collaboration and supply agreement, and on March 22, 2024, the Company and Novartis entered into the amendment no. 2 (the “Novartis Amendment 2”) to amended and restated clinical collaboration and supply agreement (as amended, the “Novartis Agreement”). The collaboration is focused on the evaluation of the safety, tolerability and efficacy of palazestrant in combination with Novartis’ proprietary CDK4/6 inhibitor Kisqali® (ribociclib) and/or Novartis’ proprietary phosphatidylinositol 3-kinase (“PI3K</w:t>
      </w:r>
      <w:r>
        <w:rPr>
          <w:rFonts w:ascii="Symbol;serif" w:hAnsi="Symbol;serif"/>
          <w:color w:val="000000"/>
          <w:sz w:val="20"/>
        </w:rPr>
        <w:t>a</w:t>
      </w:r>
      <w:r>
        <w:rPr>
          <w:rFonts w:ascii="Times New Roman" w:hAnsi="Times New Roman"/>
          <w:color w:val="000000"/>
          <w:sz w:val="20"/>
        </w:rPr>
        <w:t>”</w:t>
      </w:r>
      <w:r>
        <w:rPr>
          <w:rFonts w:ascii="Arial" w:hAnsi="Arial"/>
          <w:color w:val="000000"/>
          <w:sz w:val="20"/>
        </w:rPr>
        <w:t>) Inhibitor Piqray® (alpelisib) (collectively the “Novartis Study Drugs”) as part of the Company’s Phase 1b/2 clinical study of palazestrant in patients with metastatic estrogen receptor-positive breast cancer. The Novartis Amendment 1, among other things, expanded our clinical collaboration with Novartis, increasing the size of the ongoing Phase 1/2 clinical study testing palazestrant in combination with ribociclib to approximately 60</w:t>
      </w:r>
      <w:r>
        <w:rPr>
          <w:rFonts w:ascii="Times New Roman" w:hAnsi="Times New Roman"/>
          <w:color w:val="000000"/>
          <w:sz w:val="20"/>
        </w:rPr>
        <w:t xml:space="preserve"> </w:t>
      </w:r>
      <w:r>
        <w:rPr>
          <w:rFonts w:ascii="Arial" w:hAnsi="Arial"/>
          <w:color w:val="000000"/>
          <w:sz w:val="20"/>
        </w:rPr>
        <w:t>patients and Novartis Amendment 2 increased the size of the ongoing Phase 1/2 clinical study testing palazestrant in combination with ribociclib by an additional 15</w:t>
      </w:r>
      <w:r>
        <w:rPr>
          <w:rFonts w:ascii="Times New Roman" w:hAnsi="Times New Roman"/>
          <w:color w:val="000000"/>
          <w:sz w:val="20"/>
        </w:rPr>
        <w:t xml:space="preserve"> </w:t>
      </w:r>
      <w:r>
        <w:rPr>
          <w:rFonts w:ascii="Arial" w:hAnsi="Arial"/>
          <w:color w:val="000000"/>
          <w:sz w:val="20"/>
        </w:rPr>
        <w:t>patients exploring 90 mg of palazestrant in combination with 600 mg of ribociclib.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pStyle w:val="TextBody"/>
        <w:bidi w:val="0"/>
        <w:spacing w:before="240" w:after="283"/>
        <w:jc w:val="both"/>
        <w:rPr>
          <w:rFonts w:ascii="Times New Roman" w:hAnsi="Times New Roman"/>
          <w:sz w:val="20"/>
        </w:rPr>
      </w:pPr>
      <w:r>
        <w:rPr>
          <w:rFonts w:ascii="Arial" w:hAnsi="Arial"/>
          <w:color w:val="000000"/>
          <w:sz w:val="20"/>
        </w:rPr>
        <w:t>Costs associated with research activities performed under the agreement are included in research and development expenses in the accompanying condensed consolidated financial statements, with any reimbursable costs from Novartis reflected as a reduction of such expenses. As of December 31, 2023, the Company had incurred the full agreed-upon reimbursement amount. As of March 31, 2024, there was no</w:t>
      </w:r>
      <w:r>
        <w:rPr>
          <w:rFonts w:ascii="Times New Roman" w:hAnsi="Times New Roman"/>
          <w:color w:val="000000"/>
          <w:sz w:val="20"/>
        </w:rPr>
        <w:t xml:space="preserve"> </w:t>
      </w:r>
      <w:r>
        <w:rPr>
          <w:rFonts w:ascii="Arial" w:hAnsi="Arial"/>
          <w:color w:val="000000"/>
          <w:sz w:val="20"/>
        </w:rPr>
        <w:t>outstanding balance from the receivable due from Novartis.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Clinical Trial Agreement</w:t>
      </w:r>
    </w:p>
    <w:p>
      <w:pPr>
        <w:pStyle w:val="TextBody"/>
        <w:bidi w:val="0"/>
        <w:spacing w:before="240" w:after="283"/>
        <w:jc w:val="both"/>
        <w:rPr>
          <w:rFonts w:ascii="Arial" w:hAnsi="Arial"/>
          <w:color w:val="000000"/>
          <w:sz w:val="20"/>
        </w:rPr>
      </w:pPr>
      <w:r>
        <w:rPr>
          <w:rFonts w:ascii="Arial" w:hAnsi="Arial"/>
          <w:color w:val="000000"/>
          <w:sz w:val="20"/>
        </w:rPr>
        <w:t>In November 2020, the Company entered into a non-exclusive clinical trial agreement with Pfizer Inc.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pStyle w:val="TextBody"/>
        <w:bidi w:val="0"/>
        <w:spacing w:before="240" w:after="283"/>
        <w:jc w:val="both"/>
        <w:rPr>
          <w:rFonts w:ascii="Arial" w:hAnsi="Arial"/>
          <w:color w:val="000000"/>
          <w:sz w:val="20"/>
        </w:rPr>
      </w:pPr>
      <w:r>
        <w:rPr>
          <w:rFonts w:ascii="Arial" w:hAnsi="Arial"/>
          <w:color w:val="000000"/>
          <w:sz w:val="20"/>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condensed consolidated statements of operations and comprehensive loss for the three months ended March 31, 2024, and 2023.</w:t>
      </w:r>
    </w:p>
    <w:p>
      <w:pPr>
        <w:pStyle w:val="TextBody"/>
        <w:bidi w:val="0"/>
        <w:spacing w:before="240" w:after="283"/>
        <w:jc w:val="both"/>
        <w:rPr>
          <w:rFonts w:ascii="Arial" w:hAnsi="Arial"/>
          <w:i/>
          <w:color w:val="000000"/>
          <w:sz w:val="20"/>
        </w:rPr>
      </w:pPr>
      <w:r>
        <w:rPr>
          <w:rFonts w:ascii="Arial" w:hAnsi="Arial"/>
          <w:i/>
          <w:color w:val="000000"/>
          <w:sz w:val="20"/>
        </w:rPr>
        <w:t>License Agreement</w:t>
      </w:r>
    </w:p>
    <w:p>
      <w:pPr>
        <w:pStyle w:val="TextBody"/>
        <w:bidi w:val="0"/>
        <w:spacing w:before="240" w:after="283"/>
        <w:jc w:val="both"/>
        <w:rPr>
          <w:rFonts w:ascii="Arial" w:hAnsi="Arial"/>
          <w:color w:val="000000"/>
          <w:sz w:val="20"/>
        </w:rPr>
      </w:pPr>
      <w:r>
        <w:rPr>
          <w:rFonts w:ascii="Arial" w:hAnsi="Arial"/>
          <w:color w:val="000000"/>
          <w:sz w:val="20"/>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pStyle w:val="TextBody"/>
        <w:bidi w:val="0"/>
        <w:spacing w:before="240" w:after="283"/>
        <w:jc w:val="both"/>
        <w:rPr>
          <w:rFonts w:ascii="Times New Roman" w:hAnsi="Times New Roman"/>
          <w:sz w:val="20"/>
        </w:rPr>
      </w:pPr>
      <w:r>
        <w:rPr>
          <w:rFonts w:ascii="Arial" w:hAnsi="Arial"/>
          <w:color w:val="000000"/>
          <w:sz w:val="20"/>
        </w:rPr>
        <w:t>Under the terms of the Aurigene Agreement, Aurigene will provide to the Company an exclusive license to its portfolio of novel small molecule inhibitors of the target. Financial terms of the Aurigene Agreement include a $8.0</w:t>
      </w:r>
      <w:r>
        <w:rPr>
          <w:rFonts w:ascii="Times New Roman" w:hAnsi="Times New Roman"/>
          <w:color w:val="000000"/>
          <w:sz w:val="20"/>
        </w:rPr>
        <w:t xml:space="preserve"> </w:t>
      </w:r>
      <w:r>
        <w:rPr>
          <w:rFonts w:ascii="Arial" w:hAnsi="Arial"/>
          <w:color w:val="000000"/>
          <w:sz w:val="20"/>
        </w:rPr>
        <w:t>million upfront payment for rights to a pre-existing Aurigene program and potential future milestone payments of up to $60.0</w:t>
      </w:r>
      <w:r>
        <w:rPr>
          <w:rFonts w:ascii="Times New Roman" w:hAnsi="Times New Roman"/>
          <w:color w:val="000000"/>
          <w:sz w:val="20"/>
        </w:rPr>
        <w:t xml:space="preserve"> </w:t>
      </w:r>
      <w:r>
        <w:rPr>
          <w:rFonts w:ascii="Arial" w:hAnsi="Arial"/>
          <w:color w:val="000000"/>
          <w:sz w:val="20"/>
        </w:rPr>
        <w:t>million in clinical development and regulatory milestones, and up to $370.0</w:t>
      </w:r>
      <w:r>
        <w:rPr>
          <w:rFonts w:ascii="Times New Roman" w:hAnsi="Times New Roman"/>
          <w:color w:val="000000"/>
          <w:sz w:val="20"/>
        </w:rPr>
        <w:t xml:space="preserve"> </w:t>
      </w:r>
      <w:r>
        <w:rPr>
          <w:rFonts w:ascii="Arial" w:hAnsi="Arial"/>
          <w:color w:val="000000"/>
          <w:sz w:val="20"/>
        </w:rPr>
        <w:t>million in commercial milestones. Aurigene is also eligible to receive mid-single digits to the low double digits royalties as percentages of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$8.0</w:t>
      </w:r>
      <w:r>
        <w:rPr>
          <w:rFonts w:ascii="Times New Roman" w:hAnsi="Times New Roman"/>
          <w:color w:val="000000"/>
          <w:sz w:val="20"/>
        </w:rPr>
        <w:t xml:space="preserve"> </w:t>
      </w:r>
      <w:r>
        <w:rPr>
          <w:rFonts w:ascii="Arial" w:hAnsi="Arial"/>
          <w:color w:val="000000"/>
          <w:sz w:val="20"/>
        </w:rPr>
        <w:t>million upfront payment was incurred in June 2022 and recorded as research and development expense in the accompanying condensed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As of March 31, 2024, the $5.0</w:t>
      </w:r>
      <w:r>
        <w:rPr>
          <w:rFonts w:ascii="Times New Roman" w:hAnsi="Times New Roman"/>
          <w:color w:val="000000"/>
          <w:sz w:val="20"/>
        </w:rPr>
        <w:t xml:space="preserve"> </w:t>
      </w:r>
      <w:r>
        <w:rPr>
          <w:rFonts w:ascii="Arial" w:hAnsi="Arial"/>
          <w:color w:val="000000"/>
          <w:sz w:val="20"/>
        </w:rPr>
        <w:t>million milestone related to initiation of the first IND-enabling safety study was met and was recorded as research and development expenses in the condensed consolidated financial statements for the three months ended March 31, 2024.</w:t>
      </w:r>
    </w:p>
    <w:p>
      <w:pPr>
        <w:pStyle w:val="TextBody"/>
        <w:bidi w:val="0"/>
        <w:spacing w:before="240" w:after="283"/>
        <w:jc w:val="both"/>
        <w:rPr>
          <w:rFonts w:ascii="Arial" w:hAnsi="Arial"/>
          <w:i/>
          <w:color w:val="000000"/>
          <w:sz w:val="20"/>
        </w:rPr>
      </w:pPr>
      <w:r>
        <w:rPr>
          <w:rFonts w:ascii="Arial" w:hAnsi="Arial"/>
          <w:i/>
          <w:color w:val="000000"/>
          <w:sz w:val="20"/>
        </w:rPr>
        <w:t>Management Services Agreements</w:t>
      </w:r>
    </w:p>
    <w:p>
      <w:pPr>
        <w:pStyle w:val="TextBody"/>
        <w:bidi w:val="0"/>
        <w:spacing w:before="240" w:after="283"/>
        <w:jc w:val="both"/>
        <w:rPr>
          <w:rFonts w:ascii="Arial" w:hAnsi="Arial"/>
          <w:color w:val="000000"/>
          <w:sz w:val="20"/>
        </w:rPr>
      </w:pPr>
      <w:r>
        <w:rPr>
          <w:rFonts w:ascii="Arial" w:hAnsi="Arial"/>
          <w:color w:val="000000"/>
          <w:sz w:val="20"/>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March 31, 2024, the Company did not have material contractual commitments with respect to these arrangements.</w:t>
      </w:r>
    </w:p>
    <w:p>
      <w:pPr>
        <w:pStyle w:val="TextBody"/>
        <w:bidi w:val="0"/>
        <w:spacing w:before="240" w:after="283"/>
        <w:jc w:val="both"/>
        <w:rPr>
          <w:rFonts w:ascii="Arial" w:hAnsi="Arial"/>
          <w:i/>
          <w:color w:val="000000"/>
          <w:sz w:val="20"/>
        </w:rPr>
      </w:pPr>
      <w:r>
        <w:rPr>
          <w:rFonts w:ascii="Arial" w:hAnsi="Arial"/>
          <w:i/>
          <w:color w:val="000000"/>
          <w:sz w:val="20"/>
        </w:rPr>
        <w:t>Contingencies</w:t>
      </w:r>
    </w:p>
    <w:p>
      <w:pPr>
        <w:pStyle w:val="TextBody"/>
        <w:bidi w:val="0"/>
        <w:spacing w:before="240" w:after="283"/>
        <w:jc w:val="both"/>
        <w:rPr>
          <w:rFonts w:ascii="Arial" w:hAnsi="Arial"/>
          <w:color w:val="000000"/>
          <w:sz w:val="20"/>
        </w:rPr>
      </w:pPr>
      <w:r>
        <w:rPr>
          <w:rFonts w:ascii="Arial" w:hAnsi="Arial"/>
          <w:color w:val="000000"/>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pStyle w:val="TextBody"/>
        <w:bidi w:val="0"/>
        <w:spacing w:before="240" w:after="283"/>
        <w:jc w:val="both"/>
        <w:rPr>
          <w:rFonts w:ascii="Arial" w:hAnsi="Arial"/>
          <w:i/>
          <w:color w:val="000000"/>
          <w:sz w:val="20"/>
        </w:rPr>
      </w:pPr>
      <w:r>
        <w:rPr>
          <w:rFonts w:ascii="Arial" w:hAnsi="Arial"/>
          <w:i/>
          <w:color w:val="000000"/>
          <w:sz w:val="20"/>
        </w:rPr>
        <w:t>Indemnification Agreements</w:t>
      </w:r>
    </w:p>
    <w:p>
      <w:pPr>
        <w:pStyle w:val="TextBody"/>
        <w:bidi w:val="0"/>
        <w:spacing w:before="240" w:after="283"/>
        <w:jc w:val="both"/>
        <w:rPr>
          <w:rFonts w:ascii="Arial" w:hAnsi="Arial"/>
          <w:color w:val="000000"/>
          <w:sz w:val="20"/>
        </w:rPr>
      </w:pPr>
      <w:r>
        <w:rPr>
          <w:rFonts w:ascii="Arial" w:hAnsi="Arial"/>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March 31, 2024, the Company had not incurred any material costs as a result of such indemnifications.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b/>
          <w:color w:val="000000"/>
          <w:sz w:val="20"/>
        </w:rPr>
      </w:pPr>
      <w:bookmarkStart w:id="10" w:name="item2managementsdiscussionandanalysisoff"/>
      <w:bookmarkEnd w:id="10"/>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the unaudited condensed consolidated financial statements and related notes that are included elsewhere in this Quarterly Report on Form 10</w:t>
        <w:noBreakHyphen/>
        <w:t>Q and the audited financial statements and related notes that are included in our Annual Report on Form 10</w:t>
        <w:noBreakHyphen/>
        <w:t>K for the fiscal year ended December 31, 2023, filed with the U.S. Securities and Exchange Commission, or the SEC, on March 11, 2024, or our Annual Report on Form 10</w:t>
        <w:noBreakHyphen/>
        <w:t>K.</w:t>
      </w:r>
    </w:p>
    <w:p>
      <w:pPr>
        <w:pStyle w:val="TextBody"/>
        <w:bidi w:val="0"/>
        <w:spacing w:before="240" w:after="283"/>
        <w:jc w:val="both"/>
        <w:rPr>
          <w:rFonts w:ascii="Times New Roman" w:hAnsi="Times New Roman"/>
          <w:sz w:val="20"/>
        </w:rPr>
      </w:pPr>
      <w:r>
        <w:rPr>
          <w:rFonts w:ascii="Arial" w:hAnsi="Arial"/>
          <w:i/>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240" w:after="283"/>
        <w:jc w:val="both"/>
        <w:rPr>
          <w:rFonts w:ascii="Times New Roman" w:hAnsi="Times New Roman"/>
          <w:sz w:val="20"/>
        </w:rPr>
      </w:pPr>
      <w:r>
        <w:rPr>
          <w:rFonts w:ascii="Arial" w:hAnsi="Arial"/>
          <w:color w:val="000000"/>
          <w:sz w:val="20"/>
        </w:rPr>
        <w:t>We are a clinical-stage biopharmaceutical company focused on the discovery, development and commercialization of next generation targeted therapies for women’s cancers. We are advancing our pipeline of novel therapies by leveraging our deep understanding of endocrine-driven cancers, nuclear receptors, and mechanisms of acquired resistance. Our lead product candidate, palazestrant (OP-1250), is a novel, orally-available small molecule with dual activity as both a complete estrogen receptor, or ER, antagonist, or CERAN, and selective ER degrader, or SERD, currently being investigated in patients with recurrent, locally advanced or metastatic ER-positive, or ER+, human epidermal growth factor receptor 2-negative, or HER2-, breast cancer. In preclinical models, palazestrant binds and completely blocks ER-driven transcriptional activity in both wild-type and mutant forms of metastatic ER+ breast cancer including activity in central nervous system, or CNS, metastases models. In clinical studies across more than 250 patients, palazestrant has demonstrated strong anti-tumor activity, attractive pharmacokinetics and prolonged drug exposure, favorable tolerability, and combinability with CDK4/6 inhibitors with no significant drug-drug interaction. Palazestrant is being evaluated both as a single agent in an ongoing Phase 3 clinical trial, OPERA-01, in Phase 2 combination studies with a CDK4/6 inhibitor (palbociclib or ribociclib) and a phosphatidylinositol 3 kinase alpha, or PI3Ka, inhibitor (alpelisib) and an anticipated Phase 1b/2 combination study with an mTOR inhibitor (everolimus).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reported positive Phase 2 clinical results for palazestrant as a monotherapy in October 2023 at the European Society for Medical Oncology, or ESMO, Congress 2023, which demonstrated compelling progression-free survival, or PFS, a favorable tolerability profile and attractive pharmacokinetics in a heavily pretreated patient population. These results validated the potential opportunity for palazestrant as a monotherapy agent in later lines of treatment for metastatic breast cancer, and in November 2023 we initiated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OPERA-01, our pivotal Phase 3 second-, third-line monotherapy clinical trial. We anticipate the top-line results from the OPERA-01 trial in 2026.</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investigating palazestrant in combination with CDK4/6 inhibitors, palbociclib and ribociclib, and a PI3Ka inhibitor, alpelisib. We reported interim results of our ongoing Phase 2 dose expansion clinical studies of palazestrant in combination with each of palbociclib and ribociclib at the 2023 San Antonio Breast Cancer Symposium in December 2023. Across both studies, the interim results demonstrated no significant drug-drug interaction, no dose-limiting toxicities, and a tolerability profile consistent with the FDA-approved labels of ribociclib or palbociclib plus an endocrine therapy. Both studies are being conducted at the palazestrant recommended Phase 2 dose, or RP2D, of 120 mg combined with the full FDA-approved label doses of palbociclib 125 mg, or ribociclib 600 mg. In October 2023, we announced the expansion of our clinical collaboration with Novartis Institutes for BioMedical Research, Inc., or Novartis, increasing the size of the ongoing Phase 1/2 clinical study testing palazestrant in combination with ribociclib to approximately 60 patients, and in March 2024, we further increased the size of the ongoing Phase 1/2 clinical study testing palazestrant in combination with ribociclib by an additional 15 patients exploring 90 mg of palazestrant in combination with 600 mg of ribociclib. We will be presenting results from the Phase 2 portion of the palazestrant-ribociclib combination clinical study at the ESMO Breast Cancer Annual Congress 2024 in May 2024 in Berlin. Furthermore, we expect the data from the Phase 2 palazestrant-ribociclib combination clinical study will enable us to prepare to initiate a pivotal Phase 3 first-line clinical trial of palazestrant in combination with ribociclib. We also plan to initiate evaluation of palazestrant in combination with an mTOR inhibitor, everolimus, in a Phase 1b/2 clinical study, anticipated in the third quarter of 2024.</w:t>
      </w:r>
    </w:p>
    <w:p>
      <w:pPr>
        <w:pStyle w:val="TextBody"/>
        <w:bidi w:val="0"/>
        <w:spacing w:before="240" w:after="283"/>
        <w:jc w:val="both"/>
        <w:rPr>
          <w:rFonts w:ascii="Times New Roman" w:hAnsi="Times New Roman"/>
          <w:sz w:val="20"/>
        </w:rPr>
      </w:pPr>
      <w:r>
        <w:rPr>
          <w:rFonts w:ascii="Arial" w:hAnsi="Arial"/>
          <w:color w:val="000000"/>
          <w:sz w:val="20"/>
        </w:rPr>
        <w:t>In July 2022, we were granted Fast Track designation from the U.S. Food and Drug Administration, or the FDA, for palazestrant for patients with ER+/HER2- metastatic breast cancer that has progressed following one or more lines of endocrine therapy with at least one line given in combination with a CDK4/6 inhibitor.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in October 2023 we presented new preclinical data regarding the discovery of novel compounds targeting KAT6, an epigenetic target that is dysregulated in breast and other cancers. In January 2024, we nominated a development candidate for this program, OP-3136, and we expect to file an Investigational New Drug, or IND, application with the FDA in late 2024 and advance into clinical development. In a non-clinical xenograft model, OP-3136 caused dose-dependent tumor growth inhibition and tumor regression comparable to or better than a positive-control patented KAT6 inhibitor and demonstrated synergy in combination with CDK4/6 inhibitors or palazestrant. We are advancing the development of this program in collaboration with Aurigene Oncology, or Aurigene.</w:t>
      </w:r>
    </w:p>
    <w:p>
      <w:pPr>
        <w:pStyle w:val="TextBody"/>
        <w:bidi w:val="0"/>
        <w:spacing w:before="240" w:after="283"/>
        <w:jc w:val="both"/>
        <w:rPr>
          <w:rFonts w:ascii="Arial" w:hAnsi="Arial"/>
          <w:color w:val="000000"/>
          <w:sz w:val="20"/>
        </w:rPr>
      </w:pPr>
      <w:r>
        <w:rPr>
          <w:rFonts w:ascii="Arial" w:hAnsi="Arial"/>
          <w:color w:val="000000"/>
          <w:sz w:val="20"/>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pStyle w:val="TextBody"/>
        <w:bidi w:val="0"/>
        <w:spacing w:before="240" w:after="283"/>
        <w:jc w:val="both"/>
        <w:rPr>
          <w:rFonts w:ascii="Arial" w:hAnsi="Arial"/>
          <w:color w:val="000000"/>
          <w:sz w:val="20"/>
        </w:rPr>
      </w:pPr>
      <w:r>
        <w:rPr>
          <w:rFonts w:ascii="Arial" w:hAnsi="Arial"/>
          <w:color w:val="000000"/>
          <w:sz w:val="20"/>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spacing w:before="240" w:after="283"/>
        <w:jc w:val="both"/>
        <w:rPr>
          <w:rFonts w:ascii="Times New Roman" w:hAnsi="Times New Roman"/>
          <w:sz w:val="20"/>
        </w:rPr>
      </w:pPr>
      <w:r>
        <w:rPr>
          <w:rFonts w:ascii="Arial" w:hAnsi="Arial"/>
          <w:color w:val="000000"/>
          <w:sz w:val="20"/>
        </w:rPr>
        <w:t>We have incurred significant operating losses since the commencement of our operations. Our net losses were $31.0 million and $28.3 million for the three months ended March 31, 2024 and 2023, respectively. We expect to incur significant and increasing losses for the foreseeable future as we continue to advance our product candidates, make potential milestone payments to our licensors, and as we continue to operate as a public company. Our net losses may fluctuate significantly from period to period, depending on the timing of expenditures on our research and development activities. As of March 31, 2024, we had an accumulated deficit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of $336.6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pStyle w:val="TextBody"/>
        <w:bidi w:val="0"/>
        <w:spacing w:before="240" w:after="283"/>
        <w:jc w:val="both"/>
        <w:rPr>
          <w:rFonts w:ascii="Arial" w:hAnsi="Arial"/>
          <w:color w:val="000000"/>
          <w:sz w:val="20"/>
        </w:rPr>
      </w:pPr>
      <w:r>
        <w:rPr>
          <w:rFonts w:ascii="Arial" w:hAnsi="Arial"/>
          <w:color w:val="000000"/>
          <w:sz w:val="20"/>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our ongoing and planned research and development of our lead product candidate, palazestrant, for the treatment of ER+ positive breast cancer;</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initiate nonclinical studies and clinical trials for OP-3136 and any additional product candidates that we may pursue in the future;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to discover and develop additional product candidates and further expand our clinical product pipeline;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regulatory approvals for any product candidates that successfully complete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to scale up external manufacturing capacity with the aim of securing sufficient quantities to meet our capacity requirements for clinical trials and potential commercialization;</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 a sales, marketing and distribution infrastructure to commercialize any approved product candidates and related additional commercial manufacturing costs;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 maintain, expand, protect and enforce our intellectual property portfolio, including patents, trade secrets and know how;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acquire or in-license other product candidates and technologies;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attract, hire and retain additional clinical, scientific, quality control, and manufacturing management and administrative personnel;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add clinical, operational, financial and management information systems and personnel, including personnel to support our product development and planned future commercialization efforts;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expand our operations in the United States and to other geographies;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incur additional legal, accounting, investor relations and other expenses associated with operating as a public company.</w:t>
      </w:r>
    </w:p>
    <w:p>
      <w:pPr>
        <w:pStyle w:val="TextBody"/>
        <w:bidi w:val="0"/>
        <w:spacing w:before="240" w:after="283"/>
        <w:jc w:val="both"/>
        <w:rPr>
          <w:rFonts w:ascii="Arial" w:hAnsi="Arial"/>
          <w:color w:val="000000"/>
          <w:sz w:val="20"/>
        </w:rPr>
      </w:pPr>
      <w:r>
        <w:rPr>
          <w:rFonts w:ascii="Arial" w:hAnsi="Arial"/>
          <w:color w:val="000000"/>
          <w:sz w:val="20"/>
        </w:rPr>
        <w:t>Our net losses may fluctuate significantly from quarter-to-quarter and year-to-year, depending on the timing of our clinical trials, potential milestone payments to our licensors, and our expenditures on other research and development activities.</w:t>
      </w:r>
    </w:p>
    <w:p>
      <w:pPr>
        <w:pStyle w:val="TextBody"/>
        <w:bidi w:val="0"/>
        <w:spacing w:before="240" w:after="283"/>
        <w:jc w:val="both"/>
        <w:rPr>
          <w:rFonts w:ascii="Times New Roman" w:hAnsi="Times New Roman"/>
          <w:sz w:val="20"/>
        </w:rPr>
      </w:pPr>
      <w:r>
        <w:rPr>
          <w:rFonts w:ascii="Arial" w:hAnsi="Arial"/>
          <w:color w:val="000000"/>
          <w:sz w:val="20"/>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recession risks, as well as potential disruptions from the Russia-Ukraine conflict and armed conflict between Israel and groups based in surrounding regions, all of which have resulted in volatility in the U.S. and global financial markets, and disruptions to trade, commerce, pricing stability, credit availability and supply chain continuity globally.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pStyle w:val="TextBody"/>
        <w:bidi w:val="0"/>
        <w:spacing w:before="240" w:after="283"/>
        <w:jc w:val="both"/>
        <w:rPr>
          <w:rFonts w:ascii="Arial" w:hAnsi="Arial"/>
          <w:b/>
          <w:color w:val="000000"/>
          <w:sz w:val="20"/>
        </w:rPr>
      </w:pPr>
      <w:r>
        <w:rPr>
          <w:rFonts w:ascii="Arial" w:hAnsi="Arial"/>
          <w:b/>
          <w:color w:val="000000"/>
          <w:sz w:val="20"/>
        </w:rPr>
        <w:t>Components of our results of operations</w:t>
      </w:r>
    </w:p>
    <w:p>
      <w:pPr>
        <w:pStyle w:val="TextBody"/>
        <w:bidi w:val="0"/>
        <w:spacing w:before="240" w:after="283"/>
        <w:jc w:val="both"/>
        <w:rPr>
          <w:rFonts w:ascii="Arial" w:hAnsi="Arial"/>
          <w:b/>
          <w:i/>
          <w:color w:val="000000"/>
          <w:sz w:val="20"/>
        </w:rPr>
      </w:pPr>
      <w:r>
        <w:rPr>
          <w:rFonts w:ascii="Arial" w:hAnsi="Arial"/>
          <w:b/>
          <w:i/>
          <w:color w:val="000000"/>
          <w:sz w:val="20"/>
        </w:rPr>
        <w:t>Revenue</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and do not expect to generate any revenue from the sale of products for the foreseeable future.</w:t>
      </w:r>
    </w:p>
    <w:p>
      <w:pPr>
        <w:pStyle w:val="TextBody"/>
        <w:bidi w:val="0"/>
        <w:spacing w:before="240" w:after="283"/>
        <w:jc w:val="both"/>
        <w:rPr>
          <w:rFonts w:ascii="Arial" w:hAnsi="Arial"/>
          <w:b/>
          <w:i/>
          <w:color w:val="000000"/>
          <w:sz w:val="20"/>
        </w:rPr>
      </w:pPr>
      <w:r>
        <w:rPr>
          <w:rFonts w:ascii="Arial" w:hAnsi="Arial"/>
          <w:b/>
          <w:i/>
          <w:color w:val="000000"/>
          <w:sz w:val="20"/>
        </w:rPr>
        <w:t>Operating expenses</w:t>
      </w:r>
    </w:p>
    <w:p>
      <w:pPr>
        <w:pStyle w:val="TextBody"/>
        <w:bidi w:val="0"/>
        <w:spacing w:before="240" w:after="283"/>
        <w:jc w:val="both"/>
        <w:rPr>
          <w:rFonts w:ascii="Arial" w:hAnsi="Arial"/>
          <w:i/>
          <w:color w:val="000000"/>
          <w:sz w:val="20"/>
        </w:rPr>
      </w:pPr>
      <w:r>
        <w:rPr>
          <w:rFonts w:ascii="Arial" w:hAnsi="Arial"/>
          <w:i/>
          <w:color w:val="000000"/>
          <w:sz w:val="20"/>
        </w:rPr>
        <w:t>Research and development</w:t>
      </w:r>
    </w:p>
    <w:p>
      <w:pPr>
        <w:pStyle w:val="TextBody"/>
        <w:bidi w:val="0"/>
        <w:spacing w:before="240" w:after="283"/>
        <w:jc w:val="both"/>
        <w:rPr>
          <w:rFonts w:ascii="Arial" w:hAnsi="Arial"/>
          <w:color w:val="000000"/>
          <w:sz w:val="20"/>
        </w:rPr>
      </w:pPr>
      <w:r>
        <w:rPr>
          <w:rFonts w:ascii="Arial" w:hAnsi="Arial"/>
          <w:color w:val="000000"/>
          <w:sz w:val="20"/>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240" w:after="283"/>
        <w:jc w:val="both"/>
        <w:rPr>
          <w:rFonts w:ascii="Arial" w:hAnsi="Arial"/>
          <w:color w:val="000000"/>
          <w:sz w:val="20"/>
        </w:rPr>
      </w:pPr>
      <w:r>
        <w:rPr>
          <w:rFonts w:ascii="Arial" w:hAnsi="Arial"/>
          <w:color w:val="000000"/>
          <w:sz w:val="20"/>
        </w:rPr>
        <w:t>External expenses include: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expenses incurred in connection with the discovery and nonclinical development of our product candidates, including under agreements with third parties, such as consultants and contract research organizations, or CROs;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costs of manufacturing products for use in our nonclinical studies and clinical trials, including payments to contract manufacturing organizations, or CMOs, and consultants;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funding research performed by third parties;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purchasing lab supplies and non-capital equipment used in designing, developing and manufacturing nonclinical study and clinical trial materials;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associated with consultants for chemistry, manufacturing and controls development, regulatory, statistics and other services;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expenses related to regulatory activities, including filing fees paid to regulatory agencies;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facility costs including rent, depreciation and maintenance expenses.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Internal expenses include employee and personnel-related costs and expenses, including salaries, benefits and stock-based compensation expense for employees and personnel engaged in research and development functions.</w:t>
      </w:r>
    </w:p>
    <w:p>
      <w:pPr>
        <w:pStyle w:val="TextBody"/>
        <w:bidi w:val="0"/>
        <w:spacing w:before="240" w:after="283"/>
        <w:jc w:val="both"/>
        <w:rPr>
          <w:rFonts w:ascii="Arial" w:hAnsi="Arial"/>
          <w:color w:val="000000"/>
          <w:sz w:val="20"/>
        </w:rPr>
      </w:pPr>
      <w:r>
        <w:rPr>
          <w:rFonts w:ascii="Arial" w:hAnsi="Arial"/>
          <w:color w:val="000000"/>
          <w:sz w:val="20"/>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pStyle w:val="TextBody"/>
        <w:bidi w:val="0"/>
        <w:spacing w:before="240" w:after="283"/>
        <w:jc w:val="both"/>
        <w:rPr>
          <w:rFonts w:ascii="Arial" w:hAnsi="Arial"/>
          <w:color w:val="000000"/>
          <w:sz w:val="20"/>
        </w:rPr>
      </w:pPr>
      <w:r>
        <w:rPr>
          <w:rFonts w:ascii="Arial" w:hAnsi="Arial"/>
          <w:color w:val="000000"/>
          <w:sz w:val="20"/>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pStyle w:val="TextBody"/>
        <w:bidi w:val="0"/>
        <w:spacing w:before="240" w:after="283"/>
        <w:jc w:val="both"/>
        <w:rPr>
          <w:rFonts w:ascii="Arial" w:hAnsi="Arial"/>
          <w:color w:val="000000"/>
          <w:sz w:val="20"/>
        </w:rPr>
      </w:pPr>
      <w:r>
        <w:rPr>
          <w:rFonts w:ascii="Arial" w:hAnsi="Arial"/>
          <w:color w:val="000000"/>
          <w:sz w:val="20"/>
        </w:rPr>
        <w:t>While our research and development expenses may fluctuate from period to period, we generally expect our research and development expenses to increase substantially in absolute dollars for the foreseeable future as we advance palazestrant, OP-3136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and progress of nonclinical and clinical development activities;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number and scope of nonclinical and clinical programs we decide to pursue;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maintain our current research and development programs and to establish new ones;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an appropriate safety profile with investigational new drug-enabling toxicology studies;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successful patient enrollment in, and the initiation and completion of, clinical trials;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successful completion of clinical trials with safety, tolerability and efficacy profiles that are satisfactory to the FDA or any comparable foreign regulatory authority;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commercial manufacturing capabilities or making arrangements with third-party manufacturers;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receipt of regulatory approvals from applicable regulatory authorities;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receipt and terms of any marketing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establish licensing or collaboration arrangements;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performance of our future collaborators, if any;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development and timely delivery of commercial-grade product formulations that can be used in our planned clinical trials and for commercial launch;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commercializing the product candidates, if approved, whether alone or in collaboration with others;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and maintaining patent and trade secret protection and regulatory exclusivity for our product candidates;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maintaining, defending and enforcing patent claims and other intellectual property rights;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maintaining continued acceptable safety profiles of our products following approval;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obtaining and retaining key research and development personnel.</w:t>
      </w:r>
    </w:p>
    <w:p>
      <w:pPr>
        <w:pStyle w:val="TextBody"/>
        <w:bidi w:val="0"/>
        <w:spacing w:before="240" w:after="283"/>
        <w:jc w:val="both"/>
        <w:rPr>
          <w:rFonts w:ascii="Arial" w:hAnsi="Arial"/>
          <w:color w:val="000000"/>
          <w:sz w:val="20"/>
        </w:rPr>
      </w:pPr>
      <w:r>
        <w:rPr>
          <w:rFonts w:ascii="Arial" w:hAnsi="Arial"/>
          <w:color w:val="000000"/>
          <w:sz w:val="20"/>
        </w:rPr>
        <w:t>Any changes in the outcome of any of these factors could significantly impact the costs, timing and viability associated with the development of our product candidates.</w:t>
      </w:r>
    </w:p>
    <w:p>
      <w:pPr>
        <w:pStyle w:val="TextBody"/>
        <w:bidi w:val="0"/>
        <w:spacing w:before="240" w:after="283"/>
        <w:jc w:val="both"/>
        <w:rPr>
          <w:rFonts w:ascii="Arial" w:hAnsi="Arial"/>
          <w:i/>
          <w:color w:val="000000"/>
          <w:sz w:val="20"/>
        </w:rPr>
      </w:pPr>
      <w:r>
        <w:rPr>
          <w:rFonts w:ascii="Arial" w:hAnsi="Arial"/>
          <w:i/>
          <w:color w:val="000000"/>
          <w:sz w:val="20"/>
        </w:rPr>
        <w:t>General and administrative</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consist primarily of personnel expenses, including salaries, benefits and stock-based compensation expense, for personnel in executive, finance, accounting, business development, legal, human resources, information technology, or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pStyle w:val="TextBody"/>
        <w:bidi w:val="0"/>
        <w:spacing w:before="240" w:after="283"/>
        <w:jc w:val="both"/>
        <w:rPr>
          <w:rFonts w:ascii="Arial" w:hAnsi="Arial"/>
          <w:color w:val="000000"/>
          <w:sz w:val="20"/>
        </w:rPr>
      </w:pPr>
      <w:r>
        <w:rPr>
          <w:rFonts w:ascii="Arial" w:hAnsi="Arial"/>
          <w:color w:val="000000"/>
          <w:sz w:val="20"/>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pStyle w:val="TextBody"/>
        <w:bidi w:val="0"/>
        <w:spacing w:before="240" w:after="283"/>
        <w:jc w:val="both"/>
        <w:rPr>
          <w:rFonts w:ascii="Arial" w:hAnsi="Arial"/>
          <w:b/>
          <w:i/>
          <w:color w:val="000000"/>
          <w:sz w:val="20"/>
        </w:rPr>
      </w:pPr>
      <w:r>
        <w:rPr>
          <w:rFonts w:ascii="Arial" w:hAnsi="Arial"/>
          <w:b/>
          <w:i/>
          <w:color w:val="000000"/>
          <w:sz w:val="20"/>
        </w:rPr>
        <w:t>Total other income</w:t>
      </w:r>
    </w:p>
    <w:p>
      <w:pPr>
        <w:pStyle w:val="TextBody"/>
        <w:bidi w:val="0"/>
        <w:spacing w:before="240" w:after="283"/>
        <w:jc w:val="both"/>
        <w:rPr>
          <w:rFonts w:ascii="Arial" w:hAnsi="Arial"/>
          <w:color w:val="000000"/>
          <w:sz w:val="20"/>
        </w:rPr>
      </w:pPr>
      <w:r>
        <w:rPr>
          <w:rFonts w:ascii="Arial" w:hAnsi="Arial"/>
          <w:color w:val="000000"/>
          <w:sz w:val="20"/>
        </w:rPr>
        <w:t>Total other income consists of interest income and other income. Interest income primarily consists of interest income on our cash equivalents and marketable securities. Other income primarily consists of unrealized foreign currency remeasurement gain (loss) and miscellaneous income (expense) not related to operating activities.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TextBody"/>
        <w:bidi w:val="0"/>
        <w:spacing w:before="240" w:after="283"/>
        <w:jc w:val="both"/>
        <w:rPr>
          <w:rFonts w:ascii="Arial" w:hAnsi="Arial"/>
          <w:i/>
          <w:color w:val="000000"/>
          <w:sz w:val="20"/>
        </w:rPr>
      </w:pPr>
      <w:r>
        <w:rPr>
          <w:rFonts w:ascii="Arial" w:hAnsi="Arial"/>
          <w:i/>
          <w:color w:val="000000"/>
          <w:sz w:val="20"/>
        </w:rPr>
        <w:t>Comparison of the three months ended March 31, 2024 and 2023</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results of operations for the three months ended March 31, 2024 and 2023:</w:t>
      </w:r>
    </w:p>
    <w:tbl>
      <w:tblPr>
        <w:tblW w:w="7258" w:type="dxa"/>
        <w:jc w:val="left"/>
        <w:tblInd w:w="0" w:type="dxa"/>
        <w:tblLayout w:type="fixed"/>
        <w:tblCellMar>
          <w:top w:w="28" w:type="dxa"/>
          <w:left w:w="28" w:type="dxa"/>
          <w:bottom w:w="28" w:type="dxa"/>
          <w:right w:w="28" w:type="dxa"/>
        </w:tblCellMar>
      </w:tblPr>
      <w:tblGrid>
        <w:gridCol w:w="2631"/>
        <w:gridCol w:w="146"/>
        <w:gridCol w:w="211"/>
        <w:gridCol w:w="160"/>
        <w:gridCol w:w="826"/>
        <w:gridCol w:w="182"/>
        <w:gridCol w:w="160"/>
        <w:gridCol w:w="232"/>
        <w:gridCol w:w="160"/>
        <w:gridCol w:w="826"/>
        <w:gridCol w:w="166"/>
        <w:gridCol w:w="211"/>
        <w:gridCol w:w="157"/>
        <w:gridCol w:w="699"/>
        <w:gridCol w:w="4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6"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79" w:type="dxa"/>
            <w:gridSpan w:val="11"/>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491" w:type="dxa"/>
            <w:tcBorders/>
            <w:shd w:fill="FFFFFF" w:val="clear"/>
            <w:vAlign w:val="center"/>
          </w:tcPr>
          <w:p>
            <w:pPr>
              <w:pStyle w:val="TableContents"/>
              <w:bidi w:val="0"/>
              <w:spacing w:before="0" w:after="283"/>
              <w:jc w:val="center"/>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86" w:type="dxa"/>
            <w:gridSpan w:val="2"/>
            <w:tcBorders/>
            <w:shd w:fill="CFF0FC" w:val="clear"/>
            <w:vAlign w:val="center"/>
          </w:tcPr>
          <w:p>
            <w:pPr>
              <w:pStyle w:val="TableContents"/>
              <w:bidi w:val="0"/>
              <w:spacing w:before="0" w:after="283"/>
              <w:jc w:val="left"/>
              <w:rPr>
                <w:sz w:val="4"/>
                <w:szCs w:val="4"/>
              </w:rPr>
            </w:pPr>
            <w:r>
              <w:rPr>
                <w:sz w:val="4"/>
                <w:szCs w:val="4"/>
              </w:rPr>
            </w:r>
          </w:p>
        </w:tc>
        <w:tc>
          <w:tcPr>
            <w:tcW w:w="18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986"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gridSpan w:val="2"/>
            <w:tcBorders/>
            <w:shd w:fill="CFF0FC" w:val="clear"/>
            <w:vAlign w:val="center"/>
          </w:tcPr>
          <w:p>
            <w:pPr>
              <w:pStyle w:val="TableContents"/>
              <w:bidi w:val="0"/>
              <w:spacing w:before="0" w:after="283"/>
              <w:jc w:val="left"/>
              <w:rPr>
                <w:sz w:val="4"/>
                <w:szCs w:val="4"/>
              </w:rPr>
            </w:pPr>
            <w:r>
              <w:rPr>
                <w:sz w:val="4"/>
                <w:szCs w:val="4"/>
              </w:rPr>
            </w:r>
          </w:p>
        </w:tc>
        <w:tc>
          <w:tcPr>
            <w:tcW w:w="491" w:type="dxa"/>
            <w:tcBorders/>
            <w:shd w:fill="CFF0FC" w:val="clear"/>
            <w:vAlign w:val="center"/>
          </w:tcPr>
          <w:p>
            <w:pPr>
              <w:pStyle w:val="TableContents"/>
              <w:bidi w:val="0"/>
              <w:spacing w:before="0" w:after="283"/>
              <w:ind w:left="0" w:right="0" w:firstLine="140"/>
              <w:jc w:val="righ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29,883</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22,826</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7,057</w:t>
            </w:r>
          </w:p>
        </w:tc>
        <w:tc>
          <w:tcPr>
            <w:tcW w:w="49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63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34,339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(34,339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86" w:type="dxa"/>
            <w:gridSpan w:val="2"/>
            <w:tcBorders/>
            <w:shd w:fill="FFFFFF" w:val="clear"/>
            <w:vAlign w:val="center"/>
          </w:tcPr>
          <w:p>
            <w:pPr>
              <w:pStyle w:val="TableContents"/>
              <w:bidi w:val="0"/>
              <w:spacing w:before="0" w:after="283"/>
              <w:jc w:val="left"/>
              <w:rPr>
                <w:sz w:val="4"/>
                <w:szCs w:val="4"/>
              </w:rPr>
            </w:pPr>
            <w:r>
              <w:rPr>
                <w:sz w:val="4"/>
                <w:szCs w:val="4"/>
              </w:rPr>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right"/>
              <w:rPr/>
            </w:pPr>
            <w:r>
              <w:rPr/>
              <w:t> </w:t>
            </w:r>
          </w:p>
        </w:tc>
        <w:tc>
          <w:tcPr>
            <w:tcW w:w="986"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3,352</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right"/>
              <w:rPr/>
            </w:pPr>
            <w:r>
              <w:rPr/>
              <w:t> </w:t>
            </w:r>
          </w:p>
        </w:tc>
        <w:tc>
          <w:tcPr>
            <w:tcW w:w="160"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1,305</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2,047</w:t>
            </w:r>
          </w:p>
        </w:tc>
        <w:tc>
          <w:tcPr>
            <w:tcW w:w="491" w:type="dxa"/>
            <w:tcBorders/>
            <w:shd w:fill="CFF0FC" w:val="clear"/>
            <w:vAlign w:val="center"/>
          </w:tcPr>
          <w:p>
            <w:pPr>
              <w:pStyle w:val="TableContents"/>
              <w:bidi w:val="0"/>
              <w:spacing w:before="0" w:after="283"/>
              <w:ind w:left="0" w:right="0" w:firstLine="140"/>
              <w:jc w:val="lef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40" w:after="283"/>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three months ended March 31, 2024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951"/>
        <w:gridCol w:w="146"/>
        <w:gridCol w:w="211"/>
        <w:gridCol w:w="165"/>
        <w:gridCol w:w="784"/>
        <w:gridCol w:w="165"/>
        <w:gridCol w:w="165"/>
        <w:gridCol w:w="239"/>
        <w:gridCol w:w="165"/>
        <w:gridCol w:w="784"/>
        <w:gridCol w:w="146"/>
        <w:gridCol w:w="211"/>
        <w:gridCol w:w="157"/>
        <w:gridCol w:w="699"/>
        <w:gridCol w:w="217"/>
      </w:tblGrid>
      <w:tr>
        <w:trPr/>
        <w:tc>
          <w:tcPr>
            <w:tcW w:w="5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9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7"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680" w:type="dxa"/>
            <w:gridSpan w:val="11"/>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217" w:type="dxa"/>
            <w:tcBorders/>
            <w:shd w:fill="FFFFFF" w:val="clear"/>
            <w:vAlign w:val="center"/>
          </w:tcPr>
          <w:p>
            <w:pPr>
              <w:pStyle w:val="TableContents"/>
              <w:bidi w:val="0"/>
              <w:spacing w:before="0" w:after="283"/>
              <w:jc w:val="center"/>
              <w:rPr/>
            </w:pPr>
            <w:r>
              <w:rPr/>
              <w:t> </w:t>
            </w:r>
          </w:p>
        </w:tc>
      </w:tr>
      <w:tr>
        <w:trPr/>
        <w:tc>
          <w:tcPr>
            <w:tcW w:w="59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CROs, CMOs and other clinical development related third-party vendor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10,722</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7,980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2,742</w:t>
            </w:r>
          </w:p>
        </w:tc>
        <w:tc>
          <w:tcPr>
            <w:tcW w:w="217" w:type="dxa"/>
            <w:tcBorders/>
            <w:shd w:fill="CFF0FC" w:val="clear"/>
            <w:vAlign w:val="center"/>
          </w:tcPr>
          <w:p>
            <w:pPr>
              <w:pStyle w:val="TableContents"/>
              <w:bidi w:val="0"/>
              <w:spacing w:before="0" w:after="283"/>
              <w:jc w:val="left"/>
              <w:rPr/>
            </w:pPr>
            <w:r>
              <w:rPr/>
              <w:t> </w:t>
            </w:r>
          </w:p>
        </w:tc>
      </w:tr>
      <w:tr>
        <w:trPr/>
        <w:tc>
          <w:tcPr>
            <w:tcW w:w="59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5,952</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7,482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(1,530</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Milestone payment owed to Aurigene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right"/>
              <w:rPr/>
            </w:pPr>
            <w:r>
              <w:rPr/>
              <w:t> </w:t>
            </w:r>
          </w:p>
        </w:tc>
        <w:tc>
          <w:tcPr>
            <w:tcW w:w="165"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217" w:type="dxa"/>
            <w:tcBorders/>
            <w:shd w:fill="CFF0FC" w:val="clear"/>
            <w:vAlign w:val="center"/>
          </w:tcPr>
          <w:p>
            <w:pPr>
              <w:pStyle w:val="TableContents"/>
              <w:bidi w:val="0"/>
              <w:spacing w:before="0" w:after="283"/>
              <w:jc w:val="left"/>
              <w:rPr/>
            </w:pPr>
            <w:r>
              <w:rPr/>
              <w:t> </w:t>
            </w:r>
          </w:p>
        </w:tc>
      </w:tr>
      <w:tr>
        <w:trPr/>
        <w:tc>
          <w:tcPr>
            <w:tcW w:w="59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4,797</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4,276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521</w:t>
            </w:r>
          </w:p>
        </w:tc>
        <w:tc>
          <w:tcPr>
            <w:tcW w:w="217" w:type="dxa"/>
            <w:tcBorders/>
            <w:shd w:fill="FFFFFF" w:val="clear"/>
            <w:vAlign w:val="center"/>
          </w:tcPr>
          <w:p>
            <w:pPr>
              <w:pStyle w:val="TableContents"/>
              <w:bidi w:val="0"/>
              <w:spacing w:before="0" w:after="283"/>
              <w:jc w:val="left"/>
              <w:rPr/>
            </w:pPr>
            <w:r>
              <w:rPr/>
              <w:t> </w:t>
            </w:r>
          </w:p>
        </w:tc>
      </w:tr>
      <w:tr>
        <w:trPr/>
        <w:tc>
          <w:tcPr>
            <w:tcW w:w="595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3,412</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29,883</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7,057</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Research and development expenses for the three months ended March 31, 2024 were $29.9 million, compared to $22.8 million for the three months ended March 31, 2023. The increase of $7.1 million was primarily due to (i) a $5.0 million milestone payment owed to Aurigene in connection with the exclusive global license agreement entered into in June 2022 between the Company and Aurigene, or the Aurigene Agreement, (ii) increased spending on clinical operations and development-related activities as we continue to advance palazestrant into late-stage clinical trials, and (iii) an increase in non-cash stock-based compensation expense. The increase was offset by (i) decreased spending on clinical pharmacology studies and nonclinical research programs and (ii) $1.8 million one-time restructuring charge recorded in the first quarter of 2023.</w:t>
      </w:r>
    </w:p>
    <w:p>
      <w:pPr>
        <w:pStyle w:val="TextBody"/>
        <w:bidi w:val="0"/>
        <w:spacing w:before="24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for the three months ended March 31, 2024 were $4.5 million compared to $6.8 million for the three months ended March 31, 2023. The decrease of $2.3 million was primarily due to (i) decreased spending on corporate- and legal-related costs, and (ii) personnel-related expenses, including a $1.0 million one-time restructuring charge recorded in the first quarter of 2023.</w:t>
      </w:r>
    </w:p>
    <w:p>
      <w:pPr>
        <w:pStyle w:val="TextBody"/>
        <w:bidi w:val="0"/>
        <w:spacing w:before="240" w:after="283"/>
        <w:jc w:val="both"/>
        <w:rPr>
          <w:rFonts w:ascii="Arial" w:hAnsi="Arial"/>
          <w:i/>
          <w:color w:val="000000"/>
          <w:sz w:val="20"/>
        </w:rPr>
      </w:pPr>
      <w:r>
        <w:rPr>
          <w:rFonts w:ascii="Arial" w:hAnsi="Arial"/>
          <w:i/>
          <w:color w:val="000000"/>
          <w:sz w:val="20"/>
        </w:rPr>
        <w:t>Other income</w:t>
      </w:r>
    </w:p>
    <w:p>
      <w:pPr>
        <w:pStyle w:val="TextBody"/>
        <w:bidi w:val="0"/>
        <w:spacing w:before="240" w:after="283"/>
        <w:jc w:val="both"/>
        <w:rPr>
          <w:rFonts w:ascii="Arial" w:hAnsi="Arial"/>
          <w:color w:val="000000"/>
          <w:sz w:val="20"/>
        </w:rPr>
      </w:pPr>
      <w:r>
        <w:rPr>
          <w:rFonts w:ascii="Arial" w:hAnsi="Arial"/>
          <w:color w:val="000000"/>
          <w:sz w:val="20"/>
        </w:rPr>
        <w:t>Other income for the three months ended March 31, 2024 was $3.4 million, compared to $1.3 million for the three months ended March 31, 2023. The increase of $2.1 million was primarily due to an increase in interest income from our marketable securities..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40" w:after="283"/>
        <w:jc w:val="both"/>
        <w:rPr>
          <w:rFonts w:ascii="Arial" w:hAnsi="Arial"/>
          <w:i/>
          <w:color w:val="000000"/>
          <w:sz w:val="20"/>
        </w:rPr>
      </w:pPr>
      <w:r>
        <w:rPr>
          <w:rFonts w:ascii="Arial" w:hAnsi="Arial"/>
          <w:i/>
          <w:color w:val="000000"/>
          <w:sz w:val="20"/>
        </w:rPr>
        <w:t>Sources of liquidity</w:t>
      </w:r>
    </w:p>
    <w:p>
      <w:pPr>
        <w:pStyle w:val="TextBody"/>
        <w:bidi w:val="0"/>
        <w:spacing w:before="240" w:after="283"/>
        <w:jc w:val="both"/>
        <w:rPr>
          <w:rFonts w:ascii="Arial" w:hAnsi="Arial"/>
          <w:color w:val="000000"/>
          <w:sz w:val="20"/>
        </w:rPr>
      </w:pPr>
      <w:r>
        <w:rPr>
          <w:rFonts w:ascii="Arial" w:hAnsi="Arial"/>
          <w:color w:val="000000"/>
          <w:sz w:val="20"/>
        </w:rPr>
        <w:t>Since our inception, we have not generated any revenue from product sales and have incurred significant operating losses and negative cash flows from our operations. Our net losses were $31.0 million and $28.3 million for the three months ended March 31, 2024 and 2023, respectively. Through March 31, 2024, we had received aggregate gross proceeds of $535.8 million from sales of our common stock, convertible preferred stock and issuance of convertible promissory notes, stock option exercises, and sale of stock through the Company’s 2020 Employee Stock Purchase Plan, or ESPP.</w:t>
      </w:r>
    </w:p>
    <w:p>
      <w:pPr>
        <w:pStyle w:val="TextBody"/>
        <w:bidi w:val="0"/>
        <w:spacing w:before="240" w:after="283"/>
        <w:jc w:val="both"/>
        <w:rPr>
          <w:rFonts w:ascii="Times New Roman" w:hAnsi="Times New Roman"/>
          <w:sz w:val="20"/>
        </w:rPr>
      </w:pPr>
      <w:r>
        <w:rPr>
          <w:rFonts w:ascii="Arial" w:hAnsi="Arial"/>
          <w:color w:val="000000"/>
          <w:sz w:val="20"/>
        </w:rPr>
        <w:t>As of March 31, 2024, we had $249.0 million in cash, cash equivalents and marketable securities and accumulated deficit of $336.6 million. We had no debt outstanding as of March 31, 2024.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September 2023, we entered into a stock purchase agreement for a private placement of 13,211,381 shares of our common stock, at a price of $9.84 per share, to selected institutional and accredited investors, or the Private Placement, resulting in gross proceeds of approximately $130.0 million. After deducting offering expenses related to the Private Placement of approximately $0.3 million, the net proceeds to us from the Private Placement were approximately $129.7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September 5, 2023, we entered into a loan and security agreement, or the Loan Agreement, with Silicon Valley Bank, a division of First Citizens Bank &amp; Trust Company, or the Bank, which provides us with an aggregate principal amount of up to $50.0 million, or the Credit Facility, of which $25.0 million became available upon the closing of the Private Placement, and the remaining $25.0 million may be made available upon approval of the Bank in its discretion. The Credit Facility will mature on August 1, 2027. As of March 31, 2024, we had not drawn down from the Credit Facility, and had no other debt outstanding.</w:t>
      </w:r>
    </w:p>
    <w:p>
      <w:pPr>
        <w:pStyle w:val="TextBody"/>
        <w:bidi w:val="0"/>
        <w:spacing w:before="240" w:after="283"/>
        <w:jc w:val="both"/>
        <w:rPr>
          <w:rFonts w:ascii="Arial" w:hAnsi="Arial"/>
          <w:color w:val="000000"/>
          <w:sz w:val="20"/>
        </w:rPr>
      </w:pPr>
      <w:r>
        <w:rPr>
          <w:rFonts w:ascii="Arial" w:hAnsi="Arial"/>
          <w:color w:val="000000"/>
          <w:sz w:val="20"/>
        </w:rPr>
        <w:t>On January 5, 2024, we entered into a sales agreement, or the Sales Agreement, with Cowen and Company, LLC, or TD Cowen, as sales agent, pursuant to which we may offer and sell, from time to time, shares of our common stock, having an aggregate offering price of up to $150.0 million, or the ATM Shares. The sales, if any, of the ATM Shares will be made by any method permitted that is deemed to be an “at-the-market”, or ATM, equity offering as defined in Rule 415(a)(4) promulgated under the Securities Act, including sales made directly on or through the Nasdaq Global Select Market. We have agreed to pay TD Cowen a commission of up to 3.0% of the aggregate gross proceeds from any ATM Shares sold by TD Cowen. During the three months ended March 31, 2024, we issued 546,326 shares of our common stock under the ATM program for net proceeds of $7.9 million after deducting related issuance costs. As of March 31, 2024, approximately $141.8 million remained available for issuance under the Sales Agreement.</w:t>
      </w:r>
    </w:p>
    <w:p>
      <w:pPr>
        <w:pStyle w:val="TextBody"/>
        <w:bidi w:val="0"/>
        <w:spacing w:before="240" w:after="283"/>
        <w:jc w:val="both"/>
        <w:rPr>
          <w:rFonts w:ascii="Arial" w:hAnsi="Arial"/>
          <w:color w:val="000000"/>
          <w:sz w:val="20"/>
        </w:rPr>
      </w:pPr>
      <w:r>
        <w:rPr>
          <w:rFonts w:ascii="Arial" w:hAnsi="Arial"/>
          <w:color w:val="000000"/>
          <w:sz w:val="20"/>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240" w:after="283"/>
        <w:jc w:val="both"/>
        <w:rPr>
          <w:rFonts w:ascii="Times New Roman" w:hAnsi="Times New Roman"/>
          <w:sz w:val="20"/>
        </w:rPr>
      </w:pPr>
      <w:r>
        <w:rPr>
          <w:rFonts w:ascii="Arial" w:hAnsi="Arial"/>
          <w:color w:val="000000"/>
          <w:sz w:val="20"/>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Other than as noted above, we currently have no financing commitments, such as lines of credit or guarantees, that are expected to affect our liquidity over the next five years.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Future funding and material cash requirements</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pStyle w:val="TextBody"/>
        <w:bidi w:val="0"/>
        <w:spacing w:before="240" w:after="283"/>
        <w:jc w:val="both"/>
        <w:rPr>
          <w:rFonts w:ascii="Times New Roman" w:hAnsi="Times New Roman"/>
          <w:sz w:val="20"/>
        </w:rPr>
      </w:pPr>
      <w:r>
        <w:rPr>
          <w:rFonts w:ascii="Arial" w:hAnsi="Arial"/>
          <w:color w:val="000000"/>
          <w:sz w:val="20"/>
        </w:rPr>
        <w:t>We expect our cash, cash equivalents, and marketable securities as of March 31, 2024, as well as the available balance under the Credit Facility, will enable us to fund our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Refer to Note 10 of our notes to the condensed consolidated financial statements contained in this Quarterly Report on Form 10-Q for further information regarding our material cash requirements; other than as set forth therein, there have been no material changes outside the ordinary course of business during the three months ended March 31, 2024 to our commitments and contingencies disclosed in “Management’s Discussion and Analysis of Financial Condition and Results of Operations” included in our Annual Report on Form 10-K.</w:t>
      </w:r>
    </w:p>
    <w:p>
      <w:pPr>
        <w:pStyle w:val="TextBody"/>
        <w:bidi w:val="0"/>
        <w:spacing w:before="240" w:after="283"/>
        <w:jc w:val="both"/>
        <w:rPr>
          <w:rFonts w:ascii="Arial" w:hAnsi="Arial"/>
          <w:color w:val="000000"/>
          <w:sz w:val="20"/>
        </w:rPr>
      </w:pPr>
      <w:r>
        <w:rPr>
          <w:rFonts w:ascii="Arial" w:hAnsi="Arial"/>
          <w:color w:val="000000"/>
          <w:sz w:val="20"/>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progress, results and costs of product discovery, nonclinical studies and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prioritization and number of our research and development programs;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timing and outcome of regulatory review of our product candidates;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our ability to establish and maintain collaborations on favorable terms, if at all;</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achievement of milestones or occurrence of other developments that trigger payments under any collaboration agreements we enter into;</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are obligated to reimburse, or entitled to reimbursement of, clinical trial costs under collaboration agreements, if any;</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acquire or in-license other product candidates and technologies;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securing manufacturing arrangements for commercial production; and</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establishing or contracting for sales and marketing capabilities if we obtain regulatory approvals to market our product candidates.</w:t>
      </w:r>
    </w:p>
    <w:p>
      <w:pPr>
        <w:pStyle w:val="TextBody"/>
        <w:bidi w:val="0"/>
        <w:spacing w:before="240" w:after="283"/>
        <w:jc w:val="both"/>
        <w:rPr>
          <w:rFonts w:ascii="Times New Roman" w:hAnsi="Times New Roman"/>
          <w:sz w:val="20"/>
        </w:rPr>
      </w:pPr>
      <w:r>
        <w:rPr>
          <w:rFonts w:ascii="Arial" w:hAnsi="Arial"/>
          <w:color w:val="000000"/>
          <w:sz w:val="20"/>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240" w:after="283"/>
        <w:jc w:val="both"/>
        <w:rPr>
          <w:rFonts w:ascii="Arial" w:hAnsi="Arial"/>
          <w:color w:val="000000"/>
          <w:sz w:val="20"/>
        </w:rPr>
      </w:pPr>
      <w:r>
        <w:rPr>
          <w:rFonts w:ascii="Arial" w:hAnsi="Arial"/>
          <w:color w:val="000000"/>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both"/>
        <w:rPr>
          <w:rFonts w:ascii="Arial" w:hAnsi="Arial"/>
          <w:color w:val="000000"/>
          <w:sz w:val="20"/>
        </w:rPr>
      </w:pPr>
      <w:r>
        <w:rPr>
          <w:rFonts w:ascii="Arial" w:hAnsi="Arial"/>
          <w:color w:val="000000"/>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both"/>
        <w:rPr>
          <w:rFonts w:ascii="Arial" w:hAnsi="Arial"/>
          <w:i/>
          <w:color w:val="000000"/>
          <w:sz w:val="20"/>
        </w:rPr>
      </w:pPr>
      <w:r>
        <w:rPr>
          <w:rFonts w:ascii="Arial" w:hAnsi="Arial"/>
          <w:i/>
          <w:color w:val="000000"/>
          <w:sz w:val="20"/>
        </w:rPr>
        <w:t>Cash flows</w:t>
      </w:r>
    </w:p>
    <w:p>
      <w:pPr>
        <w:pStyle w:val="TextBody"/>
        <w:bidi w:val="0"/>
        <w:spacing w:before="240" w:after="283"/>
        <w:jc w:val="both"/>
        <w:rPr>
          <w:rFonts w:ascii="Arial" w:hAnsi="Arial"/>
          <w:color w:val="000000"/>
          <w:sz w:val="20"/>
        </w:rPr>
      </w:pPr>
      <w:r>
        <w:rPr>
          <w:rFonts w:ascii="Arial" w:hAnsi="Arial"/>
          <w:color w:val="000000"/>
          <w:sz w:val="20"/>
        </w:rPr>
        <w:t>The following table shows a summary of our cash flows for each of the periods presented:</w:t>
      </w:r>
    </w:p>
    <w:p>
      <w:pPr>
        <w:pStyle w:val="TextBody"/>
        <w:bidi w:val="0"/>
        <w:jc w:val="both"/>
        <w:rPr/>
      </w:pPr>
      <w:r>
        <w:rPr/>
        <w:t> </w:t>
      </w:r>
    </w:p>
    <w:tbl>
      <w:tblPr>
        <w:tblW w:w="7754" w:type="dxa"/>
        <w:jc w:val="left"/>
        <w:tblInd w:w="0" w:type="dxa"/>
        <w:tblLayout w:type="fixed"/>
        <w:tblCellMar>
          <w:top w:w="28" w:type="dxa"/>
          <w:left w:w="28" w:type="dxa"/>
          <w:bottom w:w="28" w:type="dxa"/>
          <w:right w:w="28" w:type="dxa"/>
        </w:tblCellMar>
      </w:tblPr>
      <w:tblGrid>
        <w:gridCol w:w="4786"/>
        <w:gridCol w:w="211"/>
        <w:gridCol w:w="160"/>
        <w:gridCol w:w="826"/>
        <w:gridCol w:w="182"/>
        <w:gridCol w:w="160"/>
        <w:gridCol w:w="232"/>
        <w:gridCol w:w="160"/>
        <w:gridCol w:w="826"/>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6"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operating activities</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(23,496</w:t>
            </w:r>
          </w:p>
        </w:tc>
        <w:tc>
          <w:tcPr>
            <w:tcW w:w="18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(20,391</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provided by investing activities</w:t>
            </w:r>
          </w:p>
        </w:tc>
        <w:tc>
          <w:tcPr>
            <w:tcW w:w="211"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(20,144</w:t>
            </w:r>
          </w:p>
        </w:tc>
        <w:tc>
          <w:tcPr>
            <w:tcW w:w="18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37,387</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both"/>
              <w:rPr>
                <w:rFonts w:ascii="Arial" w:hAnsi="Arial"/>
                <w:color w:val="000000"/>
                <w:sz w:val="20"/>
              </w:rPr>
            </w:pPr>
            <w:r>
              <w:rPr>
                <w:rFonts w:ascii="Arial" w:hAnsi="Arial"/>
                <w:color w:val="000000"/>
                <w:sz w:val="20"/>
              </w:rPr>
              <w:t>Net cash provided by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8,821</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and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(34,819</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Operating activities</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during the three months ended March 31, 2024 consisted primarily of our net loss of $31.0 million and non-cash interest income on our marketable securities of $2.4 million, offset by a net increase in operating assets and liabilities of $4.8 million and non-cash charges of $5.0 million. The net loss consisted primarily of $29.9 million in research and development expenses and $4.5 million in general and administrative expenses. The non-cash charges consisted primarily of stock-based compensation expense of $4.9 million and depreciation and amortization expenses of $0.1 million, and non-cash lease expense of less than $0.1 million, net of cash payments of $0.3 million. The net increase in operating assets and liabilities was primarily due to (i) an increase of $5.0 million in accounts payable, which is primarily due to the timing of a milestone payment to Aurigene, and (ii) a decrease of $1.6 million in prepaid expenses and other current assets, which is primarily due to the reimbursable research and development costs received from a collaboration partner. The changes were partially offset by (i) an increase of $1.3 million in other assets and long-term deposits, and (ii) a decrease of $0.4 million in accrued and other current liabilities.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during the three months ended March 31, 2023 consisted primarily of our net loss of $28.3 million, offset by non-cash charges of $3.9 million and a net increase in net operating assets and liabilities of $4.0 million. The net loss consisted primarily of $22.8 million in research and development expenses and $6.8 million in general and administrative expenses. The non-cash charges consisted primarily of stock-based compensation of $4.6 million and depreciation and amortization expenses of $0.1 million, and non-cash lease expense of less than $0.1 million, net of cash payments of $0.3 million. These non-cash expenses were primarily offset by non-cash interest income on our marketable securities of $0.9 million. The net increase in operating assets and liabilities was primarily due to (i) a net increase of $2.7 million in other current liabilities, (ii) a net increase of $1.0 million in prepaid expenses and other current assets and (iii) a net increase of $0.3 million in accounts payable, which is primarily a result of timing of invoice payment.</w:t>
      </w:r>
    </w:p>
    <w:p>
      <w:pPr>
        <w:pStyle w:val="TextBody"/>
        <w:bidi w:val="0"/>
        <w:spacing w:before="240" w:after="283"/>
        <w:jc w:val="both"/>
        <w:rPr>
          <w:rFonts w:ascii="Arial" w:hAnsi="Arial"/>
          <w:i/>
          <w:color w:val="000000"/>
          <w:sz w:val="20"/>
        </w:rPr>
      </w:pPr>
      <w:r>
        <w:rPr>
          <w:rFonts w:ascii="Arial" w:hAnsi="Arial"/>
          <w:i/>
          <w:color w:val="000000"/>
          <w:sz w:val="20"/>
        </w:rPr>
        <w:t>Investing Activities</w:t>
      </w:r>
    </w:p>
    <w:p>
      <w:pPr>
        <w:pStyle w:val="TextBody"/>
        <w:bidi w:val="0"/>
        <w:spacing w:before="240" w:after="283"/>
        <w:jc w:val="both"/>
        <w:rPr>
          <w:rFonts w:ascii="Times New Roman" w:hAnsi="Times New Roman"/>
          <w:sz w:val="20"/>
        </w:rPr>
      </w:pPr>
      <w:r>
        <w:rPr>
          <w:rFonts w:ascii="Arial" w:hAnsi="Arial"/>
          <w:color w:val="000000"/>
          <w:sz w:val="20"/>
        </w:rPr>
        <w:t>Net cash used in investing activities during the three months ended March 31, 2024 was predominantly due to purchases of marketable securities which were offset by maturities of marketable securities.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during the three months ended March 31, 2023 was predominantly due to maturities of marketable securities which were offset by the purchases of marketable securities.</w:t>
      </w:r>
    </w:p>
    <w:p>
      <w:pPr>
        <w:pStyle w:val="TextBody"/>
        <w:bidi w:val="0"/>
        <w:spacing w:before="240" w:after="283"/>
        <w:jc w:val="both"/>
        <w:rPr>
          <w:rFonts w:ascii="Arial" w:hAnsi="Arial"/>
          <w:i/>
          <w:color w:val="000000"/>
          <w:sz w:val="20"/>
        </w:rPr>
      </w:pPr>
      <w:r>
        <w:rPr>
          <w:rFonts w:ascii="Arial" w:hAnsi="Arial"/>
          <w:i/>
          <w:color w:val="000000"/>
          <w:sz w:val="20"/>
        </w:rPr>
        <w:t>Financing activities</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during the three months ended March 31, 2024 consists of $7.9 million in net proceeds from the sale of ATM Shares and $0.9 million from the exercise of stock options.</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during the three months ended March 31, 2023 represents $0.2 million in net proceeds from the exercise of stock options.</w:t>
      </w:r>
    </w:p>
    <w:p>
      <w:pPr>
        <w:pStyle w:val="TextBody"/>
        <w:bidi w:val="0"/>
        <w:spacing w:before="240" w:after="283"/>
        <w:jc w:val="both"/>
        <w:rPr>
          <w:rFonts w:ascii="Arial" w:hAnsi="Arial"/>
          <w:b/>
          <w:color w:val="000000"/>
          <w:sz w:val="20"/>
        </w:rPr>
      </w:pPr>
      <w:r>
        <w:rPr>
          <w:rFonts w:ascii="Arial" w:hAnsi="Arial"/>
          <w:b/>
          <w:color w:val="000000"/>
          <w:sz w:val="20"/>
        </w:rPr>
        <w:t>Critical accounting policies and significant judgements and estimates</w:t>
      </w:r>
    </w:p>
    <w:p>
      <w:pPr>
        <w:pStyle w:val="TextBody"/>
        <w:bidi w:val="0"/>
        <w:spacing w:before="240" w:after="283"/>
        <w:jc w:val="both"/>
        <w:rPr>
          <w:rFonts w:ascii="Arial" w:hAnsi="Arial"/>
          <w:color w:val="000000"/>
          <w:sz w:val="20"/>
        </w:rPr>
      </w:pPr>
      <w:r>
        <w:rPr>
          <w:rFonts w:ascii="Arial" w:hAnsi="Arial"/>
          <w:color w:val="000000"/>
          <w:sz w:val="20"/>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sz w:val="20"/>
        </w:rPr>
      </w:pPr>
      <w:r>
        <w:rPr>
          <w:rFonts w:ascii="Arial" w:hAnsi="Arial"/>
          <w:color w:val="000000"/>
          <w:sz w:val="20"/>
        </w:rPr>
        <w:t>During the three months ended March 31, 2024, there were no material changes to our critical accounting policies and estimates as reported in our Annual Report on Form 10-K.</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1" w:name="item3quantitative"/>
      <w:bookmarkEnd w:id="11"/>
      <w:r>
        <w:rPr>
          <w:rFonts w:ascii="Arial" w:hAnsi="Arial"/>
          <w:b/>
          <w:color w:val="000000"/>
          <w:sz w:val="20"/>
        </w:rPr>
        <w:t>Item 3. Quantitative and Qualitative Disclosures About Market Risk.</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2024, there were no material changes to our market risk disclosures reported in our Annual Report on Form 10-K.</w:t>
      </w:r>
    </w:p>
    <w:p>
      <w:pPr>
        <w:pStyle w:val="TextBody"/>
        <w:bidi w:val="0"/>
        <w:spacing w:before="240" w:after="283"/>
        <w:jc w:val="both"/>
        <w:rPr>
          <w:rFonts w:ascii="Arial" w:hAnsi="Arial"/>
          <w:b/>
          <w:color w:val="000000"/>
          <w:sz w:val="20"/>
        </w:rPr>
      </w:pPr>
      <w:bookmarkStart w:id="12" w:name="item4controlsandprocedures"/>
      <w:bookmarkEnd w:id="12"/>
      <w:r>
        <w:rPr>
          <w:rFonts w:ascii="Arial" w:hAnsi="Arial"/>
          <w:b/>
          <w:color w:val="000000"/>
          <w:sz w:val="20"/>
        </w:rPr>
        <w:t>Item 4. Controls and Procedures.</w:t>
      </w:r>
    </w:p>
    <w:p>
      <w:pPr>
        <w:pStyle w:val="TextBody"/>
        <w:bidi w:val="0"/>
        <w:spacing w:before="240" w:after="283"/>
        <w:jc w:val="both"/>
        <w:rPr>
          <w:rFonts w:ascii="Arial" w:hAnsi="Arial"/>
          <w:b/>
          <w:color w:val="000000"/>
          <w:sz w:val="20"/>
        </w:rPr>
      </w:pPr>
      <w:r>
        <w:rPr>
          <w:rFonts w:ascii="Arial" w:hAnsi="Arial"/>
          <w:b/>
          <w:color w:val="000000"/>
          <w:sz w:val="20"/>
        </w:rPr>
        <w:t>Evaluation of Disclosure Controls and Procedures</w:t>
      </w:r>
    </w:p>
    <w:p>
      <w:pPr>
        <w:pStyle w:val="TextBody"/>
        <w:bidi w:val="0"/>
        <w:spacing w:before="240" w:after="283"/>
        <w:jc w:val="both"/>
        <w:rPr>
          <w:rFonts w:ascii="Times New Roman" w:hAnsi="Times New Roman"/>
          <w:sz w:val="20"/>
        </w:rPr>
      </w:pPr>
      <w:r>
        <w:rPr>
          <w:rFonts w:ascii="Arial" w:hAnsi="Arial"/>
          <w:color w:val="000000"/>
          <w:sz w:val="20"/>
        </w:rPr>
        <w:t>As of March 31, 2024,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before="240" w:after="283"/>
        <w:jc w:val="both"/>
        <w:rPr>
          <w:rFonts w:ascii="Arial" w:hAnsi="Arial"/>
          <w:color w:val="000000"/>
          <w:sz w:val="20"/>
        </w:rPr>
      </w:pPr>
      <w:r>
        <w:rPr>
          <w:rFonts w:ascii="Arial" w:hAnsi="Arial"/>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2024, the design and operation of our disclosure controls and procedures were effective at a reasonable assurance level.</w:t>
      </w:r>
    </w:p>
    <w:p>
      <w:pPr>
        <w:pStyle w:val="TextBody"/>
        <w:bidi w:val="0"/>
        <w:spacing w:before="240" w:after="283"/>
        <w:jc w:val="both"/>
        <w:rPr>
          <w:rFonts w:ascii="Arial" w:hAnsi="Arial"/>
          <w:b/>
          <w:color w:val="000000"/>
          <w:sz w:val="20"/>
        </w:rPr>
      </w:pPr>
      <w:r>
        <w:rPr>
          <w:rFonts w:ascii="Arial" w:hAnsi="Arial"/>
          <w:b/>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Rules 13a-15(d) and 15d-15(d) of the Exchange Act that occurred during the three months ended March 31, 2024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13" w:name="partiiotherinformation_169197"/>
      <w:bookmarkEnd w:id="13"/>
      <w:r>
        <w:rPr>
          <w:rFonts w:ascii="Arial" w:hAnsi="Arial"/>
          <w:b/>
          <w:color w:val="000000"/>
          <w:sz w:val="20"/>
        </w:rPr>
        <w:t>PART II-OTHER INFORMATION</w:t>
      </w:r>
    </w:p>
    <w:p>
      <w:pPr>
        <w:pStyle w:val="TextBody"/>
        <w:bidi w:val="0"/>
        <w:spacing w:before="0" w:after="240"/>
        <w:jc w:val="left"/>
        <w:rPr>
          <w:rFonts w:ascii="Arial" w:hAnsi="Arial"/>
          <w:b/>
          <w:color w:val="000000"/>
          <w:sz w:val="20"/>
        </w:rPr>
      </w:pPr>
      <w:bookmarkStart w:id="14" w:name="item1legalproceedings_105808"/>
      <w:bookmarkEnd w:id="14"/>
      <w:r>
        <w:rPr>
          <w:rFonts w:ascii="Arial" w:hAnsi="Arial"/>
          <w:b/>
          <w:color w:val="000000"/>
          <w:sz w:val="20"/>
        </w:rPr>
        <w:t>Item 1. Legal Proceedings.</w:t>
      </w:r>
    </w:p>
    <w:p>
      <w:pPr>
        <w:pStyle w:val="TextBody"/>
        <w:bidi w:val="0"/>
        <w:spacing w:before="0" w:after="240"/>
        <w:jc w:val="both"/>
        <w:rPr>
          <w:rFonts w:ascii="Arial" w:hAnsi="Arial"/>
          <w:color w:val="000000"/>
          <w:sz w:val="20"/>
        </w:rPr>
      </w:pPr>
      <w:r>
        <w:rPr>
          <w:rFonts w:ascii="Arial" w:hAnsi="Arial"/>
          <w:color w:val="000000"/>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0" w:after="240"/>
        <w:jc w:val="left"/>
        <w:rPr>
          <w:rFonts w:ascii="Arial" w:hAnsi="Arial"/>
          <w:b/>
          <w:color w:val="000000"/>
          <w:sz w:val="20"/>
        </w:rPr>
      </w:pPr>
      <w:bookmarkStart w:id="15" w:name="item_1a_risk_factors"/>
      <w:bookmarkEnd w:id="15"/>
      <w:r>
        <w:rPr>
          <w:rFonts w:ascii="Arial" w:hAnsi="Arial"/>
          <w:b/>
          <w:color w:val="000000"/>
          <w:sz w:val="20"/>
        </w:rPr>
        <w:t>Item 1A. Risk Factors.</w:t>
      </w:r>
    </w:p>
    <w:p>
      <w:pPr>
        <w:pStyle w:val="TextBody"/>
        <w:bidi w:val="0"/>
        <w:spacing w:before="0" w:after="240"/>
        <w:jc w:val="both"/>
        <w:rPr>
          <w:rFonts w:ascii="Arial" w:hAnsi="Arial"/>
          <w:i/>
          <w:color w:val="000000"/>
          <w:sz w:val="20"/>
        </w:rPr>
      </w:pPr>
      <w:r>
        <w:rPr>
          <w:rFonts w:ascii="Arial" w:hAnsi="Arial"/>
          <w:i/>
          <w:color w:val="000000"/>
          <w:sz w:val="20"/>
        </w:rPr>
        <w:t>Our business involves significant risks, some of which are described below. You should carefully consider the following risks, as well as the other information in this Quarterly Report on Form 10</w:t>
        <w:noBreakHyphen/>
        <w:t>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pStyle w:val="TextBody"/>
        <w:bidi w:val="0"/>
        <w:jc w:val="center"/>
        <w:rPr>
          <w:rFonts w:ascii="Arial" w:hAnsi="Arial"/>
          <w:b/>
          <w:color w:val="000000"/>
          <w:sz w:val="20"/>
        </w:rPr>
      </w:pPr>
      <w:r>
        <w:rPr>
          <w:rFonts w:ascii="Arial" w:hAnsi="Arial"/>
          <w:b/>
          <w:color w:val="000000"/>
          <w:sz w:val="20"/>
        </w:rPr>
        <w:t>RISK FACTOR SUMMARY</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no products approved for commercial sale, which may make it difficult for you to evaluate our current business and predict our future success and viability.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incurred net losses since inception, and we expect to continue to incur net losses for the foreseeable future. In addition, we may be unable to continue as a going concern over the long term.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or OP-3136, we will be unable to generate product revenue and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Even if approved, palazestrant or OP-3136 may not achieve adequate market acceptance among physicians, patients, healthcare payors and others in the medical community necessary for commercial success.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may be unable to obtain U.S. or foreign regulatory approvals and, as a result, may be unable to commercialize palazestrant, OP-3136 or any future product candidate we may develop.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Unfavorable U.S. and global macroeconomic and geopolitical conditions could adversely affect our business, financial condition and results of operations.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In order to successfully implement our plans and strategies, we will need to grow the size of our organization, and we may experience difficulties in managing this growth.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Our internal information technology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adverse consequences resulting from such compromise, including but not limited to regulatory investigations or actions; litigation; fines and penalties; disruptions of our business operations; reputational harm; loss of revenue or profits; or other adverse consequences.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Our success depends on our ability to protect our intellectual property and our proprietary technologies.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b/>
          <w:color w:val="000000"/>
          <w:sz w:val="20"/>
        </w:rPr>
      </w:pPr>
      <w:r>
        <w:rPr>
          <w:rFonts w:ascii="Arial" w:hAnsi="Arial"/>
          <w:b/>
          <w:color w:val="000000"/>
          <w:sz w:val="20"/>
        </w:rPr>
        <w:t>Risks related to our financial position and the need for additional capital</w:t>
      </w:r>
    </w:p>
    <w:p>
      <w:pPr>
        <w:pStyle w:val="TextBody"/>
        <w:bidi w:val="0"/>
        <w:spacing w:before="0" w:after="240"/>
        <w:jc w:val="both"/>
        <w:rPr>
          <w:rFonts w:ascii="Arial" w:hAnsi="Arial"/>
          <w:b/>
          <w:i/>
          <w:color w:val="000000"/>
          <w:sz w:val="20"/>
        </w:rPr>
      </w:pPr>
      <w:r>
        <w:rPr>
          <w:rFonts w:ascii="Arial" w:hAnsi="Arial"/>
          <w:b/>
          <w:i/>
          <w:color w:val="000000"/>
          <w:sz w:val="20"/>
        </w:rPr>
        <w:t>We have no products approved for commercial sale, which may make it difficult for you to evaluate our current business and predict our future success and viability.</w:t>
      </w:r>
    </w:p>
    <w:p>
      <w:pPr>
        <w:pStyle w:val="TextBody"/>
        <w:bidi w:val="0"/>
        <w:spacing w:before="0" w:after="240"/>
        <w:jc w:val="both"/>
        <w:rPr>
          <w:rFonts w:ascii="Arial" w:hAnsi="Arial"/>
          <w:color w:val="000000"/>
          <w:sz w:val="20"/>
        </w:rPr>
      </w:pPr>
      <w:r>
        <w:rPr>
          <w:rFonts w:ascii="Arial" w:hAnsi="Arial"/>
          <w:color w:val="000000"/>
          <w:sz w:val="20"/>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(OP-1250), securing related intellectual property rights, conducting nonclinical studies, conducting a Phase 1/2 clinical study of palazestrant, initiating a Phase 3 clinical trial of palazestrant, and conducting nonclinical studies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pStyle w:val="TextBody"/>
        <w:bidi w:val="0"/>
        <w:spacing w:before="0" w:after="240"/>
        <w:jc w:val="both"/>
        <w:rPr>
          <w:rFonts w:ascii="Times New Roman" w:hAnsi="Times New Roman"/>
          <w:sz w:val="20"/>
        </w:rPr>
      </w:pPr>
      <w:r>
        <w:rPr>
          <w:rFonts w:ascii="Arial" w:hAnsi="Arial"/>
          <w:color w:val="000000"/>
          <w:sz w:val="20"/>
        </w:rPr>
        <w:t>In addition, we may encounter unforeseen expenses, difficulties, complications, delays and other known and unknown factors and risks frequently experienced by clinical-stage biopharmaceutical companies in rapidly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pStyle w:val="TextBody"/>
        <w:bidi w:val="0"/>
        <w:spacing w:before="0" w:after="240"/>
        <w:jc w:val="both"/>
        <w:rPr>
          <w:rFonts w:ascii="Arial" w:hAnsi="Arial"/>
          <w:color w:val="000000"/>
          <w:sz w:val="20"/>
        </w:rPr>
      </w:pPr>
      <w:r>
        <w:rPr>
          <w:rFonts w:ascii="Arial" w:hAnsi="Arial"/>
          <w:color w:val="000000"/>
          <w:sz w:val="20"/>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or the EMA, or other regulatory authorities to perform clinical trials or nonclinical studies in addition to those that we currently anticipate. Other unanticipated costs may also arise. In addition, if we obtain marketing approval for palazestrant, OP-3136 or other product candidates,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pStyle w:val="TextBody"/>
        <w:bidi w:val="0"/>
        <w:spacing w:before="0" w:after="240"/>
        <w:jc w:val="both"/>
        <w:rPr>
          <w:rFonts w:ascii="Arial" w:hAnsi="Arial"/>
          <w:color w:val="000000"/>
          <w:sz w:val="20"/>
        </w:rPr>
      </w:pPr>
      <w:r>
        <w:rPr>
          <w:rFonts w:ascii="Arial" w:hAnsi="Arial"/>
          <w:color w:val="000000"/>
          <w:sz w:val="20"/>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market volatility, the ongoing Russia-Ukraine conflict and related sanctions, armed conflict between Israel and groups based in surrounding regions, inflation rates and the responses by central banking authorities to control such inflation, monetary supply shifts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pStyle w:val="TextBody"/>
        <w:bidi w:val="0"/>
        <w:spacing w:before="0" w:after="240"/>
        <w:jc w:val="both"/>
        <w:rPr>
          <w:rFonts w:ascii="Times New Roman" w:hAnsi="Times New Roman"/>
          <w:sz w:val="20"/>
        </w:rPr>
      </w:pPr>
      <w:r>
        <w:rPr>
          <w:rFonts w:ascii="Arial" w:hAnsi="Arial"/>
          <w:color w:val="000000"/>
          <w:sz w:val="20"/>
        </w:rPr>
        <w:t>We will be required to obtain additional funding through public or private equity offerings, debt financings, collaborations and licensing arrangements or other sources, which may dilute our stockholders, or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efforts. We also could be required to seek collaborators for palazestrant, OP-3136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We have incurred net losses since inception, and we expect to continue to incur net losses for the foreseeable future. In addition, we may be unable to continue as a going concern over the long term.</w:t>
      </w:r>
    </w:p>
    <w:p>
      <w:pPr>
        <w:pStyle w:val="TextBody"/>
        <w:bidi w:val="0"/>
        <w:spacing w:before="0" w:after="240"/>
        <w:jc w:val="both"/>
        <w:rPr>
          <w:rFonts w:ascii="Arial" w:hAnsi="Arial"/>
          <w:color w:val="000000"/>
          <w:sz w:val="20"/>
        </w:rPr>
      </w:pPr>
      <w:r>
        <w:rPr>
          <w:rFonts w:ascii="Arial" w:hAnsi="Arial"/>
          <w:color w:val="000000"/>
          <w:sz w:val="20"/>
        </w:rPr>
        <w:t>We have incurred net losses in each reporting period since our inception, have not generated any revenue from product sales to date and have financed our operations principally through sales of the ATM Shares under the Sales Agreement pursuant to the ATM, the Private Placement, our initial public offering and private financings. We have incurred net losses of $31.0 million and $28.3 million for the three months ended March 31, 2024 and 2023, respectively. We had an accumulated deficit of $336.6 million as of March 31, 2024. Our losses have resulted principally from expenses incurred in research and development of palazestrant and from management and administrative costs and other expenses that we have incurred while building our business infrastructure. Our lead product candidate, palazestrant, is in clinical trials. As a result, we expect that it will be several years, if ever, before we have a commercialized product and generate revenue from product sales. Even if we succeed in receiving marketing approval for and commercializing palazestrant in one of our lead indications, we expect that we will continue to incur substantial research and development and other expenses as we continue the clinical development programs for palazestrant in other indications or for OP-3136.</w:t>
      </w:r>
    </w:p>
    <w:p>
      <w:pPr>
        <w:pStyle w:val="TextBody"/>
        <w:bidi w:val="0"/>
        <w:spacing w:before="0" w:after="240"/>
        <w:jc w:val="both"/>
        <w:rPr>
          <w:rFonts w:ascii="Arial" w:hAnsi="Arial"/>
          <w:color w:val="000000"/>
          <w:sz w:val="20"/>
        </w:rPr>
      </w:pPr>
      <w:r>
        <w:rPr>
          <w:rFonts w:ascii="Arial" w:hAnsi="Arial"/>
          <w:color w:val="000000"/>
          <w:sz w:val="20"/>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0" w:after="240"/>
        <w:jc w:val="both"/>
        <w:rPr>
          <w:rFonts w:ascii="Arial" w:hAnsi="Arial"/>
          <w:color w:val="000000"/>
          <w:sz w:val="20"/>
        </w:rPr>
      </w:pPr>
      <w:r>
        <w:rPr>
          <w:rFonts w:ascii="Arial" w:hAnsi="Arial"/>
          <w:color w:val="000000"/>
          <w:sz w:val="20"/>
        </w:rPr>
        <w:t>In addition, our condensed consolidated financial statements for the three months ended March 31, 2024 and 2023 included elsewhere in this Quarterly Report on Form 10-Q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pStyle w:val="TextBody"/>
        <w:bidi w:val="0"/>
        <w:spacing w:before="0" w:after="240"/>
        <w:jc w:val="left"/>
        <w:rPr>
          <w:rFonts w:ascii="Arial" w:hAnsi="Arial"/>
          <w:b/>
          <w:i/>
          <w:color w:val="000000"/>
          <w:sz w:val="20"/>
        </w:rPr>
      </w:pPr>
      <w:r>
        <w:rPr>
          <w:rFonts w:ascii="Arial" w:hAnsi="Arial"/>
          <w:b/>
          <w:i/>
          <w:color w:val="000000"/>
          <w:sz w:val="20"/>
        </w:rPr>
        <w:t>We have never generated revenue from product sales and may never be profitable.</w:t>
      </w:r>
    </w:p>
    <w:p>
      <w:pPr>
        <w:pStyle w:val="TextBody"/>
        <w:bidi w:val="0"/>
        <w:spacing w:before="0" w:after="240"/>
        <w:jc w:val="both"/>
        <w:rPr>
          <w:rFonts w:ascii="Arial" w:hAnsi="Arial"/>
          <w:color w:val="000000"/>
          <w:sz w:val="20"/>
        </w:rPr>
      </w:pPr>
      <w:r>
        <w:rPr>
          <w:rFonts w:ascii="Arial" w:hAnsi="Arial"/>
          <w:color w:val="000000"/>
          <w:sz w:val="20"/>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completing clinical and nonclinical development of our product candidates and programs and identifying and developing new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seeking and obtaining marketing approvals for any product candidates that we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launching and commercializing product candidates for which we obtain marketing approval by establishing a sales force, marketing, medical affairs and distribution infrastructure or, alternatively, collaborating with a commercialization partner;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achieving adequate access and reimbursement by government and third-party payors for product candidates that we develop;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obtaining market acceptance of product candidates that we develop as viable treatment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addressing any competing technological and market developments;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negotiating favorable terms in any collaboration, licensing or other arrangements into which we may enter and performing our obligations in such collaborations;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maintaining, protecting, enforcing and expanding our portfolio of intellectual property rights, including patents, trade secrets and know-how;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defending against third-party interference, infringement or other intellectual property-related claims, if any;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attracting, hiring and retaining qualified personnel.</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pStyle w:val="TextBody"/>
        <w:bidi w:val="0"/>
        <w:jc w:val="both"/>
        <w:rPr>
          <w:rFonts w:ascii="Arial" w:hAnsi="Arial"/>
          <w:b/>
          <w:color w:val="000000"/>
          <w:sz w:val="20"/>
        </w:rPr>
      </w:pPr>
      <w:r>
        <w:rPr>
          <w:rFonts w:ascii="Arial" w:hAnsi="Arial"/>
          <w:b/>
          <w:color w:val="000000"/>
          <w:sz w:val="20"/>
        </w:rPr>
        <w:t>The terms of the Loan Agreement place restrictions on our operating and financial flexibility. If we raise additional capital through debt financing, the terms of any new debt could further restrict our ability to operate our business.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In September 2023, we entered into a loan and security agreement, or the Loan Agreement, with Silicon Valley Bank, a division of First-Citizens Bank &amp; Trust Company, or the Bank, providing us with an aggregate principal amount of up to $50.0 million, or the Credit Facility, of which $25.0 million was available as of March 31, 2024 and up to $25.0 million of which may be made available upon approval of the Bank in its discretion. The Credit Facility will mature on August 1, 2027.</w:t>
      </w:r>
    </w:p>
    <w:p>
      <w:pPr>
        <w:pStyle w:val="TextBody"/>
        <w:bidi w:val="0"/>
        <w:spacing w:before="0" w:after="240"/>
        <w:jc w:val="both"/>
        <w:rPr>
          <w:rFonts w:ascii="Arial" w:hAnsi="Arial"/>
          <w:color w:val="000000"/>
          <w:sz w:val="20"/>
        </w:rPr>
      </w:pPr>
      <w:r>
        <w:rPr>
          <w:rFonts w:ascii="Arial" w:hAnsi="Arial"/>
          <w:color w:val="000000"/>
          <w:sz w:val="20"/>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0" w:after="240"/>
        <w:jc w:val="both"/>
        <w:rPr>
          <w:rFonts w:ascii="Times New Roman" w:hAnsi="Times New Roman"/>
          <w:sz w:val="20"/>
        </w:rPr>
      </w:pPr>
      <w:r>
        <w:rPr>
          <w:rFonts w:ascii="Arial" w:hAnsi="Arial"/>
          <w:color w:val="000000"/>
          <w:sz w:val="20"/>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events that it interprets as a material adverse change as delineated in the Loan Agreement, payment defaults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or breaches of certain affirmative or negative covenants,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pStyle w:val="TextBody"/>
        <w:bidi w:val="0"/>
        <w:spacing w:before="0" w:after="240"/>
        <w:jc w:val="both"/>
        <w:rPr>
          <w:rFonts w:ascii="Arial" w:hAnsi="Arial"/>
          <w:b/>
          <w:color w:val="000000"/>
          <w:sz w:val="20"/>
        </w:rPr>
      </w:pPr>
      <w:r>
        <w:rPr>
          <w:rFonts w:ascii="Arial" w:hAnsi="Arial"/>
          <w:b/>
          <w:color w:val="000000"/>
          <w:sz w:val="20"/>
        </w:rPr>
        <w:t>Risks related to the discovery, development and commercialization of our product candidates</w:t>
      </w:r>
    </w:p>
    <w:p>
      <w:pPr>
        <w:pStyle w:val="TextBody"/>
        <w:bidi w:val="0"/>
        <w:spacing w:before="0" w:after="240"/>
        <w:jc w:val="both"/>
        <w:rPr>
          <w:rFonts w:ascii="Arial" w:hAnsi="Arial"/>
          <w:b/>
          <w:i/>
          <w:color w:val="000000"/>
          <w:sz w:val="20"/>
        </w:rPr>
      </w:pPr>
      <w:r>
        <w:rPr>
          <w:rFonts w:ascii="Arial" w:hAnsi="Arial"/>
          <w:b/>
          <w:i/>
          <w:color w:val="000000"/>
          <w:sz w:val="20"/>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pStyle w:val="TextBody"/>
        <w:bidi w:val="0"/>
        <w:spacing w:before="0" w:after="240"/>
        <w:jc w:val="both"/>
        <w:rPr>
          <w:rFonts w:ascii="Arial" w:hAnsi="Arial"/>
          <w:color w:val="000000"/>
          <w:sz w:val="20"/>
        </w:rPr>
      </w:pPr>
      <w:r>
        <w:rPr>
          <w:rFonts w:ascii="Arial" w:hAnsi="Arial"/>
          <w:color w:val="000000"/>
          <w:sz w:val="20"/>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or OP-3136, we will be unable to generate product revenue and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 results of subsequent clinical trials. We have a limited operating history and to date have not demonstrated our ability to complete large-scale clinical trials.</w:t>
      </w:r>
    </w:p>
    <w:p>
      <w:pPr>
        <w:pStyle w:val="TextBody"/>
        <w:bidi w:val="0"/>
        <w:spacing w:before="0" w:after="240"/>
        <w:jc w:val="both"/>
        <w:rPr>
          <w:rFonts w:ascii="Arial" w:hAnsi="Arial"/>
          <w:color w:val="000000"/>
          <w:sz w:val="20"/>
        </w:rPr>
      </w:pPr>
      <w:r>
        <w:rPr>
          <w:rFonts w:ascii="Arial" w:hAnsi="Arial"/>
          <w:color w:val="000000"/>
          <w:sz w:val="20"/>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OP-3136 or product candidates we may develop in the future may also be undergoing surgical, radiation and chemotherapy treatments and may be using other approved products or investigational new drugs, which can cause side effects or adverse events that are unrelated to palazestrant, OP-3136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We do not know whether our current clinical trial of palazestrant,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to market, our ability to create long-term stockholder value will be limited.</w:t>
      </w:r>
    </w:p>
    <w:p>
      <w:pPr>
        <w:pStyle w:val="TextBody"/>
        <w:bidi w:val="0"/>
        <w:spacing w:before="0" w:after="240"/>
        <w:jc w:val="both"/>
        <w:rPr>
          <w:rFonts w:ascii="Arial" w:hAnsi="Arial"/>
          <w:color w:val="000000"/>
          <w:sz w:val="20"/>
        </w:rPr>
      </w:pPr>
      <w:r>
        <w:rPr>
          <w:rFonts w:ascii="Arial" w:hAnsi="Arial"/>
          <w:color w:val="000000"/>
          <w:sz w:val="20"/>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bidi w:val="0"/>
        <w:spacing w:before="0" w:after="240"/>
        <w:jc w:val="both"/>
        <w:rPr>
          <w:rFonts w:ascii="Arial" w:hAnsi="Arial"/>
          <w:color w:val="000000"/>
          <w:sz w:val="20"/>
        </w:rPr>
      </w:pPr>
      <w:r>
        <w:rPr>
          <w:rFonts w:ascii="Arial" w:hAnsi="Arial"/>
          <w:color w:val="000000"/>
          <w:sz w:val="20"/>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for support of a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rendering our clinical data insufficient for approval, which may lead to the FDA, European Commission or comparable foreign regulatory authorities delaying, limiting or denying approval of palazestrant or OP-3136, including and any other indication we are seeking for approval under palazestrant or OP-3136.</w:t>
      </w:r>
    </w:p>
    <w:p>
      <w:pPr>
        <w:pStyle w:val="TextBody"/>
        <w:bidi w:val="0"/>
        <w:spacing w:before="0" w:after="240"/>
        <w:jc w:val="both"/>
        <w:rPr>
          <w:rFonts w:ascii="Arial" w:hAnsi="Arial"/>
          <w:b/>
          <w:i/>
          <w:color w:val="000000"/>
          <w:sz w:val="20"/>
        </w:rPr>
      </w:pPr>
      <w:r>
        <w:rPr>
          <w:rFonts w:ascii="Arial" w:hAnsi="Arial"/>
          <w:b/>
          <w:i/>
          <w:color w:val="000000"/>
          <w:sz w:val="20"/>
        </w:rPr>
        <w:t>The regulatory approval processes of the FDA, European Commission and comparable foreign authorities are lengthy, time consuming and inherently unpredictable, and if we are ultimately unable to obtain regulatory approval for palazestrant, OP-3136 or any future product candidates we may develop,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The time required to obtain approval by the FDA, European Commission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Applications for palazestrant or OP-3136 could fail to receive regulatory approval for many reasons, including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the design, implementation or results of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population studied in the clinical trial may not be sufficiently broad or representative to assure efficacy and safety in the full population for which we seek approval;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our interpretation of data from nonclinical studies or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data collected from clinical trials of palazestrant or OP-3136 may not be sufficient to support the submission of a NDA, or other submission or to obtain regulatory approval in the United States or elsewhere;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be unable to demonstrate to the FDA, European Commission or other comparable foreign regulatory authorities that palazestrant's or OP-3136’s risk-benefit ratio for its proposed indication is acceptable;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EMA, the European Commission, the competent authorities of EU Member States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the approval policies or regulations of the FDA, EMA, European Commission or other comparable foreign regulatory authorities may significantly change in a manner rendering our clinical data insufficient for approval.</w:t>
      </w:r>
    </w:p>
    <w:p>
      <w:pPr>
        <w:pStyle w:val="TextBody"/>
        <w:bidi w:val="0"/>
        <w:spacing w:before="0" w:after="240"/>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or REMS, or comparable foreign strategy. Certain regulatory authorities may grant approval contingent on the performance of costly post-marketing clinical trials or may approve palazestrant or OP-3136 with a label that does not include the labeling claims necessary or desirable for successful.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Delays in clinical trials are common and have many causes, and any delay could result in increased costs to us and jeopardize or delay our ability to obtain regulatory approval and commence product sales.</w:t>
      </w:r>
    </w:p>
    <w:p>
      <w:pPr>
        <w:pStyle w:val="TextBody"/>
        <w:bidi w:val="0"/>
        <w:spacing w:before="0" w:after="240"/>
        <w:jc w:val="both"/>
        <w:rPr>
          <w:rFonts w:ascii="Times New Roman" w:hAnsi="Times New Roman"/>
          <w:sz w:val="20"/>
        </w:rPr>
      </w:pPr>
      <w:r>
        <w:rPr>
          <w:rFonts w:ascii="Arial" w:hAnsi="Arial"/>
          <w:color w:val="000000"/>
          <w:sz w:val="20"/>
        </w:rPr>
        <w:t>We may experience delays in clinical trials of palazestrant, OP-3136 or any future product candidate we may develop. Our planned clinical trials may not begin on time, have an effective design, enroll a sufficient number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of patients, or be completed on schedule, if at all. Our clinical trials can be delayed for a variety of reasons, including delays related to:</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FDA, EMA, the European Commission or comparable foreign regulatory authorities disagreeing as to the design or implementation of our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obtaining regulatory authorizations to commence a trial or reaching a consensus with regulatory authorities on trial design;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obtaining approval from one or more institutional review boards, or IRBs;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changes to clinical trial protocol;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clinical sites deviating from trial protocol or dropping out of a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manufacturing sufficient quantities of product candidates or obtaining sufficient quantities of combination therapies for use in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subjects failing to enroll or remain in our trial at the rate we expect, or failing to return for post- treatment follow-up;</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subjects choosing an alternative treatment for the indication for which we are developing palazestrant or OP-3136, or participating in competing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lack of adequate funding to continue the clinical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subjects experiencing severe or unexpected drug-related adverse effects;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regulatory authorities imposing a clinical hold;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disruptions at the FDA and other agencies or regulatory authorities, including as a result of legislative actions or a government shutdown;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occurrence of serious adverse events in trials of the same class of agents conducted by other companies;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selection of clinical end points that require prolonged periods of clinical observation or analysis of the resulting data;</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shutdowns, either temporarily or permanently, of any facility manufacturing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requirements, or infections or cross-contaminations of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in the manufacturing process;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any changes to our manufacturing process that may be necessary or desired;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third-party contractors not performing data collection or analysis in a timely or accurate manner; 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0" w:after="240"/>
        <w:jc w:val="both"/>
        <w:rPr>
          <w:rFonts w:ascii="Times New Roman" w:hAnsi="Times New Roman"/>
          <w:sz w:val="20"/>
        </w:rPr>
      </w:pPr>
      <w:r>
        <w:rPr>
          <w:rFonts w:ascii="Arial" w:hAnsi="Arial"/>
          <w:color w:val="000000"/>
          <w:sz w:val="20"/>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 xml:space="preserve">or comparable foreign regulatory authorities. Such authorities may impose such a suspension, variation or termination due to a number of factors, including failure to conduct the clinical trial in accordance with regulatory requirements or our clinical protocols, inspection of the clinical trial operations or trial site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pStyle w:val="TextBody"/>
        <w:bidi w:val="0"/>
        <w:spacing w:before="0" w:after="240"/>
        <w:jc w:val="both"/>
        <w:rPr>
          <w:rFonts w:ascii="Arial" w:hAnsi="Arial"/>
          <w:color w:val="000000"/>
          <w:sz w:val="20"/>
        </w:rPr>
      </w:pPr>
      <w:r>
        <w:rPr>
          <w:rFonts w:ascii="Arial" w:hAnsi="Arial"/>
          <w:color w:val="000000"/>
          <w:sz w:val="20"/>
        </w:rPr>
        <w:t>Further, conducting clinical trials in foreign countries, as we may do for palazestrant, OP-3136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0" w:after="240"/>
        <w:jc w:val="both"/>
        <w:rPr>
          <w:rFonts w:ascii="Arial" w:hAnsi="Arial"/>
          <w:color w:val="000000"/>
          <w:sz w:val="20"/>
        </w:rPr>
      </w:pPr>
      <w:r>
        <w:rPr>
          <w:rFonts w:ascii="Arial" w:hAnsi="Arial"/>
          <w:color w:val="000000"/>
          <w:sz w:val="20"/>
        </w:rPr>
        <w:t>If we experience delays in the completion of, or termination of, any clinical trial of palazestrant, OP-3136 or any product candidates we may develop in the future, the commercial prospects of palazestrant, OP-3136 or any product candidates we may develop in the future will be harmed, and our ability to generate product revenues from palazestrant, OP-3136 or any product candidates we may develop in the future will be delayed. Moreover, any delays in completing our clinical trials will increase our costs, slow down palazestrant’s, OP-3136's or any product candidates we may develop in the future’s development and approval process and jeopardize our ability to commence product sales and generate revenues.</w:t>
      </w:r>
    </w:p>
    <w:p>
      <w:pPr>
        <w:pStyle w:val="TextBody"/>
        <w:bidi w:val="0"/>
        <w:spacing w:before="0" w:after="240"/>
        <w:jc w:val="both"/>
        <w:rPr>
          <w:rFonts w:ascii="Arial" w:hAnsi="Arial"/>
          <w:color w:val="000000"/>
          <w:sz w:val="20"/>
        </w:rPr>
      </w:pPr>
      <w:r>
        <w:rPr>
          <w:rFonts w:ascii="Arial" w:hAnsi="Arial"/>
          <w:color w:val="000000"/>
          <w:sz w:val="20"/>
        </w:rPr>
        <w:t>In addition, many of the factors that cause, or lead to, termination, variation or suspension of, or a delay in the commencement or completion of, clinical trials may also ultimately lead to the denial of regulatory approval of palazestrant, OP-3136 or any product candidates we may develop in the future. Any delays in our clinical trials that occur as a result could shorten any period during which we may have the exclusive right to commercialize palazestrant, OP-3136 or any product candidates we may develop in the future and our competitors may be able to bring products to market before we do, and the commercial viability of palazestrant, OP-3136 or any product candidates we may develop in the future could be significantly reduced. Any of these occurrences may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pStyle w:val="TextBody"/>
        <w:bidi w:val="0"/>
        <w:spacing w:before="0" w:after="240"/>
        <w:jc w:val="both"/>
        <w:rPr>
          <w:rFonts w:ascii="Times New Roman" w:hAnsi="Times New Roman"/>
          <w:sz w:val="20"/>
        </w:rPr>
      </w:pPr>
      <w:r>
        <w:rPr>
          <w:rFonts w:ascii="Arial" w:hAnsi="Arial"/>
          <w:color w:val="000000"/>
          <w:sz w:val="20"/>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0" w:after="240"/>
        <w:jc w:val="both"/>
        <w:rPr>
          <w:rFonts w:ascii="Arial" w:hAnsi="Arial"/>
          <w:b/>
          <w:i/>
          <w:color w:val="000000"/>
          <w:sz w:val="20"/>
        </w:rPr>
      </w:pPr>
      <w:r>
        <w:rPr>
          <w:rFonts w:ascii="Arial" w:hAnsi="Arial"/>
          <w:b/>
          <w:i/>
          <w:color w:val="000000"/>
          <w:sz w:val="20"/>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pStyle w:val="TextBody"/>
        <w:bidi w:val="0"/>
        <w:spacing w:before="0" w:after="240"/>
        <w:jc w:val="both"/>
        <w:rPr>
          <w:rFonts w:ascii="Arial" w:hAnsi="Arial"/>
          <w:color w:val="000000"/>
          <w:sz w:val="20"/>
        </w:rPr>
      </w:pPr>
      <w:r>
        <w:rPr>
          <w:rFonts w:ascii="Arial" w:hAnsi="Arial"/>
          <w:color w:val="000000"/>
          <w:sz w:val="20"/>
        </w:rPr>
        <w:t>We are currently focused on pursuing a variety of target indications for palazestrant, and we have expended, and plan to continue to expend, significant resources to pursue these and other indications for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0" w:after="240"/>
        <w:jc w:val="both"/>
        <w:rPr>
          <w:rFonts w:ascii="Arial" w:hAnsi="Arial"/>
          <w:color w:val="000000"/>
          <w:sz w:val="20"/>
        </w:rPr>
      </w:pPr>
      <w:r>
        <w:rPr>
          <w:rFonts w:ascii="Arial" w:hAnsi="Arial"/>
          <w:color w:val="000000"/>
          <w:sz w:val="20"/>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Even if approved, palazestrant or OP-3136 may not achieve adequate market acceptance among physicians, patients, healthcare payors and others in the medical community necessary for commercial success.</w:t>
      </w:r>
    </w:p>
    <w:p>
      <w:pPr>
        <w:pStyle w:val="TextBody"/>
        <w:bidi w:val="0"/>
        <w:spacing w:before="0" w:after="240"/>
        <w:jc w:val="both"/>
        <w:rPr>
          <w:rFonts w:ascii="Arial" w:hAnsi="Arial"/>
          <w:color w:val="000000"/>
          <w:sz w:val="20"/>
        </w:rPr>
      </w:pPr>
      <w:r>
        <w:rPr>
          <w:rFonts w:ascii="Arial" w:hAnsi="Arial"/>
          <w:color w:val="000000"/>
          <w:sz w:val="20"/>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efficacy and safety profile as demonstrated in clinical trials compared to alternative treatments;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timing of market introduction of the product candidate as well as competitive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clinical indications for which the product candidate is approved;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restrictions on the use of palazestrant or OP-3136, such as boxed warnings or contraindications in labeling, or a REMS, or comparable foreign strategy, if any, which may not be required of alternative treatments and competitor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potential and perceived advantages of product candidates over alternative treatments;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cost of treatment in relation to alternative treatments;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pricing and the availability of coverage and adequate reimbursement by third-party payors, including government authorities;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 xml:space="preserve">the availability of palazestrant or </w:t>
      </w:r>
      <w:r>
        <w:rPr>
          <w:rFonts w:ascii="Arial" w:hAnsi="Arial"/>
          <w:color w:val="000000"/>
          <w:sz w:val="20"/>
        </w:rPr>
        <w:t xml:space="preserve">OP-3136 </w:t>
      </w:r>
      <w:r>
        <w:rPr>
          <w:rFonts w:ascii="Arial" w:hAnsi="Arial"/>
          <w:color w:val="231F20"/>
          <w:sz w:val="20"/>
        </w:rPr>
        <w:t>for use as a combination therapy;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relative convenience and ease of administration;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willingness of the target patient population to try new therapies and of physicians to prescribe these therapies;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effectiveness of sales and marketing efforts;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unfavorable publicity relating to palazestrant, OP-3136 or similar approved products or product candidates in development by third parties;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approval of other new therapies for the same indications.</w:t>
      </w:r>
    </w:p>
    <w:p>
      <w:pPr>
        <w:pStyle w:val="TextBody"/>
        <w:bidi w:val="0"/>
        <w:spacing w:before="0" w:after="240"/>
        <w:jc w:val="both"/>
        <w:rPr>
          <w:rFonts w:ascii="Arial" w:hAnsi="Arial"/>
          <w:color w:val="000000"/>
          <w:sz w:val="20"/>
        </w:rPr>
      </w:pPr>
      <w:r>
        <w:rPr>
          <w:rFonts w:ascii="Arial" w:hAnsi="Arial"/>
          <w:color w:val="000000"/>
          <w:sz w:val="20"/>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experience delays or difficulties in the enrollment and/or maintenance of patients in clinical trials, our clinical development activities could be delayed or otherwise adversely affected.</w:t>
      </w:r>
    </w:p>
    <w:p>
      <w:pPr>
        <w:pStyle w:val="TextBody"/>
        <w:bidi w:val="0"/>
        <w:spacing w:before="0" w:after="240"/>
        <w:jc w:val="both"/>
        <w:rPr>
          <w:rFonts w:ascii="Arial" w:hAnsi="Arial"/>
          <w:color w:val="000000"/>
          <w:sz w:val="20"/>
        </w:rPr>
      </w:pPr>
      <w:r>
        <w:rPr>
          <w:rFonts w:ascii="Arial" w:hAnsi="Arial"/>
          <w:color w:val="000000"/>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before="0" w:after="240"/>
        <w:jc w:val="both"/>
        <w:rPr>
          <w:rFonts w:ascii="Arial" w:hAnsi="Arial"/>
          <w:color w:val="000000"/>
          <w:sz w:val="20"/>
        </w:rPr>
      </w:pPr>
      <w:r>
        <w:rPr>
          <w:rFonts w:ascii="Arial" w:hAnsi="Arial"/>
          <w:color w:val="000000"/>
          <w:sz w:val="20"/>
        </w:rPr>
        <w:t>Patient enrollment may also be affected if our competitors have ongoing clinical trials for product candidates that are under development for the same indications as palazestrant, OP-3136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size and nature of the patient population;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severity of the disease under investigation;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availability and efficacy of approved drugs for the disease under investigation;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patient eligibility criteria for the trial in question as defined in the protocol;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perceived risks and benefits of the product candidate under study;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efforts to facilitate timely enrollment in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patient referral practices of physicians;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ability to monitor patients adequately during and after treatment;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proximity and availability of clinical trial sites for prospective patients;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continued enrollment of prospective patients by clinical trial sites;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risk that patients enrolled in clinical trials will drop out of the trials before completion or, because they may be late-stage cancer patients, will not survive the full terms of the clinical trials;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level of resources that clinical sites have to conduct a growing number of clinical studies.</w:t>
      </w:r>
    </w:p>
    <w:p>
      <w:pPr>
        <w:pStyle w:val="TextBody"/>
        <w:bidi w:val="0"/>
        <w:spacing w:before="0" w:after="240"/>
        <w:jc w:val="both"/>
        <w:rPr>
          <w:rFonts w:ascii="Arial" w:hAnsi="Arial"/>
          <w:color w:val="000000"/>
          <w:sz w:val="20"/>
        </w:rPr>
      </w:pPr>
      <w:r>
        <w:rPr>
          <w:rFonts w:ascii="Arial" w:hAnsi="Arial"/>
          <w:color w:val="000000"/>
          <w:sz w:val="20"/>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 we may develop and jeopardize our ability to obtain marketing approval for the sale of palazestrant, OP-3136 or any product candidate we may develop in the future. Furthermore, even if we are able to enroll a sufficient number of patients for our clinical trials, we may have difficulty maintaining enrollment of such patients in our clinical trials.</w:t>
      </w:r>
    </w:p>
    <w:p>
      <w:pPr>
        <w:pStyle w:val="TextBody"/>
        <w:bidi w:val="0"/>
        <w:spacing w:before="0" w:after="240"/>
        <w:jc w:val="both"/>
        <w:rPr>
          <w:rFonts w:ascii="Arial" w:hAnsi="Arial"/>
          <w:b/>
          <w:i/>
          <w:color w:val="000000"/>
          <w:sz w:val="20"/>
        </w:rPr>
      </w:pPr>
      <w:r>
        <w:rPr>
          <w:rFonts w:ascii="Arial" w:hAnsi="Arial"/>
          <w:b/>
          <w:i/>
          <w:color w:val="000000"/>
          <w:sz w:val="20"/>
        </w:rPr>
        <w:t>We intend to develop palazestrant, and may develop OP-3136 or future product candidates, in combination with other therapies, which exposes us to additional risks.</w:t>
      </w:r>
    </w:p>
    <w:p>
      <w:pPr>
        <w:pStyle w:val="TextBody"/>
        <w:bidi w:val="0"/>
        <w:spacing w:before="0" w:after="240"/>
        <w:jc w:val="both"/>
        <w:rPr>
          <w:rFonts w:ascii="Arial" w:hAnsi="Arial"/>
          <w:color w:val="000000"/>
          <w:sz w:val="20"/>
        </w:rPr>
      </w:pPr>
      <w:r>
        <w:rPr>
          <w:rFonts w:ascii="Arial" w:hAnsi="Arial"/>
          <w:color w:val="000000"/>
          <w:sz w:val="20"/>
        </w:rPr>
        <w:t>We intend to develop palazestrant, and may develop OP-3136 or other future product candidates, in combination with one or more other approved or unapproved therapies to treat cancer or other diseases. For example, we have a Phase 1/2 clinical study of palazestrant in a combination trial with a CDK4/6 inhibitor, and additional Phase 1/2 clinical studies of palazestrant in combination with another CDK4/6 inhibitor and with a PI3Ka inhibitor.</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we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OP-3136 or any future product candidate we may develop, are replaced as the standard of care for the indications we choose for palazestrant, OP-3136 or any future product candidate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pStyle w:val="TextBody"/>
        <w:bidi w:val="0"/>
        <w:spacing w:before="0" w:after="240"/>
        <w:jc w:val="both"/>
        <w:rPr>
          <w:rFonts w:ascii="Arial" w:hAnsi="Arial"/>
          <w:color w:val="000000"/>
          <w:sz w:val="20"/>
        </w:rPr>
      </w:pPr>
      <w:r>
        <w:rPr>
          <w:rFonts w:ascii="Arial" w:hAnsi="Arial"/>
          <w:color w:val="000000"/>
          <w:sz w:val="20"/>
        </w:rPr>
        <w:t>We also may choose to evaluate palazestrant, OP-3136 or future product candidates in combination with one or more cancer therapies that have not yet been approved for marketing by the FDA, European Commission or comparable foreign regulatory authorities. We will not be able to market and sell palazestrant, OP-3136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including the potential for serious adverse effects, delay in their clinical trials and lack of FDA, European Commission or comparable foreign regulatory approval.</w:t>
      </w:r>
    </w:p>
    <w:p>
      <w:pPr>
        <w:pStyle w:val="TextBody"/>
        <w:bidi w:val="0"/>
        <w:spacing w:before="0" w:after="240"/>
        <w:jc w:val="both"/>
        <w:rPr>
          <w:rFonts w:ascii="Arial" w:hAnsi="Arial"/>
          <w:color w:val="000000"/>
          <w:sz w:val="20"/>
        </w:rPr>
      </w:pPr>
      <w:r>
        <w:rPr>
          <w:rFonts w:ascii="Arial" w:hAnsi="Arial"/>
          <w:color w:val="000000"/>
          <w:sz w:val="20"/>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pStyle w:val="TextBody"/>
        <w:bidi w:val="0"/>
        <w:spacing w:before="0" w:after="240"/>
        <w:jc w:val="both"/>
        <w:rPr>
          <w:rFonts w:ascii="Arial" w:hAnsi="Arial"/>
          <w:b/>
          <w:i/>
          <w:color w:val="000000"/>
          <w:sz w:val="20"/>
        </w:rPr>
      </w:pPr>
      <w:r>
        <w:rPr>
          <w:rFonts w:ascii="Arial" w:hAnsi="Arial"/>
          <w:b/>
          <w:i/>
          <w:color w:val="000000"/>
          <w:sz w:val="20"/>
        </w:rPr>
        <w:t>Risks associated with the in-licensing or acquisition of drug candidates could cause substantial delays in the preclinical and clinical development of our drug candidates.</w:t>
      </w:r>
    </w:p>
    <w:p>
      <w:pPr>
        <w:pStyle w:val="TextBody"/>
        <w:bidi w:val="0"/>
        <w:spacing w:before="0" w:after="240"/>
        <w:jc w:val="both"/>
        <w:rPr>
          <w:rFonts w:ascii="Times New Roman" w:hAnsi="Times New Roman"/>
          <w:sz w:val="20"/>
        </w:rPr>
      </w:pPr>
      <w:r>
        <w:rPr>
          <w:rFonts w:ascii="Arial" w:hAnsi="Arial"/>
          <w:color w:val="000000"/>
          <w:sz w:val="20"/>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the development and commercialization of our product candidates. Our rights to use any licensed intellectual property may be subject to the continuation of and our compliance with the terms of any such agreements.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jc w:val="both"/>
        <w:rPr>
          <w:rFonts w:ascii="Arial" w:hAnsi="Arial"/>
          <w:b/>
          <w:i/>
          <w:color w:val="000000"/>
          <w:sz w:val="20"/>
        </w:rPr>
      </w:pPr>
      <w:r>
        <w:rPr>
          <w:rFonts w:ascii="Arial" w:hAnsi="Arial"/>
          <w:b/>
          <w:i/>
          <w:color w:val="000000"/>
          <w:sz w:val="20"/>
        </w:rPr>
        <w:t>The incidence and prevalence for target patient populations of palazestrant and OP-3136 are based on estimates and third-party sources.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color w:val="000000"/>
          <w:sz w:val="20"/>
        </w:rPr>
      </w:pPr>
      <w:r>
        <w:rPr>
          <w:rFonts w:ascii="Arial" w:hAnsi="Arial"/>
          <w:color w:val="000000"/>
          <w:sz w:val="20"/>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pStyle w:val="TextBody"/>
        <w:bidi w:val="0"/>
        <w:spacing w:before="0" w:after="240"/>
        <w:jc w:val="both"/>
        <w:rPr>
          <w:rFonts w:ascii="Arial" w:hAnsi="Arial"/>
          <w:color w:val="000000"/>
          <w:sz w:val="20"/>
        </w:rPr>
      </w:pPr>
      <w:r>
        <w:rPr>
          <w:rFonts w:ascii="Arial" w:hAnsi="Arial"/>
          <w:color w:val="000000"/>
          <w:sz w:val="20"/>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b/>
          <w:i/>
          <w:color w:val="000000"/>
          <w:sz w:val="20"/>
        </w:rPr>
      </w:pPr>
      <w:r>
        <w:rPr>
          <w:rFonts w:ascii="Arial" w:hAnsi="Arial"/>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0" w:after="240"/>
        <w:jc w:val="both"/>
        <w:rPr>
          <w:rFonts w:ascii="Arial" w:hAnsi="Arial"/>
          <w:color w:val="000000"/>
          <w:sz w:val="20"/>
        </w:rPr>
      </w:pPr>
      <w:r>
        <w:rPr>
          <w:rFonts w:ascii="Arial" w:hAnsi="Arial"/>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pStyle w:val="TextBody"/>
        <w:bidi w:val="0"/>
        <w:spacing w:before="0" w:after="240"/>
        <w:jc w:val="both"/>
        <w:rPr>
          <w:rFonts w:ascii="Times New Roman" w:hAnsi="Times New Roman"/>
          <w:sz w:val="20"/>
        </w:rPr>
      </w:pPr>
      <w:r>
        <w:rPr>
          <w:rFonts w:ascii="Arial" w:hAnsi="Arial"/>
          <w:color w:val="000000"/>
          <w:sz w:val="20"/>
        </w:rPr>
        <w:t>Further, others, including regulatory authorities, may not accept or agree with our assumptions, estimates, calculations, conclusions or analyses or may interpret or weigh the importance of data differently, which could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40"/>
        <w:jc w:val="both"/>
        <w:rPr>
          <w:rFonts w:ascii="Arial" w:hAnsi="Arial"/>
          <w:color w:val="000000"/>
          <w:sz w:val="20"/>
        </w:rPr>
      </w:pPr>
      <w:r>
        <w:rPr>
          <w:rFonts w:ascii="Arial" w:hAnsi="Arial"/>
          <w:color w:val="000000"/>
          <w:sz w:val="20"/>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pStyle w:val="TextBody"/>
        <w:bidi w:val="0"/>
        <w:spacing w:before="0" w:after="240"/>
        <w:jc w:val="both"/>
        <w:rPr>
          <w:rFonts w:ascii="Arial" w:hAnsi="Arial"/>
          <w:color w:val="000000"/>
          <w:sz w:val="20"/>
        </w:rPr>
      </w:pPr>
      <w:r>
        <w:rPr>
          <w:rFonts w:ascii="Arial" w:hAnsi="Arial"/>
          <w:color w:val="00000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 which we seek approval. This may make it difficult for us to replace existing therapies with palazestrant, OP-3136 and any product candidate that we may develop in the future.</w:t>
      </w:r>
    </w:p>
    <w:p>
      <w:pPr>
        <w:pStyle w:val="TextBody"/>
        <w:bidi w:val="0"/>
        <w:spacing w:before="0" w:after="240"/>
        <w:jc w:val="both"/>
        <w:rPr>
          <w:rFonts w:ascii="Arial" w:hAnsi="Arial"/>
          <w:color w:val="000000"/>
          <w:sz w:val="20"/>
        </w:rPr>
      </w:pPr>
      <w:r>
        <w:rPr>
          <w:rFonts w:ascii="Arial" w:hAnsi="Arial"/>
          <w:color w:val="000000"/>
          <w:sz w:val="20"/>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before="0" w:after="240"/>
        <w:jc w:val="both"/>
        <w:rPr>
          <w:rFonts w:ascii="Times New Roman" w:hAnsi="Times New Roman"/>
          <w:sz w:val="20"/>
        </w:rPr>
      </w:pPr>
      <w:r>
        <w:rPr>
          <w:rFonts w:ascii="Arial" w:hAnsi="Arial"/>
          <w:color w:val="000000"/>
          <w:sz w:val="20"/>
        </w:rPr>
        <w:t>For example, if we are successful in developing palazestrant, it may compete against existing products and product candidates in development, to the extent any such product candidates are approved, for the treatment of estrogen receptor- positive, or ER+, breast cancer, including fulvestrant, marketed as Faslodex® by AstraZeneca PLC and or any generic equivalents of Faslodex® that are marketed or in development; elacestrant, marketed as ORSERDU</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by Stemline Therapeutics Inc.; giredestrant (GDC-9545), being developed by Roche Holding AG/Genentech, Inc.; camizestrant (AZD9833), being developed by AstraZeneca PLC; imlunestrant (LY3484356), being developed by Eli Lilly and Co.; vepdegestrant (ARV-471), being developed by Arvinas, Inc. in partnership with Pfizer, Inc.; and lasofoxifene, being developed by Sermonix Pharmaceuticals. There are also a number of KAT6 inhibitor product candidates in development that may compete with OP-3136 including PF-07248144, which is being developed by Pfizer.</w:t>
      </w:r>
    </w:p>
    <w:p>
      <w:pPr>
        <w:pStyle w:val="TextBody"/>
        <w:bidi w:val="0"/>
        <w:spacing w:before="0" w:after="240"/>
        <w:jc w:val="both"/>
        <w:rPr>
          <w:rFonts w:ascii="Times New Roman" w:hAnsi="Times New Roman"/>
          <w:sz w:val="20"/>
        </w:rPr>
      </w:pPr>
      <w:r>
        <w:rPr>
          <w:rFonts w:ascii="Arial" w:hAnsi="Arial"/>
          <w:color w:val="000000"/>
          <w:sz w:val="20"/>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pStyle w:val="TextBody"/>
        <w:bidi w:val="0"/>
        <w:spacing w:before="0" w:after="240"/>
        <w:jc w:val="both"/>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or product candidates we may develop in the future obsolete, less competitive or not economical. If we are unable to compete effectively, our opportunity to generate revenue from the sale of our product we may develop, if approved, would be adversely affected.</w:t>
      </w:r>
    </w:p>
    <w:p>
      <w:pPr>
        <w:pStyle w:val="TextBody"/>
        <w:bidi w:val="0"/>
        <w:spacing w:before="0" w:after="240"/>
        <w:jc w:val="both"/>
        <w:rPr>
          <w:rFonts w:ascii="Arial" w:hAnsi="Arial"/>
          <w:b/>
          <w:i/>
          <w:color w:val="000000"/>
          <w:sz w:val="20"/>
        </w:rPr>
      </w:pPr>
      <w:r>
        <w:rPr>
          <w:rFonts w:ascii="Arial" w:hAnsi="Arial"/>
          <w:b/>
          <w:i/>
          <w:color w:val="000000"/>
          <w:sz w:val="20"/>
        </w:rPr>
        <w:t>Changes in methods of palazestrant manufacturing or formulation may result in additional costs or delay.</w:t>
      </w:r>
    </w:p>
    <w:p>
      <w:pPr>
        <w:pStyle w:val="TextBody"/>
        <w:bidi w:val="0"/>
        <w:spacing w:before="0" w:after="240"/>
        <w:jc w:val="both"/>
        <w:rPr>
          <w:rFonts w:ascii="Arial" w:hAnsi="Arial"/>
          <w:color w:val="000000"/>
          <w:sz w:val="20"/>
        </w:rPr>
      </w:pPr>
      <w:r>
        <w:rPr>
          <w:rFonts w:ascii="Arial" w:hAnsi="Arial"/>
          <w:color w:val="000000"/>
          <w:sz w:val="20"/>
        </w:rPr>
        <w:t>As palazestrant progresses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pStyle w:val="TextBody"/>
        <w:bidi w:val="0"/>
        <w:spacing w:before="0" w:after="240"/>
        <w:jc w:val="both"/>
        <w:rPr>
          <w:rFonts w:ascii="Arial" w:hAnsi="Arial"/>
          <w:b/>
          <w:i/>
          <w:color w:val="000000"/>
          <w:sz w:val="20"/>
        </w:rPr>
      </w:pPr>
      <w:r>
        <w:rPr>
          <w:rFonts w:ascii="Arial" w:hAnsi="Arial"/>
          <w:b/>
          <w:i/>
          <w:color w:val="000000"/>
          <w:sz w:val="20"/>
        </w:rPr>
        <w:t>Any product candidate we develop may become subject to unfavorable third-party coverage and reimbursement practices, as well as pricing regulations.</w:t>
      </w:r>
    </w:p>
    <w:p>
      <w:pPr>
        <w:pStyle w:val="TextBody"/>
        <w:bidi w:val="0"/>
        <w:spacing w:before="0" w:after="240"/>
        <w:jc w:val="both"/>
        <w:rPr>
          <w:rFonts w:ascii="Arial" w:hAnsi="Arial"/>
          <w:color w:val="000000"/>
          <w:sz w:val="20"/>
        </w:rPr>
      </w:pPr>
      <w:r>
        <w:rPr>
          <w:rFonts w:ascii="Arial" w:hAnsi="Arial"/>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OP-3136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0" w:after="240"/>
        <w:jc w:val="both"/>
        <w:rPr>
          <w:rFonts w:ascii="Times New Roman" w:hAnsi="Times New Roman"/>
          <w:sz w:val="20"/>
        </w:rPr>
      </w:pPr>
      <w:r>
        <w:rPr>
          <w:rFonts w:ascii="Arial" w:hAnsi="Arial"/>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spacing w:before="0" w:after="240"/>
        <w:jc w:val="both"/>
        <w:rPr>
          <w:rFonts w:ascii="Arial" w:hAnsi="Arial"/>
          <w:color w:val="000000"/>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0" w:after="240"/>
        <w:jc w:val="both"/>
        <w:rPr>
          <w:rFonts w:ascii="Arial" w:hAnsi="Arial"/>
          <w:color w:val="000000"/>
          <w:sz w:val="20"/>
        </w:rPr>
      </w:pPr>
      <w:r>
        <w:rPr>
          <w:rFonts w:ascii="Arial" w:hAnsi="Arial"/>
          <w:color w:val="000000"/>
          <w:sz w:val="20"/>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particularly European Union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0" w:after="240"/>
        <w:jc w:val="both"/>
        <w:rPr>
          <w:rFonts w:ascii="Arial" w:hAnsi="Arial"/>
          <w:color w:val="000000"/>
          <w:sz w:val="20"/>
        </w:rPr>
      </w:pPr>
      <w:r>
        <w:rPr>
          <w:rFonts w:ascii="Arial" w:hAnsi="Arial"/>
          <w:color w:val="000000"/>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bidi w:val="0"/>
        <w:spacing w:before="0" w:after="240"/>
        <w:jc w:val="both"/>
        <w:rPr>
          <w:rFonts w:ascii="Arial" w:hAnsi="Arial"/>
          <w:b/>
          <w:i/>
          <w:color w:val="000000"/>
          <w:sz w:val="20"/>
        </w:rPr>
      </w:pPr>
      <w:r>
        <w:rPr>
          <w:rFonts w:ascii="Arial" w:hAnsi="Arial"/>
          <w:b/>
          <w:i/>
          <w:color w:val="000000"/>
          <w:sz w:val="20"/>
        </w:rPr>
        <w:t>Guidelines and recommendations published by various organizations can reduce the use of palazestrant, OP-3136 or any future product candidates we may develop.</w:t>
      </w:r>
    </w:p>
    <w:p>
      <w:pPr>
        <w:pStyle w:val="TextBody"/>
        <w:bidi w:val="0"/>
        <w:spacing w:before="0" w:after="240"/>
        <w:jc w:val="both"/>
        <w:rPr>
          <w:rFonts w:ascii="Times New Roman" w:hAnsi="Times New Roman"/>
          <w:sz w:val="20"/>
        </w:rPr>
      </w:pPr>
      <w:r>
        <w:rPr>
          <w:rFonts w:ascii="Arial" w:hAnsi="Arial"/>
          <w:color w:val="000000"/>
          <w:sz w:val="20"/>
        </w:rPr>
        <w:t>Government authorities promulgate regulations and guidelines directly applicable to us and to palazestrant, OP-3136 or any future product candidates we may develop. In addition, professional societies, such as practice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 providers could result in decreased use of palazestrant, OP-3136 or any future product candidates we may develop.</w:t>
      </w:r>
    </w:p>
    <w:p>
      <w:pPr>
        <w:pStyle w:val="TextBody"/>
        <w:bidi w:val="0"/>
        <w:spacing w:before="0" w:after="240"/>
        <w:jc w:val="left"/>
        <w:rPr>
          <w:rFonts w:ascii="Arial" w:hAnsi="Arial"/>
          <w:b/>
          <w:color w:val="000000"/>
          <w:sz w:val="20"/>
        </w:rPr>
      </w:pPr>
      <w:r>
        <w:rPr>
          <w:rFonts w:ascii="Arial" w:hAnsi="Arial"/>
          <w:b/>
          <w:color w:val="000000"/>
          <w:sz w:val="20"/>
        </w:rPr>
        <w:t>Risks related to regulatory approval and other legal compliance matters</w:t>
      </w:r>
    </w:p>
    <w:p>
      <w:pPr>
        <w:pStyle w:val="TextBody"/>
        <w:bidi w:val="0"/>
        <w:spacing w:before="0" w:after="240"/>
        <w:jc w:val="both"/>
        <w:rPr>
          <w:rFonts w:ascii="Arial" w:hAnsi="Arial"/>
          <w:b/>
          <w:i/>
          <w:color w:val="000000"/>
          <w:sz w:val="20"/>
        </w:rPr>
      </w:pPr>
      <w:r>
        <w:rPr>
          <w:rFonts w:ascii="Arial" w:hAnsi="Arial"/>
          <w:b/>
          <w:i/>
          <w:color w:val="000000"/>
          <w:sz w:val="20"/>
        </w:rPr>
        <w:t>We may be unable to obtain U.S. or foreign regulatory approvals and, as a result, may be unable to commercialize palazestrant, OP-3136 or any future product candidate we may develop.</w:t>
      </w:r>
    </w:p>
    <w:p>
      <w:pPr>
        <w:pStyle w:val="TextBody"/>
        <w:bidi w:val="0"/>
        <w:spacing w:before="0" w:after="240"/>
        <w:jc w:val="both"/>
        <w:rPr>
          <w:rFonts w:ascii="Arial" w:hAnsi="Arial"/>
          <w:color w:val="000000"/>
          <w:sz w:val="20"/>
        </w:rPr>
      </w:pPr>
      <w:r>
        <w:rPr>
          <w:rFonts w:ascii="Arial" w:hAnsi="Arial"/>
          <w:color w:val="000000"/>
          <w:sz w:val="20"/>
        </w:rPr>
        <w:t>Palazestrant and OP-3136 are,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product candidate we may develop will progress through required clinical testing and obtain the regulatory approvals necessary for us to begin selling them.</w:t>
      </w:r>
    </w:p>
    <w:p>
      <w:pPr>
        <w:pStyle w:val="TextBody"/>
        <w:bidi w:val="0"/>
        <w:spacing w:before="0" w:after="240"/>
        <w:jc w:val="both"/>
        <w:rPr>
          <w:rFonts w:ascii="Arial" w:hAnsi="Arial"/>
          <w:color w:val="000000"/>
          <w:sz w:val="20"/>
        </w:rPr>
      </w:pPr>
      <w:r>
        <w:rPr>
          <w:rFonts w:ascii="Arial" w:hAnsi="Arial"/>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pStyle w:val="TextBody"/>
        <w:bidi w:val="0"/>
        <w:spacing w:before="0" w:after="240"/>
        <w:jc w:val="both"/>
        <w:rPr>
          <w:rFonts w:ascii="Arial" w:hAnsi="Arial"/>
          <w:color w:val="000000"/>
          <w:sz w:val="20"/>
        </w:rPr>
      </w:pPr>
      <w:r>
        <w:rPr>
          <w:rFonts w:ascii="Arial" w:hAnsi="Arial"/>
          <w:color w:val="000000"/>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0" w:after="240"/>
        <w:jc w:val="both"/>
        <w:rPr>
          <w:rFonts w:ascii="Arial" w:hAnsi="Arial"/>
          <w:color w:val="000000"/>
          <w:sz w:val="20"/>
        </w:rPr>
      </w:pPr>
      <w:r>
        <w:rPr>
          <w:rFonts w:ascii="Arial" w:hAnsi="Arial"/>
          <w:color w:val="000000"/>
          <w:sz w:val="20"/>
        </w:rPr>
        <w:t>We may also become subject to numerous foreign regulatory requirements governing, among other things, the conduct of clinical trials and manufacturing of palazestrant or OP-3136.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0" w:after="240"/>
        <w:jc w:val="both"/>
        <w:rPr>
          <w:rFonts w:ascii="Arial" w:hAnsi="Arial"/>
          <w:b/>
          <w:i/>
          <w:color w:val="000000"/>
          <w:sz w:val="20"/>
        </w:rPr>
      </w:pPr>
      <w:r>
        <w:rPr>
          <w:rFonts w:ascii="Arial" w:hAnsi="Arial"/>
          <w:b/>
          <w:i/>
          <w:color w:val="000000"/>
          <w:sz w:val="20"/>
        </w:rPr>
        <w:t>Our business entails a significant risk of product liability and if we are unable to obtain sufficient insurance coverage, such inability could significantly harm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 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Palazestrant, OP-3136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jc w:val="both"/>
        <w:rPr>
          <w:rFonts w:ascii="Arial" w:hAnsi="Arial"/>
          <w:color w:val="000000"/>
          <w:sz w:val="20"/>
        </w:rPr>
      </w:pPr>
      <w:r>
        <w:rPr>
          <w:rFonts w:ascii="Arial" w:hAnsi="Arial"/>
          <w:color w:val="000000"/>
          <w:sz w:val="20"/>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 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patients in our clinical trials may result in deaths or other adverse medical events due to other therapies or medications that such patients may be using or due to the gravity of such patients’ illnesses.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hAnsi="Arial"/>
          <w:color w:val="231F20"/>
          <w:sz w:val="20"/>
        </w:rPr>
        <w:t>competent authorities of EU Member States</w:t>
      </w:r>
      <w:r>
        <w:rPr>
          <w:rFonts w:ascii="Arial" w:hAnsi="Arial"/>
          <w:color w:val="000000"/>
          <w:sz w:val="20"/>
        </w:rPr>
        <w:t>, other comparable regulatory authorities or an IRB or Ethics Committee may suspend, vary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palazestrant or OP-3136 obtains marketing approval, toxicities associated with palazestrant or OP-3136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The FDA, EMA, the European Commission and other comparable foreign regulatory authorities may not accept data from trials conducted in locations outside of their jurisdiction.</w:t>
      </w:r>
    </w:p>
    <w:p>
      <w:pPr>
        <w:pStyle w:val="TextBody"/>
        <w:bidi w:val="0"/>
        <w:spacing w:before="0" w:after="240"/>
        <w:jc w:val="both"/>
        <w:rPr>
          <w:rFonts w:ascii="Arial" w:hAnsi="Arial"/>
          <w:color w:val="000000"/>
          <w:sz w:val="20"/>
        </w:rPr>
      </w:pPr>
      <w:r>
        <w:rPr>
          <w:rFonts w:ascii="Arial" w:hAnsi="Arial"/>
          <w:color w:val="000000"/>
          <w:sz w:val="20"/>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 palazestrant, OP-3136 or any future product candidates we may develop not receiving approval for commercialization in the applicable jurisdiction.</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pStyle w:val="TextBody"/>
        <w:bidi w:val="0"/>
        <w:spacing w:before="0" w:after="240"/>
        <w:jc w:val="both"/>
        <w:rPr>
          <w:rFonts w:ascii="Times New Roman" w:hAnsi="Times New Roman"/>
          <w:sz w:val="20"/>
        </w:rPr>
      </w:pPr>
      <w:r>
        <w:rPr>
          <w:rFonts w:ascii="Arial" w:hAnsi="Arial"/>
          <w:color w:val="000000"/>
          <w:sz w:val="20"/>
        </w:rPr>
        <w:t>Obtaining and maintaining regulatory approval of palazestrant, OP-3136 or any product candidate we develop in the future, in one jurisdiction does not guarantee that we will be able to obtain or maintain regulatory approval 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0" w:after="240"/>
        <w:jc w:val="both"/>
        <w:rPr>
          <w:rFonts w:ascii="Arial" w:hAnsi="Arial"/>
          <w:color w:val="000000"/>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pStyle w:val="TextBody"/>
        <w:bidi w:val="0"/>
        <w:spacing w:before="0" w:after="240"/>
        <w:jc w:val="both"/>
        <w:rPr>
          <w:rFonts w:ascii="Arial" w:hAnsi="Arial"/>
          <w:b/>
          <w:i/>
          <w:color w:val="000000"/>
          <w:sz w:val="20"/>
        </w:rPr>
      </w:pPr>
      <w:r>
        <w:rPr>
          <w:rFonts w:ascii="Arial" w:hAnsi="Arial"/>
          <w:b/>
          <w:i/>
          <w:color w:val="000000"/>
          <w:sz w:val="20"/>
        </w:rPr>
        <w:t>Even if palazestrant, OP-3136 or any product candidate we develop in the future, receives regulatory approval, it will be subject to significant post-marketing regulatory requirements and oversight.</w:t>
      </w:r>
    </w:p>
    <w:p>
      <w:pPr>
        <w:pStyle w:val="TextBody"/>
        <w:bidi w:val="0"/>
        <w:jc w:val="both"/>
        <w:rPr>
          <w:rFonts w:ascii="Arial" w:hAnsi="Arial"/>
          <w:color w:val="000000"/>
          <w:sz w:val="20"/>
        </w:rPr>
      </w:pPr>
      <w:r>
        <w:rPr>
          <w:rFonts w:ascii="Arial" w:hAnsi="Arial"/>
          <w:color w:val="000000"/>
          <w:sz w:val="20"/>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European Commission or applicable foreign regulatory authorities approve palazestrant, OP-3136 or any product candidate we develop in the future, the manufacturing processes, labeling, packaging, distribution, adverse event reporting, storage, advertising, promotion, import, export and recordkeeping for palazestrant or OP-3136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and other foreign regulatory requirements may subject our company to administrative or judicially imposed sanctions, including:</w:t>
      </w:r>
    </w:p>
    <w:p>
      <w:pPr>
        <w:pStyle w:val="TextBody"/>
        <w:bidi w:val="0"/>
        <w:jc w:val="both"/>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delays in or the rejection of product approvals;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restrictions on our ability to conduct clinical trials, including full or partial clinical holds on ongoing or planned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restrictions on the products, manufacturers or manufacturing process;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warning letters;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civil and criminal penalties;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injunctions;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suspension, variation or withdrawal of regulatory approvals;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product seizures, detentions or import bans;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voluntary or mandatory product recalls and publicity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total or partial suspension of production; and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imposition of restrictions on operations, including costly new manufacturing requirements.</w:t>
      </w:r>
    </w:p>
    <w:p>
      <w:pPr>
        <w:pStyle w:val="TextBody"/>
        <w:bidi w:val="0"/>
        <w:spacing w:before="0" w:after="240"/>
        <w:jc w:val="both"/>
        <w:rPr>
          <w:rFonts w:ascii="Arial" w:hAnsi="Arial"/>
          <w:color w:val="000000"/>
          <w:sz w:val="20"/>
        </w:rPr>
      </w:pPr>
      <w:r>
        <w:rPr>
          <w:rFonts w:ascii="Arial" w:hAnsi="Arial"/>
          <w:color w:val="000000"/>
          <w:sz w:val="20"/>
        </w:rPr>
        <w:t>The occurrence of any event or penalty described above may inhibit our ability to commercialize palazestrant, OP-3136 or any product candidate we may develop in the future and generate revenue and could require us to expend significant time and resources in response and could generate negative publicity.</w:t>
      </w:r>
    </w:p>
    <w:p>
      <w:pPr>
        <w:pStyle w:val="TextBody"/>
        <w:bidi w:val="0"/>
        <w:spacing w:before="0" w:after="240"/>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palazestrant, OP-3136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The FDA and other regulatory authorities actively enforce the laws and regulations prohibiting the promotion of off-label uses.</w:t>
      </w:r>
    </w:p>
    <w:p>
      <w:pPr>
        <w:pStyle w:val="TextBody"/>
        <w:bidi w:val="0"/>
        <w:spacing w:before="0" w:after="240"/>
        <w:jc w:val="both"/>
        <w:rPr>
          <w:rFonts w:ascii="Arial" w:hAnsi="Arial"/>
          <w:color w:val="000000"/>
          <w:sz w:val="20"/>
        </w:rPr>
      </w:pPr>
      <w:r>
        <w:rPr>
          <w:rFonts w:ascii="Arial" w:hAnsi="Arial"/>
          <w:color w:val="000000"/>
          <w:sz w:val="20"/>
        </w:rPr>
        <w:t>If palazestrant, OP-3136 or any future product candidate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pStyle w:val="TextBody"/>
        <w:bidi w:val="0"/>
        <w:jc w:val="both"/>
        <w:rPr>
          <w:rFonts w:ascii="Arial" w:hAnsi="Arial"/>
          <w:b/>
          <w:i/>
          <w:color w:val="000000"/>
          <w:sz w:val="20"/>
        </w:rPr>
      </w:pPr>
      <w:r>
        <w:rPr>
          <w:rFonts w:ascii="Arial" w:hAnsi="Arial"/>
          <w:b/>
          <w:i/>
          <w:color w:val="000000"/>
          <w:sz w:val="20"/>
        </w:rPr>
        <w:t>Disruptions at the FDA, EMA, the European Commission applicable foreign regulatory authorities, the SEC, and other government agencies and regulatory authorities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authorities have fluctuated in recent years as a result and could be delayed. In addition, government funding of the SEC and other government authorities on which our operations may rely, including those that fund research and development activities is subject to the political process, which is inherently fluid and unpredictable.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Disruptions at the FDA and other authorities may also slow the time necessary for new drugs to be reviewed and/or approved by necessary government authorities, which would adversely affect our business.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b/>
          <w:i/>
          <w:color w:val="000000"/>
          <w:sz w:val="20"/>
        </w:rPr>
      </w:pPr>
      <w:r>
        <w:rPr>
          <w:rFonts w:ascii="Arial" w:hAnsi="Arial"/>
          <w:b/>
          <w:i/>
          <w:color w:val="000000"/>
          <w:sz w:val="20"/>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may in the future seek approval for palazestrant, OP-3136 or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pStyle w:val="TextBody"/>
        <w:bidi w:val="0"/>
        <w:spacing w:before="0" w:after="240"/>
        <w:jc w:val="both"/>
        <w:rPr>
          <w:rFonts w:ascii="Arial" w:hAnsi="Arial"/>
          <w:b/>
          <w:i/>
          <w:color w:val="000000"/>
          <w:sz w:val="20"/>
        </w:rPr>
      </w:pPr>
      <w:r>
        <w:rPr>
          <w:rFonts w:ascii="Arial" w:hAnsi="Arial"/>
          <w:b/>
          <w:i/>
          <w:color w:val="000000"/>
          <w:sz w:val="20"/>
        </w:rPr>
        <w:t>We may face difficulties from changes to current regulations and future legislation.</w:t>
      </w:r>
    </w:p>
    <w:p>
      <w:pPr>
        <w:pStyle w:val="TextBody"/>
        <w:bidi w:val="0"/>
        <w:spacing w:before="0" w:after="240"/>
        <w:jc w:val="both"/>
        <w:rPr>
          <w:rFonts w:ascii="Arial" w:hAnsi="Arial"/>
          <w:color w:val="000000"/>
          <w:sz w:val="20"/>
        </w:rPr>
      </w:pPr>
      <w:r>
        <w:rPr>
          <w:rFonts w:ascii="Arial" w:hAnsi="Arial"/>
          <w:color w:val="000000"/>
          <w:sz w:val="20"/>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jc w:val="both"/>
        <w:rPr>
          <w:rFonts w:ascii="Times New Roman" w:hAnsi="Times New Roman"/>
          <w:sz w:val="20"/>
        </w:rPr>
      </w:pPr>
      <w:r>
        <w:rPr>
          <w:rFonts w:ascii="Arial" w:hAnsi="Arial"/>
          <w:color w:val="000000"/>
          <w:sz w:val="20"/>
        </w:rPr>
        <w:t>For example, in March 2010, the Patient Protection and Affordable Care Act of 2010, as amended by the Health Care and Education Reconciliation Act of 2010, or collectively the ACA, was passed, which substantially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changed the way healthcare is financed by both the government and private insurers and continues to significantly impact the U.S. pharmaceutical industry.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pStyle w:val="TextBody"/>
        <w:bidi w:val="0"/>
        <w:spacing w:before="0" w:after="240"/>
        <w:jc w:val="both"/>
        <w:rPr>
          <w:rFonts w:ascii="Arial" w:hAnsi="Arial"/>
          <w:color w:val="000000"/>
          <w:sz w:val="20"/>
        </w:rPr>
      </w:pPr>
      <w:r>
        <w:rPr>
          <w:rFonts w:ascii="Arial" w:hAnsi="Arial"/>
          <w:color w:val="000000"/>
          <w:sz w:val="20"/>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These laws may result in additional reductions in Medicare and other healthcare funding, which could have a material adverse effect on potential customers for our drugs, if approved, and accordingly, our business.</w:t>
      </w:r>
    </w:p>
    <w:p>
      <w:pPr>
        <w:pStyle w:val="TextBody"/>
        <w:bidi w:val="0"/>
        <w:spacing w:before="0" w:after="240"/>
        <w:jc w:val="both"/>
        <w:rPr>
          <w:rFonts w:ascii="Arial" w:hAnsi="Arial"/>
          <w:color w:val="000000"/>
          <w:sz w:val="20"/>
        </w:rPr>
      </w:pPr>
      <w:r>
        <w:rPr>
          <w:rFonts w:ascii="Arial" w:hAnsi="Arial"/>
          <w:color w:val="000000"/>
          <w:sz w:val="20"/>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240"/>
        <w:jc w:val="both"/>
        <w:rPr>
          <w:rFonts w:ascii="Times New Roman" w:hAnsi="Times New Roman"/>
          <w:sz w:val="20"/>
        </w:rPr>
      </w:pPr>
      <w:r>
        <w:rPr>
          <w:rFonts w:ascii="Arial" w:hAnsi="Arial"/>
          <w:color w:val="000000"/>
          <w:sz w:val="20"/>
        </w:rPr>
        <w:t>For example, at the federal level,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(1) directs HHS to negotiate the price of certain high-expenditure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currently unclear how the IRA will be implemented but is likely to have a significant impact on the pharmaceutical industry.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pStyle w:val="TextBody"/>
        <w:bidi w:val="0"/>
        <w:jc w:val="both"/>
        <w:rPr>
          <w:rFonts w:ascii="Arial" w:hAnsi="Arial"/>
          <w:color w:val="000000"/>
          <w:sz w:val="20"/>
        </w:rPr>
      </w:pPr>
      <w:r>
        <w:rPr>
          <w:rFonts w:ascii="Arial" w:hAnsi="Arial"/>
          <w:color w:val="000000"/>
          <w:sz w:val="20"/>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provides a three-year transition period. The extent to which ongoing clinical trials will be governed by the CTR varies. For clinical trials in relation to which an application for approval was made on the basis of the Clinical Trials Directive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 In light of the fact that the United Kingdom ("UK") has left the EU, Regulation No 2021/2282 on HTA will not apply in the UK.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our product candidates in the EU.</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palazestrant, OP-3136 or any future product candidates we may develop, if any, may be.</w:t>
      </w:r>
    </w:p>
    <w:p>
      <w:pPr>
        <w:pStyle w:val="TextBody"/>
        <w:bidi w:val="0"/>
        <w:spacing w:before="0" w:after="240"/>
        <w:jc w:val="both"/>
        <w:rPr>
          <w:rFonts w:ascii="Arial" w:hAnsi="Arial"/>
          <w:b/>
          <w:i/>
          <w:color w:val="000000"/>
          <w:sz w:val="20"/>
        </w:rPr>
      </w:pPr>
      <w:r>
        <w:rPr>
          <w:rFonts w:ascii="Arial" w:hAnsi="Arial"/>
          <w:b/>
          <w:i/>
          <w:color w:val="000000"/>
          <w:sz w:val="20"/>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240"/>
        <w:jc w:val="both"/>
        <w:rPr>
          <w:rFonts w:ascii="Arial" w:hAnsi="Arial"/>
          <w:color w:val="000000"/>
          <w:sz w:val="20"/>
        </w:rPr>
      </w:pPr>
      <w:r>
        <w:rPr>
          <w:rFonts w:ascii="Arial" w:hAnsi="Arial"/>
          <w:color w:val="000000"/>
          <w:sz w:val="20"/>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hAnsi="Arial"/>
          <w:color w:val="000000"/>
          <w:sz w:val="20"/>
        </w:rPr>
        <w:t>doctors, dentists, optometrists, podiatrists and chiropractors), other healthcare professionals (such as physician assistants and nurse practitioners),</w:t>
      </w:r>
      <w:r>
        <w:rPr>
          <w:color w:val="231F20"/>
        </w:rPr>
        <w:t xml:space="preserve"> </w:t>
      </w:r>
      <w:r>
        <w:rPr>
          <w:rFonts w:ascii="Arial" w:hAnsi="Arial"/>
          <w:color w:val="231F20"/>
          <w:sz w:val="20"/>
        </w:rPr>
        <w:t>and teaching hospitals, as well as information regarding ownership and investment interests held by physicians and their immediate family members. The information reported is publicly available on a searchable website, with disclosure required annually;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analogous state and foreign laws and regulations, such as state and foreign anti-kickback and false claims laws, may apply to sales or marketing arrangements and claims involving healthcare items or services reimbursed by non- governmental third-party payors, including private insurers.</w:t>
      </w:r>
    </w:p>
    <w:p>
      <w:pPr>
        <w:pStyle w:val="TextBody"/>
        <w:bidi w:val="0"/>
        <w:jc w:val="both"/>
        <w:rPr>
          <w:rFonts w:ascii="Arial" w:hAnsi="Arial"/>
          <w:color w:val="000000"/>
          <w:sz w:val="20"/>
        </w:rPr>
      </w:pPr>
      <w:r>
        <w:rPr>
          <w:rFonts w:ascii="Arial" w:hAnsi="Arial"/>
          <w:color w:val="000000"/>
          <w:sz w:val="20"/>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and foreign laws may require biotechnology companies to report information on the pricing of certain drug products. Some state and local laws may require the registration of pharmaceutical sales representatives.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jc w:val="both"/>
        <w:rPr>
          <w:rFonts w:ascii="Times New Roman" w:hAnsi="Times New Roman"/>
          <w:sz w:val="20"/>
        </w:rPr>
      </w:pPr>
      <w:r>
        <w:rPr>
          <w:rFonts w:ascii="Arial" w:hAnsi="Arial"/>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Outside the United States, an increasing number of laws, regulations, and industry standards govern data privacy and security. For example, the European Union’s General Data Protection Regulation (“EU GDPR”), the United Kingdom’s GDPR (“UK GDPR”), impose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are considered ‘inadequate’. Other jurisdictions may adopt similarly stringent interpretations of their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Additionally, California voters approved a new privacy law, the California Privacy Rights Act, or CPRA, which went into effect on January 1, 2023. The CPRA significantly modifies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at least 11 states have passed comprehensive privacy laws that have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pStyle w:val="TextBody"/>
        <w:bidi w:val="0"/>
        <w:jc w:val="both"/>
        <w:rPr>
          <w:rFonts w:ascii="Times New Roman" w:hAnsi="Times New Roman"/>
          <w:sz w:val="20"/>
        </w:rPr>
      </w:pPr>
      <w:r>
        <w:rPr>
          <w:rFonts w:ascii="Arial" w:hAnsi="Arial"/>
          <w:color w:val="000000"/>
          <w:sz w:val="20"/>
        </w:rPr>
        <w:t>We are also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financial condition, results of operations and prospects.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Any actual or perceived failure by us or the third parties with whom we work to comply with these laws, regulations, or other obligations may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Our employees and personnel may use generative artificial intelligence, or AI, technologies to perform their work, and the disclosure and use of personal information in generative AI technologies is subject to various privacy laws and other privacy obligations. Governments have passed and are likely to pass additional laws regulating generative AI, such as the EU AI Act.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negatively impact our business. Complying with these various laws could cause us to incur substantial costs or require us to change our business practices and compliance procedures in a manner adverse to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Any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attempt to mitigate the associated risks but there is no assurance that privacy and security-related safeguards will protect us from all risks associated with the third-party processing, storage and transmission of such information.</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0" w:after="240"/>
        <w:jc w:val="both"/>
        <w:rPr>
          <w:rFonts w:ascii="Arial" w:hAnsi="Arial"/>
          <w:color w:val="000000"/>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0" w:after="240"/>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240"/>
        <w:jc w:val="both"/>
        <w:rPr>
          <w:rFonts w:ascii="Arial" w:hAnsi="Arial"/>
          <w:color w:val="000000"/>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jc w:val="both"/>
        <w:rPr>
          <w:rFonts w:ascii="Arial" w:hAnsi="Arial"/>
          <w:b/>
          <w:i/>
          <w:color w:val="000000"/>
          <w:sz w:val="20"/>
        </w:rPr>
      </w:pPr>
      <w:r>
        <w:rPr>
          <w:rFonts w:ascii="Arial" w:hAnsi="Arial"/>
          <w:b/>
          <w:i/>
          <w:color w:val="000000"/>
          <w:sz w:val="20"/>
        </w:rPr>
        <w:t>Our research and development activities could be affected or delayed as a result of possible restrictions on animal testing.</w:t>
      </w:r>
    </w:p>
    <w:p>
      <w:pPr>
        <w:pStyle w:val="TextBody"/>
        <w:bidi w:val="0"/>
        <w:spacing w:before="0" w:after="240"/>
        <w:jc w:val="both"/>
        <w:rPr>
          <w:rFonts w:ascii="Arial" w:hAnsi="Arial"/>
          <w:color w:val="000000"/>
          <w:sz w:val="20"/>
        </w:rPr>
      </w:pPr>
      <w:r>
        <w:rPr>
          <w:rFonts w:ascii="Arial" w:hAnsi="Arial"/>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240"/>
        <w:jc w:val="both"/>
        <w:rPr>
          <w:rFonts w:ascii="Arial" w:hAnsi="Arial"/>
          <w:b/>
          <w:i/>
          <w:color w:val="000000"/>
          <w:sz w:val="20"/>
        </w:rPr>
      </w:pPr>
      <w:r>
        <w:rPr>
          <w:rFonts w:ascii="Arial" w:hAnsi="Arial"/>
          <w:b/>
          <w:i/>
          <w:color w:val="000000"/>
          <w:sz w:val="20"/>
        </w:rPr>
        <w:t>Our business activities may be subject to the U.S. Foreign Corrupt Practices Act, or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240"/>
        <w:jc w:val="both"/>
        <w:rPr>
          <w:rFonts w:ascii="Arial" w:hAnsi="Arial"/>
          <w:color w:val="000000"/>
          <w:sz w:val="20"/>
        </w:rPr>
      </w:pPr>
      <w:r>
        <w:rPr>
          <w:rFonts w:ascii="Arial" w:hAnsi="Arial"/>
          <w:color w:val="000000"/>
          <w:sz w:val="20"/>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0" w:after="240"/>
        <w:jc w:val="both"/>
        <w:rPr>
          <w:rFonts w:ascii="Arial" w:hAnsi="Arial"/>
          <w:color w:val="000000"/>
          <w:sz w:val="20"/>
        </w:rPr>
      </w:pPr>
      <w:r>
        <w:rPr>
          <w:rFonts w:ascii="Arial" w:hAnsi="Arial"/>
          <w:color w:val="000000"/>
          <w:sz w:val="20"/>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employee matters, managing our growth and other risks related to our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Unfavorable U.S. and global macroeconomic and geopolitical conditions could adversely affect our business, financial condition and results of operations.</w:t>
      </w:r>
    </w:p>
    <w:p>
      <w:pPr>
        <w:pStyle w:val="TextBody"/>
        <w:bidi w:val="0"/>
        <w:spacing w:before="0" w:after="240"/>
        <w:jc w:val="both"/>
        <w:rPr>
          <w:rFonts w:ascii="Times New Roman" w:hAnsi="Times New Roman"/>
          <w:sz w:val="20"/>
        </w:rPr>
      </w:pPr>
      <w:r>
        <w:rPr>
          <w:rFonts w:ascii="Arial" w:hAnsi="Arial"/>
          <w:color w:val="000000"/>
          <w:sz w:val="20"/>
        </w:rPr>
        <w:t>Our results of operations could be adversely affected by general conditions in the U.S. and global economies, the U.S. and global financial markets and adverse geopolitical and macroeconomic developments, including the ongoing conflict between Ukraine and Russia and related sanctions, armed conflict between Israel and groups based in surrounding regions, labor shortages, inflation rates and the responses by central banking authorities to control inflation, monetary supply shifts and related financial instability. U.S. and global market and economic conditions have been, and continue to be, disrupted and volatile due to many factors, including component shortages and related supply chain challenges, geopolitical developments, including the events noted above.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 severe or prolonged global economic downturn could result in a variety of risks to our business.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0" w:after="240"/>
        <w:jc w:val="left"/>
        <w:rPr>
          <w:rFonts w:ascii="Arial" w:hAnsi="Arial"/>
          <w:b/>
          <w:i/>
          <w:color w:val="000000"/>
          <w:sz w:val="20"/>
        </w:rPr>
      </w:pPr>
      <w:r>
        <w:rPr>
          <w:rFonts w:ascii="Arial" w:hAnsi="Arial"/>
          <w:b/>
          <w:i/>
          <w:color w:val="000000"/>
          <w:sz w:val="20"/>
        </w:rPr>
        <w:t>Our success is highly dependent on our ability to attract and retain highly skilled executive officers and employees.</w:t>
      </w:r>
    </w:p>
    <w:p>
      <w:pPr>
        <w:pStyle w:val="TextBody"/>
        <w:bidi w:val="0"/>
        <w:spacing w:before="0" w:after="240"/>
        <w:jc w:val="both"/>
        <w:rPr>
          <w:rFonts w:ascii="Arial" w:hAnsi="Arial"/>
          <w:color w:val="000000"/>
          <w:sz w:val="20"/>
        </w:rPr>
      </w:pPr>
      <w:r>
        <w:rPr>
          <w:rFonts w:ascii="Arial" w:hAnsi="Arial"/>
          <w:color w:val="000000"/>
          <w:sz w:val="20"/>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pStyle w:val="TextBody"/>
        <w:bidi w:val="0"/>
        <w:spacing w:before="0" w:after="240"/>
        <w:jc w:val="both"/>
        <w:rPr>
          <w:rFonts w:ascii="Arial" w:hAnsi="Arial"/>
          <w:color w:val="000000"/>
          <w:sz w:val="20"/>
        </w:rPr>
      </w:pPr>
      <w:r>
        <w:rPr>
          <w:rFonts w:ascii="Arial" w:hAnsi="Arial"/>
          <w:color w:val="000000"/>
          <w:sz w:val="20"/>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240"/>
        <w:jc w:val="both"/>
        <w:rPr>
          <w:rFonts w:ascii="Arial" w:hAnsi="Arial"/>
          <w:color w:val="000000"/>
          <w:sz w:val="20"/>
        </w:rPr>
      </w:pPr>
      <w:r>
        <w:rPr>
          <w:rFonts w:ascii="Arial" w:hAnsi="Arial"/>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other product candidate will be limited and the potential for successfully growing our business will be harmed.</w:t>
      </w:r>
    </w:p>
    <w:p>
      <w:pPr>
        <w:pStyle w:val="TextBody"/>
        <w:bidi w:val="0"/>
        <w:spacing w:before="0" w:after="240"/>
        <w:jc w:val="both"/>
        <w:rPr>
          <w:rFonts w:ascii="Arial" w:hAnsi="Arial"/>
          <w:b/>
          <w:i/>
          <w:color w:val="000000"/>
          <w:sz w:val="20"/>
        </w:rPr>
      </w:pPr>
      <w:r>
        <w:rPr>
          <w:rFonts w:ascii="Arial" w:hAnsi="Arial"/>
          <w:b/>
          <w:i/>
          <w:color w:val="000000"/>
          <w:sz w:val="20"/>
        </w:rPr>
        <w:t>If we are unable to establish sales or marketing capabilities or enter into agreements with third parties to sell or market palazestrant, OP-3136 or any product candidate we may develop in the future, we may not be able to successfully sell or market palazestrant, OP-3136 or any future product candidate we may develop that obtain regulatory approval.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 we may develop. We may not be successful in accomplishing these required tasks.</w:t>
      </w:r>
    </w:p>
    <w:p>
      <w:pPr>
        <w:pStyle w:val="TextBody"/>
        <w:bidi w:val="0"/>
        <w:spacing w:before="0" w:after="240"/>
        <w:jc w:val="both"/>
        <w:rPr>
          <w:rFonts w:ascii="Arial" w:hAnsi="Arial"/>
          <w:color w:val="000000"/>
          <w:sz w:val="20"/>
        </w:rPr>
      </w:pPr>
      <w:r>
        <w:rPr>
          <w:rFonts w:ascii="Arial" w:hAnsi="Arial"/>
          <w:color w:val="000000"/>
          <w:sz w:val="20"/>
        </w:rPr>
        <w:t>Establishing an internal sales or marketing team with technical expertise and supporting distribution capabilities to commercialize palazestrant, OP-3136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OP-3136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0" w:after="240"/>
        <w:jc w:val="both"/>
        <w:rPr>
          <w:rFonts w:ascii="Arial" w:hAnsi="Arial"/>
          <w:b/>
          <w:i/>
          <w:color w:val="000000"/>
          <w:sz w:val="20"/>
        </w:rPr>
      </w:pPr>
      <w:r>
        <w:rPr>
          <w:rFonts w:ascii="Arial" w:hAnsi="Arial"/>
          <w:b/>
          <w:i/>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0" w:after="240"/>
        <w:jc w:val="both"/>
        <w:rPr>
          <w:rFonts w:ascii="Arial" w:hAnsi="Arial"/>
          <w:color w:val="000000"/>
          <w:sz w:val="20"/>
        </w:rPr>
      </w:pPr>
      <w:r>
        <w:rPr>
          <w:rFonts w:ascii="Arial" w:hAnsi="Arial"/>
          <w:color w:val="000000"/>
          <w:sz w:val="20"/>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pStyle w:val="TextBody"/>
        <w:bidi w:val="0"/>
        <w:spacing w:before="0" w:after="240"/>
        <w:jc w:val="both"/>
        <w:rPr>
          <w:rFonts w:ascii="Arial" w:hAnsi="Arial"/>
          <w:color w:val="000000"/>
          <w:sz w:val="20"/>
        </w:rPr>
      </w:pPr>
      <w:r>
        <w:rPr>
          <w:rFonts w:ascii="Arial" w:hAnsi="Arial"/>
          <w:color w:val="000000"/>
          <w:sz w:val="20"/>
        </w:rPr>
        <w:t>Factors that may affect our ability to commercialize palazestrant, OP-3136 or any future product candidate we may develop, on our own include recruiting and retaining adequate numbers of effective sales and marketing personnel, obtaining access to or our failure to educate physicians on the benefits of prescribing or ordering palazestrant, OP-3136 or any future product candidates we may develop and other unforeseen costs associated with creating an independent sales and marketing organization. Developing a sales and marketing organization will be expensive and time-consuming and could delay the launch of palazestrant, OP-3136 or any future product candidate we may develop. We may not be able to build an effective sales and marketing organization. If we are unable to build our own distribution and marketing capabilities or to find suitable partners for the commercialization of palazestrant, OP-3136 or any future product candidate we may develop, we may not generate revenues from such product candidate or be able to reach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In order to successfully implement our plans and strategies, we will need to grow the size of our organization, and we may experience difficulties in managing this growth.</w:t>
      </w:r>
    </w:p>
    <w:p>
      <w:pPr>
        <w:pStyle w:val="TextBody"/>
        <w:bidi w:val="0"/>
        <w:spacing w:before="0" w:after="240"/>
        <w:jc w:val="both"/>
        <w:rPr>
          <w:rFonts w:ascii="Arial" w:hAnsi="Arial"/>
          <w:color w:val="000000"/>
          <w:sz w:val="20"/>
        </w:rPr>
      </w:pPr>
      <w:r>
        <w:rPr>
          <w:rFonts w:ascii="Arial" w:hAnsi="Arial"/>
          <w:color w:val="000000"/>
          <w:sz w:val="20"/>
        </w:rPr>
        <w:t>As of March 31, 2024, we had 76 employees, 75 of whom were full-time, including 47 employees engaged in research and development.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identifying, recruiting, integrating, maintaining and motivating additional employees;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 xml:space="preserve">managing our internal development efforts effectively, including the clinical, FDA, EMA and other comparable foreign regulatory authorities’ review process for palazestrant, OP-3136 and any other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231F20"/>
          <w:sz w:val="20"/>
        </w:rPr>
      </w:pPr>
      <w:r>
        <w:rPr>
          <w:rFonts w:ascii="Arial" w:hAnsi="Arial"/>
          <w:color w:val="231F20"/>
          <w:sz w:val="20"/>
        </w:rPr>
        <w:t>future product candidates we may develop, while complying with any contractual obligations to contractors and other third parties we may have;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improving our operational, financial and management controls, reporting systems and procedures.</w:t>
      </w:r>
    </w:p>
    <w:p>
      <w:pPr>
        <w:pStyle w:val="TextBody"/>
        <w:bidi w:val="0"/>
        <w:spacing w:before="0" w:after="240"/>
        <w:jc w:val="both"/>
        <w:rPr>
          <w:rFonts w:ascii="Arial" w:hAnsi="Arial"/>
          <w:color w:val="000000"/>
          <w:sz w:val="20"/>
        </w:rPr>
      </w:pPr>
      <w:r>
        <w:rPr>
          <w:rFonts w:ascii="Arial" w:hAnsi="Arial"/>
          <w:color w:val="000000"/>
          <w:sz w:val="20"/>
        </w:rPr>
        <w:t>In addition, we expect to be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40"/>
        <w:jc w:val="both"/>
        <w:rPr>
          <w:rFonts w:ascii="Arial" w:hAnsi="Arial"/>
          <w:color w:val="000000"/>
          <w:sz w:val="20"/>
        </w:rPr>
      </w:pPr>
      <w:r>
        <w:rPr>
          <w:rFonts w:ascii="Arial" w:hAnsi="Arial"/>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0" w:after="240"/>
        <w:jc w:val="both"/>
        <w:rPr>
          <w:rFonts w:ascii="Arial" w:hAnsi="Arial"/>
          <w:color w:val="000000"/>
          <w:sz w:val="20"/>
        </w:rPr>
      </w:pPr>
      <w:r>
        <w:rPr>
          <w:rFonts w:ascii="Arial" w:hAnsi="Arial"/>
          <w:color w:val="000000"/>
          <w:sz w:val="20"/>
        </w:rPr>
        <w:t>If we are not able to effectively expand our organization by hiring new employees and/or engaging additional third-party service providers, we may not be able to successfully implement the tasks necessary to further develop and commercialize palazestrant, OP-3136 and any other future product candidates we may develop and, accordingly, may not achieve our research, development and commercialization goals.</w:t>
      </w:r>
    </w:p>
    <w:p>
      <w:pPr>
        <w:pStyle w:val="TextBody"/>
        <w:bidi w:val="0"/>
        <w:jc w:val="both"/>
        <w:rPr>
          <w:rFonts w:ascii="Arial" w:hAnsi="Arial"/>
          <w:b/>
          <w:i/>
          <w:color w:val="000000"/>
          <w:sz w:val="20"/>
        </w:rPr>
      </w:pPr>
      <w:r>
        <w:rPr>
          <w:rFonts w:ascii="Arial" w:hAnsi="Arial"/>
          <w:b/>
          <w:i/>
          <w:color w:val="000000"/>
          <w:sz w:val="20"/>
        </w:rPr>
        <w:t>Our internal information technology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ordinary course of our business, we and the third parties with whom we work, collect, receive, store, process, generate, use, transfer, disclose, make accessible, protect, secure, dispose of, transmit, and share (collectively, processing) proprietary, confidential, and sensitive data, including personal data (such as health-related data), intellectual property, trade secrets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and the third parties with whom we work are subject to a variety of evolving threats, including but not limited to social-engineering attacks (including through deep fakes, which may be increasingly more difficult to identify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may not be able to anticipate all types of security incidents, and we may not be able to implement preventive measures effective against all such security incidents. A security incident or other interruption could disrupt our ability (and that of third parties upon whom we rely) to run our business. 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Moreover, in November 2021, we were alerted to an incident involving falsified information circulating on social media relating to our planned poster presentation for the Phase 1 dose-escalation portion of the ongoing Phase 1/2 clinical study of palazestrant at the San Antonio Breast Cancer Symposium. 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pStyle w:val="TextBody"/>
        <w:bidi w:val="0"/>
        <w:jc w:val="both"/>
        <w:rPr>
          <w:rFonts w:ascii="Times New Roman" w:hAnsi="Times New Roman"/>
          <w:sz w:val="20"/>
        </w:rPr>
      </w:pPr>
      <w:r>
        <w:rPr>
          <w:rFonts w:ascii="Arial" w:hAnsi="Arial"/>
          <w:color w:val="000000"/>
          <w:sz w:val="20"/>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0" w:after="240"/>
        <w:jc w:val="both"/>
        <w:rPr>
          <w:rFonts w:ascii="Arial" w:hAnsi="Arial"/>
          <w:b/>
          <w:i/>
          <w:color w:val="000000"/>
          <w:sz w:val="20"/>
        </w:rPr>
      </w:pPr>
      <w:r>
        <w:rPr>
          <w:rFonts w:ascii="Arial" w:hAnsi="Arial"/>
          <w:b/>
          <w:i/>
          <w:color w:val="000000"/>
          <w:sz w:val="20"/>
        </w:rPr>
        <w:t>EU drug marketing and reimbursement regulations may materially affect our ability to market and receive coverage for our product in the European Member States.</w:t>
      </w:r>
    </w:p>
    <w:p>
      <w:pPr>
        <w:pStyle w:val="TextBody"/>
        <w:bidi w:val="0"/>
        <w:spacing w:before="0" w:after="240"/>
        <w:jc w:val="both"/>
        <w:rPr>
          <w:rFonts w:ascii="Arial" w:hAnsi="Arial"/>
          <w:color w:val="000000"/>
          <w:sz w:val="20"/>
        </w:rPr>
      </w:pPr>
      <w:r>
        <w:rPr>
          <w:rFonts w:ascii="Arial" w:hAnsi="Arial"/>
          <w:color w:val="000000"/>
          <w:sz w:val="20"/>
        </w:rPr>
        <w:t>We intend to seek approval to market palazestrant or OP-3136 in both the United States and in selected foreign jurisdictions. If we obtain approval in one or more foreign jurisdictions for palazestrant or OP-3136, we will be subject to rules and regulations in those jurisdictions. In some foreign countries, particularly those in the European Union, the pricing of drugs is subject to governmental control and other market regulations which could put pressure on the pricing and usage of palazestrant or OP-3136. In these countries, pricing negotiations with governmental authorities can take considerable time after obtaining marketing approval of a product candidate. In addition, market acceptance and sales of palazestrant or OP-3136 will depend significantly on the availability of adequate coverage and reimbursement from third-party payors for palazestrant or OP-3136 and may be affected by existing and future healthcare reform measures.</w:t>
      </w:r>
    </w:p>
    <w:p>
      <w:pPr>
        <w:pStyle w:val="TextBody"/>
        <w:bidi w:val="0"/>
        <w:jc w:val="both"/>
        <w:rPr>
          <w:rFonts w:ascii="Arial" w:hAnsi="Arial"/>
          <w:color w:val="000000"/>
          <w:sz w:val="20"/>
        </w:rPr>
      </w:pPr>
      <w:r>
        <w:rPr>
          <w:rFonts w:ascii="Arial" w:hAnsi="Arial"/>
          <w:color w:val="000000"/>
          <w:sz w:val="20"/>
        </w:rPr>
        <w:t>Moreover,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Legislators, policymakers and healthcare insurance funds in the EU may continue to propose and implement cost-containing measures to keep healthcare costs down, particularly due to the financial strain that the COVID-19 pandemic placed on national healthcare systems of EU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of the product in their own territory. Consequently, a downward trend in prices of medicinal products in some countries could contribute to similar downward trends elsewhere.</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Business disruptions could seriously harm our future revenue and financial condition and increase our costs and expenses.</w:t>
      </w:r>
    </w:p>
    <w:p>
      <w:pPr>
        <w:pStyle w:val="TextBody"/>
        <w:bidi w:val="0"/>
        <w:spacing w:before="0" w:after="240"/>
        <w:jc w:val="both"/>
        <w:rPr>
          <w:rFonts w:ascii="Arial" w:hAnsi="Arial"/>
          <w:color w:val="000000"/>
          <w:sz w:val="20"/>
        </w:rPr>
      </w:pPr>
      <w:r>
        <w:rPr>
          <w:rFonts w:ascii="Arial" w:hAnsi="Arial"/>
          <w:color w:val="000000"/>
          <w:sz w:val="20"/>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pStyle w:val="TextBody"/>
        <w:bidi w:val="0"/>
        <w:spacing w:before="0" w:after="240"/>
        <w:jc w:val="both"/>
        <w:rPr>
          <w:rFonts w:ascii="Arial" w:hAnsi="Arial"/>
          <w:b/>
          <w:i/>
          <w:color w:val="000000"/>
          <w:sz w:val="20"/>
        </w:rPr>
      </w:pPr>
      <w:r>
        <w:rPr>
          <w:rFonts w:ascii="Arial" w:hAnsi="Arial"/>
          <w:b/>
          <w:i/>
          <w:color w:val="000000"/>
          <w:sz w:val="20"/>
        </w:rPr>
        <w:t>Our ability to utilize our net operating loss carryforwards and certain other tax attributes may be limited.</w:t>
      </w:r>
    </w:p>
    <w:p>
      <w:pPr>
        <w:pStyle w:val="TextBody"/>
        <w:bidi w:val="0"/>
        <w:jc w:val="both"/>
        <w:rPr>
          <w:rFonts w:ascii="Arial" w:hAnsi="Arial"/>
          <w:color w:val="000000"/>
          <w:sz w:val="20"/>
        </w:rPr>
      </w:pPr>
      <w:r>
        <w:rPr>
          <w:rFonts w:ascii="Arial" w:hAnsi="Arial"/>
          <w:color w:val="000000"/>
          <w:sz w:val="20"/>
        </w:rPr>
        <w:t>Our net operating loss, or NOL, carryforwards could expire unused and be unavailable to offset future income tax liabilities because of their limited duration or other restrictions. Under current U.S. federal tax law,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is limited to 80% of current year taxable income. It is uncertain if and to what extent various states will conform to current U.S. federal tax law.</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pStyle w:val="TextBody"/>
        <w:bidi w:val="0"/>
        <w:spacing w:before="0" w:after="240"/>
        <w:jc w:val="both"/>
        <w:rPr>
          <w:rFonts w:ascii="Arial" w:hAnsi="Arial"/>
          <w:b/>
          <w:i/>
          <w:color w:val="000000"/>
          <w:sz w:val="20"/>
        </w:rPr>
      </w:pPr>
      <w:r>
        <w:rPr>
          <w:rFonts w:ascii="Arial" w:hAnsi="Arial"/>
          <w:b/>
          <w:i/>
          <w:color w:val="000000"/>
          <w:sz w:val="20"/>
        </w:rPr>
        <w:t>A variety of risks associated with marketing palazestrant, OP-3136 or any future product candidate we may develop internationally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differing regulatory requirements and reimbursement regimes in foreign countries;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unexpected changes in tariffs, trade barriers, price and exchange controls and other regulatory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economic weakness, including inflation, or political instability in particular foreign economies and markets;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compliance with tax, employment, immigration and labor laws for employees living or traveling abroad;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foreign taxes, including withholding of payroll taxes;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foreign currency fluctuations, which could result in increased operating expenses and reduced revenue, and other obligations incident to doing business in another country;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difficulties staffing and managing foreign operations;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workforce uncertainty in countries where labor unrest is more common than in the United States;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potential liability under the FCPA or comparable foreign regulations;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production shortages resulting from any events affecting raw material supply or manufacturing capabilities abroad;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business interruptions resulting from geo-political actions, including war and terrorism.</w:t>
      </w:r>
    </w:p>
    <w:p>
      <w:pPr>
        <w:pStyle w:val="TextBody"/>
        <w:bidi w:val="0"/>
        <w:spacing w:before="0" w:after="240"/>
        <w:jc w:val="both"/>
        <w:rPr>
          <w:rFonts w:ascii="Arial" w:hAnsi="Arial"/>
          <w:color w:val="000000"/>
          <w:sz w:val="20"/>
        </w:rPr>
      </w:pPr>
      <w:r>
        <w:rPr>
          <w:rFonts w:ascii="Arial" w:hAnsi="Arial"/>
          <w:color w:val="000000"/>
          <w:sz w:val="20"/>
        </w:rPr>
        <w:t>These and other risks associated with our international operations may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0" w:after="240"/>
        <w:jc w:val="both"/>
        <w:rPr>
          <w:rFonts w:ascii="Arial" w:hAnsi="Arial"/>
          <w:b/>
          <w:i/>
          <w:color w:val="000000"/>
          <w:sz w:val="20"/>
        </w:rPr>
      </w:pPr>
      <w:r>
        <w:rPr>
          <w:rFonts w:ascii="Arial" w:hAnsi="Arial"/>
          <w:b/>
          <w:i/>
          <w:color w:val="000000"/>
          <w:sz w:val="20"/>
        </w:rPr>
        <w:t>Our success depends on our ability to protect our intellectual property and our proprietary technologies.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 proprietary technologies and their uses,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0" w:after="240"/>
        <w:jc w:val="both"/>
        <w:rPr>
          <w:rFonts w:ascii="Arial" w:hAnsi="Arial"/>
          <w:color w:val="000000"/>
          <w:sz w:val="20"/>
        </w:rPr>
      </w:pPr>
      <w:r>
        <w:rPr>
          <w:rFonts w:ascii="Arial" w:hAnsi="Arial"/>
          <w:color w:val="000000"/>
          <w:sz w:val="20"/>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pStyle w:val="TextBody"/>
        <w:bidi w:val="0"/>
        <w:spacing w:before="0" w:after="240"/>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patent applications must be filed in advance of certain events (</w:t>
      </w:r>
      <w:r>
        <w:rPr>
          <w:rFonts w:ascii="Arial" w:hAnsi="Arial"/>
          <w:i/>
          <w:color w:val="231F20"/>
          <w:sz w:val="20"/>
        </w:rPr>
        <w:t xml:space="preserve">e.g., </w:t>
      </w:r>
      <w:r>
        <w:rPr>
          <w:rFonts w:ascii="Arial" w:hAnsi="Arial"/>
          <w:color w:val="231F20"/>
          <w:sz w:val="20"/>
        </w:rPr>
        <w:t>third party filings, certain sales or offers for sale, or other activities that might be legally deemed to be public disclosures) and we might not be aware of such events or otherwise might not succeed in filing applications before they occur;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patent applications may not result in any patents being issued;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patents may be challenged, invalidated, modified, revoked, circumvented, found to be unenforceable or otherwise may not provide any competitive advantage;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there may be significant pressure on the U.S. government and international governmental bodies to limit the scope of patent protection both inside and outside the United States;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0" w:after="240"/>
        <w:jc w:val="both"/>
        <w:rPr>
          <w:rFonts w:ascii="Arial" w:hAnsi="Arial"/>
          <w:color w:val="000000"/>
          <w:sz w:val="20"/>
        </w:rPr>
      </w:pPr>
      <w:r>
        <w:rPr>
          <w:rFonts w:ascii="Arial" w:hAnsi="Arial"/>
          <w:color w:val="000000"/>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bidi w:val="0"/>
        <w:spacing w:before="0" w:after="240"/>
        <w:jc w:val="both"/>
        <w:rPr>
          <w:rFonts w:ascii="Times New Roman" w:hAnsi="Times New Roman"/>
          <w:sz w:val="20"/>
        </w:rPr>
      </w:pPr>
      <w:r>
        <w:rPr>
          <w:rFonts w:ascii="Arial" w:hAnsi="Arial"/>
          <w:color w:val="000000"/>
          <w:sz w:val="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0" w:after="240"/>
        <w:jc w:val="both"/>
        <w:rPr>
          <w:rFonts w:ascii="Arial" w:hAnsi="Arial"/>
          <w:color w:val="000000"/>
          <w:sz w:val="20"/>
        </w:rPr>
      </w:pPr>
      <w:r>
        <w:rPr>
          <w:rFonts w:ascii="Arial" w:hAnsi="Arial"/>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0" w:after="240"/>
        <w:jc w:val="both"/>
        <w:rPr>
          <w:rFonts w:ascii="Arial" w:hAnsi="Arial"/>
          <w:color w:val="000000"/>
          <w:sz w:val="20"/>
        </w:rPr>
      </w:pPr>
      <w:r>
        <w:rPr>
          <w:rFonts w:ascii="Arial" w:hAnsi="Arial"/>
          <w:color w:val="000000"/>
          <w:sz w:val="20"/>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pStyle w:val="TextBody"/>
        <w:bidi w:val="0"/>
        <w:spacing w:before="0" w:after="240"/>
        <w:jc w:val="both"/>
        <w:rPr>
          <w:rFonts w:ascii="Arial" w:hAnsi="Arial"/>
          <w:color w:val="000000"/>
          <w:sz w:val="20"/>
        </w:rPr>
      </w:pPr>
      <w:r>
        <w:rPr>
          <w:rFonts w:ascii="Arial" w:hAnsi="Arial"/>
          <w:color w:val="000000"/>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0" w:after="240"/>
        <w:jc w:val="both"/>
        <w:rPr>
          <w:rFonts w:ascii="Arial" w:hAnsi="Arial"/>
          <w:color w:val="000000"/>
          <w:sz w:val="20"/>
        </w:rPr>
      </w:pPr>
      <w:r>
        <w:rPr>
          <w:rFonts w:ascii="Arial" w:hAnsi="Arial"/>
          <w:color w:val="000000"/>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bidi w:val="0"/>
        <w:spacing w:before="0" w:after="240"/>
        <w:jc w:val="both"/>
        <w:rPr>
          <w:rFonts w:ascii="Arial" w:hAnsi="Arial"/>
          <w:color w:val="000000"/>
          <w:sz w:val="20"/>
        </w:rPr>
      </w:pPr>
      <w:r>
        <w:rPr>
          <w:rFonts w:ascii="Arial" w:hAnsi="Arial"/>
          <w:color w:val="000000"/>
          <w:sz w:val="20"/>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pStyle w:val="TextBody"/>
        <w:bidi w:val="0"/>
        <w:spacing w:before="0" w:after="240"/>
        <w:jc w:val="both"/>
        <w:rPr>
          <w:rFonts w:ascii="Times New Roman" w:hAnsi="Times New Roman"/>
          <w:sz w:val="20"/>
        </w:rPr>
      </w:pPr>
      <w:r>
        <w:rPr>
          <w:rFonts w:ascii="Arial" w:hAnsi="Arial"/>
          <w:color w:val="000000"/>
          <w:sz w:val="20"/>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rights do not necessarily address all potential threats to our competitive advantage.</w:t>
      </w:r>
    </w:p>
    <w:p>
      <w:pPr>
        <w:pStyle w:val="TextBody"/>
        <w:bidi w:val="0"/>
        <w:spacing w:before="0" w:after="240"/>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may not be able to detect infringement of our issued patents;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others may be able to develop products that are similar to palazestrant, or any future product candidates we may develop, but that are not covered by the claims of the patents that we may in-license in the future or own;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competitors may seek or may have already obtained patents that will limit, interfere with or eliminate our ability to make, use and sell palazestrant or any future product candidates we may develop;</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not have been the first to make the inventions covered by the issued patents or patent application that we may in-license in the future or own;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be found not have been the first to file patent applications covering certain of our or their inventions;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others may independently develop similar or alternative technologies or duplicate any of our technologies without infringing our intellectual property rights;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it is possible that the pending patent applications we may in-license in the future or own will not lead to issued patents;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it is possible that there are prior public disclosures that could invalidate our patents, or parts of our patents, for which we are not aware;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issued patents that we hold rights to may be held invalid or unenforceable, as a result of legal challenges by our competitors;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issued patents may not have sufficient term or geographic scope to provide meaningful protection;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may not develop additional proprietary technologies that are patentable;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patents of others may have an adverse effect on our business;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may choose not to file a patent in order to maintain certain trade secrets, and a third party may subsequently file a patent covering such intellectual property.</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pStyle w:val="TextBody"/>
        <w:bidi w:val="0"/>
        <w:spacing w:before="0" w:after="240"/>
        <w:jc w:val="both"/>
        <w:rPr>
          <w:rFonts w:ascii="Arial" w:hAnsi="Arial"/>
          <w:color w:val="000000"/>
          <w:sz w:val="20"/>
        </w:rPr>
      </w:pPr>
      <w:r>
        <w:rPr>
          <w:rFonts w:ascii="Arial" w:hAnsi="Arial"/>
          <w:color w:val="000000"/>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pStyle w:val="TextBody"/>
        <w:bidi w:val="0"/>
        <w:spacing w:before="0" w:after="240"/>
        <w:jc w:val="both"/>
        <w:rPr>
          <w:rFonts w:ascii="Arial" w:hAnsi="Arial"/>
          <w:color w:val="000000"/>
          <w:sz w:val="20"/>
        </w:rPr>
      </w:pPr>
      <w:r>
        <w:rPr>
          <w:rFonts w:ascii="Arial" w:hAnsi="Arial"/>
          <w:color w:val="000000"/>
          <w:sz w:val="20"/>
        </w:rPr>
        <w:t>Any claims of patent infringement, misappropriation or other violations asserted by third parties would be time consuming and could: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result in costly litigation that may cause negative publicity;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cause development delays;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prevent us from commercializing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require us to develop non-infringing technology, which may not be possible on a cost-effective basis;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 us to significant liability to third parties; 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0" w:after="240"/>
        <w:jc w:val="both"/>
        <w:rPr>
          <w:rFonts w:ascii="Arial" w:hAnsi="Arial"/>
          <w:color w:val="000000"/>
          <w:sz w:val="20"/>
        </w:rPr>
      </w:pPr>
      <w:r>
        <w:rPr>
          <w:rFonts w:ascii="Arial" w:hAnsi="Arial"/>
          <w:color w:val="000000"/>
          <w:sz w:val="20"/>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pStyle w:val="TextBody"/>
        <w:bidi w:val="0"/>
        <w:spacing w:before="0" w:after="240"/>
        <w:jc w:val="both"/>
        <w:rPr>
          <w:rFonts w:ascii="Arial" w:hAnsi="Arial"/>
          <w:color w:val="000000"/>
          <w:sz w:val="20"/>
        </w:rPr>
      </w:pPr>
      <w:r>
        <w:rPr>
          <w:rFonts w:ascii="Arial" w:hAnsi="Arial"/>
          <w:color w:val="000000"/>
          <w:sz w:val="20"/>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not be successful in obtaining or maintaining necessary rights from third parties for that we identify as necessary for palazestrant or OP-3136 through acquisitions and in-licenses.</w:t>
      </w:r>
    </w:p>
    <w:p>
      <w:pPr>
        <w:pStyle w:val="TextBody"/>
        <w:bidi w:val="0"/>
        <w:spacing w:before="0" w:after="240"/>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spacing w:before="0" w:after="240"/>
        <w:jc w:val="both"/>
        <w:rPr>
          <w:rFonts w:ascii="Arial" w:hAnsi="Arial"/>
          <w:color w:val="000000"/>
          <w:sz w:val="20"/>
        </w:rPr>
      </w:pPr>
      <w:r>
        <w:rPr>
          <w:rFonts w:ascii="Arial" w:hAnsi="Arial"/>
          <w:color w:val="000000"/>
          <w:sz w:val="20"/>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pStyle w:val="TextBody"/>
        <w:bidi w:val="0"/>
        <w:spacing w:before="0" w:after="240"/>
        <w:jc w:val="both"/>
        <w:rPr>
          <w:rFonts w:ascii="Arial" w:hAnsi="Arial"/>
          <w:color w:val="000000"/>
          <w:sz w:val="20"/>
        </w:rPr>
      </w:pPr>
      <w:r>
        <w:rPr>
          <w:rFonts w:ascii="Arial" w:hAnsi="Arial"/>
          <w:color w:val="000000"/>
          <w:sz w:val="20"/>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0" w:after="240"/>
        <w:jc w:val="both"/>
        <w:rPr>
          <w:rFonts w:ascii="Arial" w:hAnsi="Arial"/>
          <w:color w:val="000000"/>
          <w:sz w:val="20"/>
        </w:rPr>
      </w:pPr>
      <w:r>
        <w:rPr>
          <w:rFonts w:ascii="Arial" w:hAnsi="Arial"/>
          <w:color w:val="000000"/>
          <w:sz w:val="20"/>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0" w:after="240"/>
        <w:jc w:val="both"/>
        <w:rPr>
          <w:rFonts w:ascii="Arial" w:hAnsi="Arial"/>
          <w:color w:val="000000"/>
          <w:sz w:val="20"/>
        </w:rPr>
      </w:pPr>
      <w:r>
        <w:rPr>
          <w:rFonts w:ascii="Arial" w:hAnsi="Arial"/>
          <w:color w:val="000000"/>
          <w:sz w:val="20"/>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0" w:after="240"/>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litigation may lead to unfavorable publicity that harms our reputation and causes the market price of our common shares to decline.</w:t>
      </w:r>
    </w:p>
    <w:p>
      <w:pPr>
        <w:pStyle w:val="TextBody"/>
        <w:bidi w:val="0"/>
        <w:spacing w:before="0" w:after="240"/>
        <w:jc w:val="both"/>
        <w:rPr>
          <w:rFonts w:ascii="Arial" w:hAnsi="Arial"/>
          <w:color w:val="000000"/>
          <w:sz w:val="20"/>
        </w:rPr>
      </w:pPr>
      <w:r>
        <w:rPr>
          <w:rFonts w:ascii="Arial" w:hAnsi="Arial"/>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0" w:after="240"/>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pStyle w:val="TextBody"/>
        <w:bidi w:val="0"/>
        <w:spacing w:before="0" w:after="240"/>
        <w:jc w:val="both"/>
        <w:rPr>
          <w:rFonts w:ascii="Arial" w:hAnsi="Arial"/>
          <w:color w:val="000000"/>
          <w:sz w:val="20"/>
        </w:rPr>
      </w:pPr>
      <w:r>
        <w:rPr>
          <w:rFonts w:ascii="Arial" w:hAnsi="Arial"/>
          <w:color w:val="000000"/>
          <w:sz w:val="20"/>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before="0" w:after="240"/>
        <w:jc w:val="both"/>
        <w:rPr>
          <w:rFonts w:ascii="Times New Roman" w:hAnsi="Times New Roman"/>
          <w:sz w:val="20"/>
        </w:rPr>
      </w:pPr>
      <w:r>
        <w:rPr>
          <w:rFonts w:ascii="Arial" w:hAnsi="Arial"/>
          <w:color w:val="000000"/>
          <w:sz w:val="20"/>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OP-3136 or any future product candidate we may develop or (2) invent any of the inventions claimed in the patents or patent applications.</w:t>
      </w:r>
    </w:p>
    <w:p>
      <w:pPr>
        <w:pStyle w:val="TextBody"/>
        <w:bidi w:val="0"/>
        <w:spacing w:before="0" w:after="240"/>
        <w:jc w:val="both"/>
        <w:rPr>
          <w:rFonts w:ascii="Arial" w:hAnsi="Arial"/>
          <w:color w:val="000000"/>
          <w:sz w:val="20"/>
        </w:rPr>
      </w:pPr>
      <w:r>
        <w:rPr>
          <w:rFonts w:ascii="Arial" w:hAnsi="Arial"/>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0" w:after="240"/>
        <w:jc w:val="both"/>
        <w:rPr>
          <w:rFonts w:ascii="Arial" w:hAnsi="Arial"/>
          <w:color w:val="000000"/>
          <w:sz w:val="20"/>
        </w:rPr>
      </w:pPr>
      <w:r>
        <w:rPr>
          <w:rFonts w:ascii="Arial" w:hAnsi="Arial"/>
          <w:color w:val="000000"/>
          <w:sz w:val="20"/>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Changes in U.S. patent law, or laws in other countries, could diminish the value of patents in general, thereby impairing our ability to protect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0" w:after="240"/>
        <w:jc w:val="both"/>
        <w:rPr>
          <w:rFonts w:ascii="Arial" w:hAnsi="Arial"/>
          <w:color w:val="000000"/>
          <w:sz w:val="20"/>
        </w:rPr>
      </w:pPr>
      <w:r>
        <w:rPr>
          <w:rFonts w:ascii="Arial" w:hAnsi="Arial"/>
          <w:color w:val="000000"/>
          <w:sz w:val="20"/>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challenging the inventorship or ownership of our patents and other intellectual property.</w:t>
      </w:r>
    </w:p>
    <w:p>
      <w:pPr>
        <w:pStyle w:val="TextBody"/>
        <w:bidi w:val="0"/>
        <w:spacing w:before="0" w:after="240"/>
        <w:jc w:val="both"/>
        <w:rPr>
          <w:rFonts w:ascii="Arial" w:hAnsi="Arial"/>
          <w:color w:val="000000"/>
          <w:sz w:val="20"/>
        </w:rPr>
      </w:pPr>
      <w:r>
        <w:rPr>
          <w:rFonts w:ascii="Arial" w:hAnsi="Arial"/>
          <w:color w:val="000000"/>
          <w:sz w:val="20"/>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w:t>
      </w:r>
    </w:p>
    <w:p>
      <w:pPr>
        <w:pStyle w:val="TextBody"/>
        <w:bidi w:val="0"/>
        <w:spacing w:before="0" w:after="240"/>
        <w:jc w:val="both"/>
        <w:rPr>
          <w:rFonts w:ascii="Arial" w:hAnsi="Arial"/>
          <w:color w:val="000000"/>
          <w:sz w:val="20"/>
        </w:rPr>
      </w:pPr>
      <w:r>
        <w:rPr>
          <w:rFonts w:ascii="Arial" w:hAnsi="Arial"/>
          <w:color w:val="000000"/>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spacing w:before="0" w:after="240"/>
        <w:jc w:val="both"/>
        <w:rPr>
          <w:rFonts w:ascii="Arial" w:hAnsi="Arial"/>
          <w:b/>
          <w:i/>
          <w:color w:val="000000"/>
          <w:sz w:val="20"/>
        </w:rPr>
      </w:pPr>
      <w:r>
        <w:rPr>
          <w:rFonts w:ascii="Arial" w:hAnsi="Arial"/>
          <w:b/>
          <w:i/>
          <w:color w:val="000000"/>
          <w:sz w:val="20"/>
        </w:rPr>
        <w:t>Patent terms may be inadequate to protect our competitive position on palazestrant, OP-3136 or any future product candidates we may develop for an adequate amount of time.</w:t>
      </w:r>
    </w:p>
    <w:p>
      <w:pPr>
        <w:pStyle w:val="TextBody"/>
        <w:bidi w:val="0"/>
        <w:spacing w:before="0" w:after="240"/>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0" w:after="240"/>
        <w:jc w:val="both"/>
        <w:rPr>
          <w:rFonts w:ascii="Arial" w:hAnsi="Arial"/>
          <w:color w:val="000000"/>
          <w:sz w:val="20"/>
        </w:rPr>
      </w:pPr>
      <w:r>
        <w:rPr>
          <w:rFonts w:ascii="Arial" w:hAnsi="Arial"/>
          <w:color w:val="000000"/>
          <w:sz w:val="20"/>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pStyle w:val="TextBody"/>
        <w:bidi w:val="0"/>
        <w:spacing w:before="0" w:after="240"/>
        <w:jc w:val="both"/>
        <w:rPr>
          <w:rFonts w:ascii="Arial" w:hAnsi="Arial"/>
          <w:color w:val="000000"/>
          <w:sz w:val="20"/>
        </w:rPr>
      </w:pPr>
      <w:r>
        <w:rPr>
          <w:rFonts w:ascii="Arial" w:hAnsi="Arial"/>
          <w:color w:val="000000"/>
          <w:sz w:val="20"/>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do not obtain patent term extension for palazestrant, OP-3136 or any future product candidates we may develop, our business, financial condition, results of operations and prospects may be significantly harmed.</w:t>
      </w:r>
    </w:p>
    <w:p>
      <w:pPr>
        <w:pStyle w:val="TextBody"/>
        <w:bidi w:val="0"/>
        <w:spacing w:before="0" w:after="240"/>
        <w:jc w:val="both"/>
        <w:rPr>
          <w:rFonts w:ascii="Times New Roman" w:hAnsi="Times New Roman"/>
          <w:sz w:val="20"/>
        </w:rPr>
      </w:pPr>
      <w:r>
        <w:rPr>
          <w:rFonts w:ascii="Arial" w:hAnsi="Arial"/>
          <w:color w:val="000000"/>
          <w:sz w:val="20"/>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or the Hatch-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pStyle w:val="TextBody"/>
        <w:bidi w:val="0"/>
        <w:spacing w:before="0" w:after="240"/>
        <w:jc w:val="both"/>
        <w:rPr>
          <w:rFonts w:ascii="Arial" w:hAnsi="Arial"/>
          <w:b/>
          <w:i/>
          <w:color w:val="000000"/>
          <w:sz w:val="20"/>
        </w:rPr>
      </w:pPr>
      <w:r>
        <w:rPr>
          <w:rFonts w:ascii="Arial" w:hAnsi="Arial"/>
          <w:b/>
          <w:i/>
          <w:color w:val="000000"/>
          <w:sz w:val="20"/>
        </w:rPr>
        <w:t>We will not be able to protect our intellectual property rights throughout the world.</w:t>
      </w:r>
    </w:p>
    <w:p>
      <w:pPr>
        <w:pStyle w:val="TextBody"/>
        <w:bidi w:val="0"/>
        <w:spacing w:before="0" w:after="240"/>
        <w:jc w:val="both"/>
        <w:rPr>
          <w:rFonts w:ascii="Arial" w:hAnsi="Arial"/>
          <w:color w:val="000000"/>
          <w:sz w:val="20"/>
        </w:rPr>
      </w:pPr>
      <w:r>
        <w:rPr>
          <w:rFonts w:ascii="Arial" w:hAnsi="Arial"/>
          <w:color w:val="000000"/>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pStyle w:val="TextBody"/>
        <w:bidi w:val="0"/>
        <w:spacing w:before="0" w:after="240"/>
        <w:jc w:val="both"/>
        <w:rPr>
          <w:rFonts w:ascii="Arial" w:hAnsi="Arial"/>
          <w:color w:val="000000"/>
          <w:sz w:val="20"/>
        </w:rPr>
      </w:pPr>
      <w:r>
        <w:rPr>
          <w:rFonts w:ascii="Arial" w:hAnsi="Arial"/>
          <w:color w:val="000000"/>
          <w:sz w:val="20"/>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pStyle w:val="TextBody"/>
        <w:bidi w:val="0"/>
        <w:spacing w:before="0" w:after="240"/>
        <w:jc w:val="both"/>
        <w:rPr>
          <w:rFonts w:ascii="Times New Roman" w:hAnsi="Times New Roman"/>
          <w:sz w:val="20"/>
        </w:rPr>
      </w:pPr>
      <w:r>
        <w:rPr>
          <w:rFonts w:ascii="Arial" w:hAnsi="Arial"/>
          <w:color w:val="000000"/>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0" w:after="240"/>
        <w:jc w:val="left"/>
        <w:rPr>
          <w:rFonts w:ascii="Arial" w:hAnsi="Arial"/>
          <w:b/>
          <w:i/>
          <w:color w:val="000000"/>
          <w:sz w:val="20"/>
        </w:rPr>
      </w:pPr>
      <w:r>
        <w:rPr>
          <w:rFonts w:ascii="Arial" w:hAnsi="Arial"/>
          <w:b/>
          <w:i/>
          <w:color w:val="000000"/>
          <w:sz w:val="20"/>
        </w:rPr>
        <w:t>If we are unable to protect the confidentiality of our trade secrets, our business, financial condition, results of operations, prospects and competitive position would be significantly harmed.</w:t>
      </w:r>
    </w:p>
    <w:p>
      <w:pPr>
        <w:pStyle w:val="TextBody"/>
        <w:bidi w:val="0"/>
        <w:spacing w:before="0" w:after="240"/>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0" w:after="240"/>
        <w:jc w:val="both"/>
        <w:rPr>
          <w:rFonts w:ascii="Arial" w:hAnsi="Arial"/>
          <w:color w:val="000000"/>
          <w:sz w:val="20"/>
        </w:rPr>
      </w:pPr>
      <w:r>
        <w:rPr>
          <w:rFonts w:ascii="Arial" w:hAnsi="Arial"/>
          <w:color w:val="000000"/>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that we or our employees have wrongfully used or disclosed alleged confidential information or trade secrets.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rights to develop and commercialize our technology and product candidates may be subject, in part, to the terms and conditions of licenses granted to us by others.</w:t>
      </w:r>
    </w:p>
    <w:p>
      <w:pPr>
        <w:pStyle w:val="TextBody"/>
        <w:bidi w:val="0"/>
        <w:spacing w:before="0" w:after="240"/>
        <w:jc w:val="both"/>
        <w:rPr>
          <w:rFonts w:ascii="Arial" w:hAnsi="Arial"/>
          <w:color w:val="000000"/>
          <w:sz w:val="20"/>
        </w:rPr>
      </w:pPr>
      <w:r>
        <w:rPr>
          <w:rFonts w:ascii="Arial" w:hAnsi="Arial"/>
          <w:color w:val="000000"/>
          <w:sz w:val="20"/>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bidi w:val="0"/>
        <w:spacing w:before="0" w:after="240"/>
        <w:jc w:val="both"/>
        <w:rPr>
          <w:rFonts w:ascii="Arial" w:hAnsi="Arial"/>
          <w:color w:val="000000"/>
          <w:sz w:val="20"/>
        </w:rPr>
      </w:pPr>
      <w:r>
        <w:rPr>
          <w:rFonts w:ascii="Arial" w:hAnsi="Arial"/>
          <w:color w:val="000000"/>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bidi w:val="0"/>
        <w:spacing w:before="0" w:after="240"/>
        <w:jc w:val="both"/>
        <w:rPr>
          <w:rFonts w:ascii="Times New Roman" w:hAnsi="Times New Roman"/>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0" w:after="240"/>
        <w:jc w:val="both"/>
        <w:rPr>
          <w:rFonts w:ascii="Arial" w:hAnsi="Arial"/>
          <w:color w:val="000000"/>
          <w:sz w:val="20"/>
        </w:rPr>
      </w:pPr>
      <w:r>
        <w:rPr>
          <w:rFonts w:ascii="Arial" w:hAnsi="Arial"/>
          <w:color w:val="000000"/>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0" w:after="240"/>
        <w:jc w:val="both"/>
        <w:rPr>
          <w:rFonts w:ascii="Arial" w:hAnsi="Arial"/>
          <w:color w:val="000000"/>
          <w:sz w:val="20"/>
        </w:rPr>
      </w:pPr>
      <w:r>
        <w:rPr>
          <w:rFonts w:ascii="Arial" w:hAnsi="Arial"/>
          <w:color w:val="000000"/>
          <w:sz w:val="20"/>
        </w:rPr>
        <w:t>Disputes may arise between us and our past, current or future licensors regarding intellectual property subject to a license agreement,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scope of rights granted under the license agreement and other interpretation-related issues;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whether and the extent to which our technology and processes infringe on intellectual property of the licensor that is not subject to the licensing agreement;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right to sublicense patents and other rights to third parties;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diligence obligations under the license agreement and what activities satisfy those diligence obligations;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right to transfer or assign the license;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inventorship and ownership of inventions and know-how resulting from the joint creation or use of intellectual property by our licensors and us and our partners;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priority of invention of patented technology.</w:t>
      </w:r>
    </w:p>
    <w:p>
      <w:pPr>
        <w:pStyle w:val="TextBody"/>
        <w:bidi w:val="0"/>
        <w:spacing w:before="0" w:after="240"/>
        <w:jc w:val="both"/>
        <w:rPr>
          <w:rFonts w:ascii="Times New Roman" w:hAnsi="Times New Roman"/>
          <w:sz w:val="20"/>
        </w:rPr>
      </w:pPr>
      <w:r>
        <w:rPr>
          <w:rFonts w:ascii="Arial" w:hAnsi="Arial"/>
          <w:color w:val="000000"/>
          <w:sz w:val="20"/>
        </w:rPr>
        <w:t>In addition, the agreements under which we license intellectual property or technology from third parties are complex, and certain provisions in such agreements may be susceptible to multiple interpretations.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bidi w:val="0"/>
        <w:spacing w:before="0" w:after="240"/>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240"/>
        <w:jc w:val="both"/>
        <w:rPr>
          <w:rFonts w:ascii="Arial" w:hAnsi="Arial"/>
          <w:color w:val="000000"/>
          <w:sz w:val="20"/>
        </w:rPr>
      </w:pPr>
      <w:r>
        <w:rPr>
          <w:rFonts w:ascii="Arial" w:hAnsi="Arial"/>
          <w:color w:val="000000"/>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0" w:after="240"/>
        <w:jc w:val="both"/>
        <w:rPr>
          <w:rFonts w:ascii="Arial" w:hAnsi="Arial"/>
          <w:b/>
          <w:i/>
          <w:color w:val="000000"/>
          <w:sz w:val="20"/>
        </w:rPr>
      </w:pPr>
      <w:r>
        <w:rPr>
          <w:rFonts w:ascii="Arial" w:hAnsi="Arial"/>
          <w:b/>
          <w:i/>
          <w:color w:val="000000"/>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pStyle w:val="TextBody"/>
        <w:bidi w:val="0"/>
        <w:spacing w:before="0" w:after="240"/>
        <w:jc w:val="both"/>
        <w:rPr>
          <w:rFonts w:ascii="Times New Roman" w:hAnsi="Times New Roman"/>
          <w:sz w:val="20"/>
        </w:rPr>
      </w:pPr>
      <w:r>
        <w:rPr>
          <w:rFonts w:ascii="Arial" w:hAnsi="Arial"/>
          <w:color w:val="000000"/>
          <w:sz w:val="20"/>
        </w:rPr>
        <w:t>We have relied upon and plan to continue to rely upon third parties, including independent clinical investigators and third-party CROs, to conduct certain aspects of our nonclinical studies and clinical trials and to monitor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pStyle w:val="TextBody"/>
        <w:bidi w:val="0"/>
        <w:spacing w:before="0" w:after="240"/>
        <w:jc w:val="both"/>
        <w:rPr>
          <w:rFonts w:ascii="Arial" w:hAnsi="Arial"/>
          <w:color w:val="000000"/>
          <w:sz w:val="20"/>
        </w:rPr>
      </w:pPr>
      <w:r>
        <w:rPr>
          <w:rFonts w:ascii="Arial" w:hAnsi="Arial"/>
          <w:color w:val="000000"/>
          <w:sz w:val="20"/>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before="0" w:after="240"/>
        <w:jc w:val="both"/>
        <w:rPr>
          <w:rFonts w:ascii="Arial" w:hAnsi="Arial"/>
          <w:color w:val="000000"/>
          <w:sz w:val="20"/>
        </w:rPr>
      </w:pPr>
      <w:r>
        <w:rPr>
          <w:rFonts w:ascii="Arial" w:hAnsi="Arial"/>
          <w:color w:val="000000"/>
          <w:sz w:val="20"/>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contract with third parties for the manufacture of palazestrant for nonclinical studies and our ongoing clinical trials, and expect to continue to do so for additional clinical trials and ultimately for 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pStyle w:val="TextBody"/>
        <w:bidi w:val="0"/>
        <w:spacing w:before="0" w:after="240"/>
        <w:jc w:val="both"/>
        <w:rPr>
          <w:rFonts w:ascii="Times New Roman" w:hAnsi="Times New Roman"/>
          <w:sz w:val="20"/>
        </w:rPr>
      </w:pPr>
      <w:r>
        <w:rPr>
          <w:rFonts w:ascii="Arial" w:hAnsi="Arial"/>
          <w:color w:val="000000"/>
          <w:sz w:val="20"/>
        </w:rPr>
        <w:t>We do not currently have the infrastructure or internal capability to manufacture supplies of palazestrant for use in development and commercialization. We rely, and expect to continue to rely, on third-party manufacturers for the production of palazestrant for nonclinical studies and clinical trials under the guidance of members of our organization. We do not have long-term supply agreements for palazestrant. Furthermore, the raw materials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0" w:after="240"/>
        <w:jc w:val="both"/>
        <w:rPr>
          <w:rFonts w:ascii="Arial" w:hAnsi="Arial"/>
          <w:color w:val="000000"/>
          <w:sz w:val="20"/>
        </w:rPr>
      </w:pPr>
      <w:r>
        <w:rPr>
          <w:rFonts w:ascii="Arial" w:hAnsi="Arial"/>
          <w:color w:val="000000"/>
          <w:sz w:val="20"/>
        </w:rPr>
        <w:t>We expect to continue to rely on third-party manufacturers for the commercial supply of palazestrant,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disruptions resulting from the impact of public health pandemics or epidemics;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reduction or termination of production or deliveries by suppliers, or the raising of prices or renegotiation of terms;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termination or nonrenewal of arrangements or agreements by our third-party contractors at a time that is costly or inconvenient for us;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breach by the third-party contractors of our agreements with them;</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failure of third-party contractors to comply with applicable regulatory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specifications;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mislabeling of clinical supplies, potentially resulting in the wrong dose amounts being supplied or active drug or placebo not being properly identified;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misappropriation of our proprietary information, including our trade secrets and know-how.</w:t>
      </w:r>
    </w:p>
    <w:p>
      <w:pPr>
        <w:pStyle w:val="TextBody"/>
        <w:bidi w:val="0"/>
        <w:jc w:val="both"/>
        <w:rPr>
          <w:rFonts w:ascii="Times New Roman" w:hAnsi="Times New Roman"/>
          <w:sz w:val="20"/>
        </w:rPr>
      </w:pPr>
      <w:r>
        <w:rPr>
          <w:rFonts w:ascii="Arial" w:hAnsi="Arial"/>
          <w:color w:val="000000"/>
          <w:sz w:val="20"/>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if it withdraws any such approval in the future, we may need to find alternative manufacturing facilities, which would significantly impact our ability to develop, obtain marketing approval for or market palazestrant,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For example, for our Phase 1b/2 clinical study of palazestrant in combination with KISQALI® (ribociclib) or PIQRAY® (alpelisib), or the Novartis Study Drugs, in patients with metastatic ER+ breast cancer, we entered into an Amended and Restated Clinical Collaboration and Supply Agreement with Novartis Institutes for BioMedical Research, Inc., or Novartis, as amended by Amendment No. 1 to Amended and Restated Clinical Collaboration and Supply Agreement between us and Novartis, and Amendment No. 2 to Amended and Restated Clinical Collaboration and Supply Agreement between us and Novartis, or, as amended,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1b/2 clinical study may be delayed and the cost to us to conduct this trial may significantly increase, which would significantly harm our business, financial condition, results of operations and prospects. For a description of the Novartis Agreement, see Note 10 to our notes to the condensed consolidated financial statements contained in this Quarterly Report on Form 10-Q Financial Statements.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pStyle w:val="TextBody"/>
        <w:bidi w:val="0"/>
        <w:spacing w:before="0" w:after="240"/>
        <w:jc w:val="both"/>
        <w:rPr>
          <w:rFonts w:ascii="Arial" w:hAnsi="Arial"/>
          <w:b/>
          <w:i/>
          <w:color w:val="000000"/>
          <w:sz w:val="20"/>
        </w:rPr>
      </w:pPr>
      <w:r>
        <w:rPr>
          <w:rFonts w:ascii="Arial" w:hAnsi="Arial"/>
          <w:b/>
          <w:i/>
          <w:color w:val="000000"/>
          <w:sz w:val="20"/>
        </w:rPr>
        <w:t>The manufacture of drugs is complex, and our third-party manufacturers may encounter difficulties in production. If any of our third-party manufacturers encounter such difficulties, our ability to provide adequate supply of palazestrant for clinical trials or our product for patients, if approved, could be delayed or prevented.</w:t>
      </w:r>
    </w:p>
    <w:p>
      <w:pPr>
        <w:pStyle w:val="TextBody"/>
        <w:bidi w:val="0"/>
        <w:spacing w:before="0" w:after="240"/>
        <w:jc w:val="both"/>
        <w:rPr>
          <w:rFonts w:ascii="Arial" w:hAnsi="Arial"/>
          <w:color w:val="000000"/>
          <w:sz w:val="20"/>
        </w:rPr>
      </w:pPr>
      <w:r>
        <w:rPr>
          <w:rFonts w:ascii="Arial" w:hAnsi="Arial"/>
          <w:color w:val="000000"/>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increased operating expenses and cash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assumption of contingent liabilities;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issuance of our equity securities;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assimilation of operations, intellectual property and products of an acquired company, including difficulties associated with integrating new personnel;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diversion of our management’s attention from our existing programs and initiatives in pursuing such a strategic merger or acquisition;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retention of key employees, the loss of key personnel and uncertainties in our ability to maintain key business relationships;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risk of delay in receiving or the failure to receive anticipated benefits of any such transactions, or of facing unanticipated challenges;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risks and uncertainties associated with the other party to such a transaction, including the prospects of that party and their existing products or product candidates and marketing approvals;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0" w:after="240"/>
        <w:jc w:val="both"/>
        <w:rPr>
          <w:rFonts w:ascii="Arial" w:hAnsi="Arial"/>
          <w:color w:val="000000"/>
          <w:sz w:val="20"/>
        </w:rPr>
      </w:pPr>
      <w:r>
        <w:rPr>
          <w:rFonts w:ascii="Arial" w:hAnsi="Arial"/>
          <w:color w:val="000000"/>
          <w:sz w:val="20"/>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240"/>
        <w:jc w:val="both"/>
        <w:rPr>
          <w:rFonts w:ascii="Arial" w:hAnsi="Arial"/>
          <w:b/>
          <w:i/>
          <w:color w:val="000000"/>
          <w:sz w:val="20"/>
        </w:rPr>
      </w:pPr>
      <w:r>
        <w:rPr>
          <w:rFonts w:ascii="Arial" w:hAnsi="Arial"/>
          <w:b/>
          <w:i/>
          <w:color w:val="000000"/>
          <w:sz w:val="20"/>
        </w:rPr>
        <w:t>We have entered into collaborations with third parties for the development and commercialization of palazestrant. If those collaborations are not successful, we may not be able to capitalize on the market potential of palazestrant.</w:t>
      </w:r>
    </w:p>
    <w:p>
      <w:pPr>
        <w:pStyle w:val="TextBody"/>
        <w:bidi w:val="0"/>
        <w:spacing w:before="0" w:after="240"/>
        <w:jc w:val="both"/>
        <w:rPr>
          <w:rFonts w:ascii="Arial" w:hAnsi="Arial"/>
          <w:color w:val="000000"/>
          <w:sz w:val="20"/>
        </w:rPr>
      </w:pPr>
      <w:r>
        <w:rPr>
          <w:rFonts w:ascii="Arial" w:hAnsi="Arial"/>
          <w:color w:val="000000"/>
          <w:sz w:val="20"/>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pStyle w:val="TextBody"/>
        <w:bidi w:val="0"/>
        <w:spacing w:before="0" w:after="240"/>
        <w:jc w:val="both"/>
        <w:rPr>
          <w:rFonts w:ascii="Arial" w:hAnsi="Arial"/>
          <w:color w:val="000000"/>
          <w:sz w:val="20"/>
        </w:rPr>
      </w:pPr>
      <w:r>
        <w:rPr>
          <w:rFonts w:ascii="Arial" w:hAnsi="Arial"/>
          <w:color w:val="000000"/>
          <w:sz w:val="20"/>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have significant discretion in determining the efforts and resources that they will apply to these collaborations and may not perform their obligations as expected;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collaboration agreements may not lead to development or commercialization of product candidates in the most efficient manner or at all;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before="0" w:after="240"/>
        <w:jc w:val="both"/>
        <w:rPr>
          <w:rFonts w:ascii="Arial" w:hAnsi="Arial"/>
          <w:b/>
          <w:i/>
          <w:color w:val="000000"/>
          <w:sz w:val="20"/>
        </w:rPr>
      </w:pPr>
      <w:r>
        <w:rPr>
          <w:rFonts w:ascii="Arial" w:hAnsi="Arial"/>
          <w:b/>
          <w:i/>
          <w:color w:val="000000"/>
          <w:sz w:val="20"/>
        </w:rPr>
        <w:t>If we decide to establish collaborations in the future but are not able to establish those collaborations on commercially reasonable terms, we may have to alter our development and commercialization plans.</w:t>
      </w:r>
    </w:p>
    <w:p>
      <w:pPr>
        <w:pStyle w:val="TextBody"/>
        <w:bidi w:val="0"/>
        <w:spacing w:before="0" w:after="240"/>
        <w:jc w:val="both"/>
        <w:rPr>
          <w:rFonts w:ascii="Arial" w:hAnsi="Arial"/>
          <w:color w:val="000000"/>
          <w:sz w:val="20"/>
        </w:rPr>
      </w:pPr>
      <w:r>
        <w:rPr>
          <w:rFonts w:ascii="Arial" w:hAnsi="Arial"/>
          <w:color w:val="000000"/>
          <w:sz w:val="20"/>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240"/>
        <w:jc w:val="both"/>
        <w:rPr>
          <w:rFonts w:ascii="Times New Roman" w:hAnsi="Times New Roman"/>
          <w:sz w:val="20"/>
        </w:rPr>
      </w:pPr>
      <w:r>
        <w:rPr>
          <w:rFonts w:ascii="Arial" w:hAnsi="Arial"/>
          <w:color w:val="000000"/>
          <w:sz w:val="20"/>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0" w:after="240"/>
        <w:jc w:val="both"/>
        <w:rPr>
          <w:rFonts w:ascii="Arial" w:hAnsi="Arial"/>
          <w:color w:val="000000"/>
          <w:sz w:val="20"/>
        </w:rPr>
      </w:pPr>
      <w:r>
        <w:rPr>
          <w:rFonts w:ascii="Arial" w:hAnsi="Arial"/>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0" w:after="240"/>
        <w:jc w:val="both"/>
        <w:rPr>
          <w:rFonts w:ascii="Arial" w:hAnsi="Arial"/>
          <w:color w:val="000000"/>
          <w:sz w:val="20"/>
        </w:rPr>
      </w:pPr>
      <w:r>
        <w:rPr>
          <w:rFonts w:ascii="Arial" w:hAnsi="Arial"/>
          <w:color w:val="000000"/>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pStyle w:val="TextBody"/>
        <w:bidi w:val="0"/>
        <w:spacing w:before="0" w:after="240"/>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0" w:after="240"/>
        <w:jc w:val="both"/>
        <w:rPr>
          <w:rFonts w:ascii="Arial" w:hAnsi="Arial"/>
          <w:b/>
          <w:i/>
          <w:color w:val="000000"/>
          <w:sz w:val="20"/>
        </w:rPr>
      </w:pPr>
      <w:r>
        <w:rPr>
          <w:rFonts w:ascii="Arial" w:hAnsi="Arial"/>
          <w:b/>
          <w:i/>
          <w:color w:val="000000"/>
          <w:sz w:val="20"/>
        </w:rPr>
        <w:t>An active trading market for our common stock may not be sustained.</w:t>
      </w:r>
    </w:p>
    <w:p>
      <w:pPr>
        <w:pStyle w:val="TextBody"/>
        <w:bidi w:val="0"/>
        <w:spacing w:before="0" w:after="240"/>
        <w:jc w:val="both"/>
        <w:rPr>
          <w:rFonts w:ascii="Arial" w:hAnsi="Arial"/>
          <w:color w:val="000000"/>
          <w:sz w:val="20"/>
        </w:rPr>
      </w:pPr>
      <w:r>
        <w:rPr>
          <w:rFonts w:ascii="Arial" w:hAnsi="Arial"/>
          <w:color w:val="000000"/>
          <w:sz w:val="20"/>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pStyle w:val="TextBody"/>
        <w:bidi w:val="0"/>
        <w:spacing w:before="0" w:after="240"/>
        <w:jc w:val="both"/>
        <w:rPr>
          <w:rFonts w:ascii="Arial" w:hAnsi="Arial"/>
          <w:b/>
          <w:i/>
          <w:color w:val="000000"/>
          <w:sz w:val="20"/>
        </w:rPr>
      </w:pPr>
      <w:r>
        <w:rPr>
          <w:rFonts w:ascii="Arial" w:hAnsi="Arial"/>
          <w:b/>
          <w:i/>
          <w:color w:val="000000"/>
          <w:sz w:val="20"/>
        </w:rPr>
        <w:t>The price of our stock has been and may continue to be volatile, and you could lose all or part of your investment.</w:t>
      </w:r>
    </w:p>
    <w:p>
      <w:pPr>
        <w:pStyle w:val="TextBody"/>
        <w:bidi w:val="0"/>
        <w:spacing w:before="0" w:after="240"/>
        <w:jc w:val="both"/>
        <w:rPr>
          <w:rFonts w:ascii="Arial" w:hAnsi="Arial"/>
          <w:color w:val="000000"/>
          <w:sz w:val="20"/>
        </w:rPr>
      </w:pPr>
      <w:r>
        <w:rPr>
          <w:rFonts w:ascii="Arial" w:hAnsi="Arial"/>
          <w:color w:val="000000"/>
          <w:sz w:val="20"/>
        </w:rPr>
        <w:t>The trading price of our common stock has been and may continue to be highly volatile and subject to wide fluctuations in response to various factors, some of which we cannot control. For example, the closing price of our common stock from January 1, 2023 to May 3, 2024 has ranged from a low of $2.55 to a high of $17.14.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0" w:after="240"/>
        <w:jc w:val="both"/>
        <w:rPr>
          <w:rFonts w:ascii="Arial" w:hAnsi="Arial"/>
          <w:color w:val="000000"/>
          <w:sz w:val="20"/>
        </w:rPr>
      </w:pPr>
      <w:r>
        <w:rPr>
          <w:rFonts w:ascii="Arial" w:hAnsi="Arial"/>
          <w:color w:val="000000"/>
          <w:sz w:val="20"/>
        </w:rPr>
        <w:t>Broad market and industry factors may negatively affect the market price of our common stock, regardless of our actual operating performance. In addition to the factors discussed in this “Risk Factors” section and elsewhere in this Annual Report on Form 10-K, these factors include: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the timing and results of nonclinical studies and clinical trials of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or those of our competitors;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success of competitive products or announcements by potential competitors of their product development efforts;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regulatory actions with respect to our product candidates or our competitors’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our growth rate relative to our competitors;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regulatory or legal developments in the United States and other countries;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developments or disputes concerning patent applications, issued patents or other proprietary rights;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recruitment or departure of key personnel;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announcements by us or our competitors of significant acquisitions, strategic collaborations, joint ventures, collaborations or capital commitments;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estimates as to financial results, development timelines or recommendations by securities analysts;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fluctuations in the valuation of companies perceived by investors to be comparable to us;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market conditions in the pharmaceutical and biotechnology sector;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changes in the structure of healthcare payment systems;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share price and volume fluctuations attributable to inconsistent trading volume levels of our shares;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announcement or expectation of additional financing efforts;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sales of our common stock by us, our insiders or our other stockholders;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general geopolitical, macroeconomic, industry and market conditions, including the ongoing conflict between Ukraine and Russia and related sanctions, armed conflict between Israel and groups based in surrounding regions, labor shortages, inflation rates and the responses by central banking authorities to control such inflation, monetary supply shifts and related financial instability.</w:t>
      </w:r>
    </w:p>
    <w:p>
      <w:pPr>
        <w:pStyle w:val="TextBody"/>
        <w:bidi w:val="0"/>
        <w:spacing w:before="0" w:after="240"/>
        <w:jc w:val="both"/>
        <w:rPr>
          <w:rFonts w:ascii="Arial" w:hAnsi="Arial"/>
          <w:color w:val="000000"/>
          <w:sz w:val="20"/>
        </w:rPr>
      </w:pPr>
      <w:r>
        <w:rPr>
          <w:rFonts w:ascii="Arial" w:hAnsi="Arial"/>
          <w:color w:val="000000"/>
          <w:sz w:val="20"/>
        </w:rPr>
        <w:t>In addition, the trading prices for common stock of other biopharmaceutical companies have been highly volatile as a result of factors unrelated to the specific company or its technology, as well as due to the COVID-19 pandemic.</w:t>
      </w:r>
    </w:p>
    <w:p>
      <w:pPr>
        <w:pStyle w:val="TextBody"/>
        <w:bidi w:val="0"/>
        <w:jc w:val="both"/>
        <w:rPr>
          <w:rFonts w:ascii="Arial" w:hAnsi="Arial"/>
          <w:color w:val="000000"/>
          <w:sz w:val="20"/>
        </w:rPr>
      </w:pPr>
      <w:r>
        <w:rPr>
          <w:rFonts w:ascii="Arial" w:hAnsi="Arial"/>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spacing w:before="0" w:after="240"/>
        <w:jc w:val="both"/>
        <w:rPr>
          <w:rFonts w:ascii="Arial" w:hAnsi="Arial"/>
          <w:color w:val="000000"/>
          <w:sz w:val="20"/>
        </w:rPr>
      </w:pPr>
      <w:r>
        <w:rPr>
          <w:rFonts w:ascii="Arial" w:hAnsi="Arial"/>
          <w:color w:val="000000"/>
          <w:sz w:val="20"/>
        </w:rPr>
        <w:t>We expect our operating results to be subject to quarterly fluctuations. Our net loss and other operating results will be affected by numerous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variations in the level of expense related to the ongoing development of palazestrant, OP-3136 or future development programs;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status of enrollment for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impacts from geopolitical and macroeconomic events on us or third parties with which we engage;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results of clinical trials, or the addition or termination of clinical trials or funding support by us or potential future partners;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execution of any collaboration, licensing or similar arrangements, and the timing of payments we may make or receive under potential future arrangements or the termination or modification of any such potential future arrangements;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intellectual property infringement, misappropriation or violation lawsuit or opposition, interference or cancellation proceeding in which we may become involved;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additions and departures of key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strategic decisions by us or our competitors, such as acquisitions, divestitures, spin-offs, joint ventures, strategic investments or changes in business strategy;</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if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receive regulatory approval, the timing and terms of such approval and market acceptance and demand for such product candidates;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timing and cost to establish a sales, marketing and distribution infrastructure to commercialize any products for which we may obtain marketing approval and intend to commercialize on our own or jointly with current or future collaborators;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regulatory developments affecting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or those of our competitors;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in general market and economic conditions.</w:t>
      </w:r>
    </w:p>
    <w:p>
      <w:pPr>
        <w:pStyle w:val="TextBody"/>
        <w:bidi w:val="0"/>
        <w:spacing w:before="0" w:after="240"/>
        <w:jc w:val="both"/>
        <w:rPr>
          <w:rFonts w:ascii="Arial" w:hAnsi="Arial"/>
          <w:color w:val="000000"/>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0" w:after="240"/>
        <w:jc w:val="both"/>
        <w:rPr>
          <w:rFonts w:ascii="Arial" w:hAnsi="Arial"/>
          <w:b/>
          <w:i/>
          <w:color w:val="000000"/>
          <w:sz w:val="20"/>
        </w:rPr>
      </w:pPr>
      <w:r>
        <w:rPr>
          <w:rFonts w:ascii="Arial" w:hAnsi="Arial"/>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0" w:after="240"/>
        <w:jc w:val="both"/>
        <w:rPr>
          <w:rFonts w:ascii="Arial" w:hAnsi="Arial"/>
          <w:color w:val="000000"/>
          <w:sz w:val="20"/>
        </w:rPr>
      </w:pPr>
      <w:r>
        <w:rPr>
          <w:rFonts w:ascii="Arial" w:hAnsi="Arial"/>
          <w:color w:val="000000"/>
          <w:sz w:val="20"/>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240"/>
        <w:jc w:val="both"/>
        <w:rPr>
          <w:rFonts w:ascii="Arial" w:hAnsi="Arial"/>
          <w:b/>
          <w:i/>
          <w:color w:val="000000"/>
          <w:sz w:val="20"/>
        </w:rPr>
      </w:pPr>
      <w:r>
        <w:rPr>
          <w:rFonts w:ascii="Arial" w:hAnsi="Arial"/>
          <w:b/>
          <w:i/>
          <w:color w:val="000000"/>
          <w:sz w:val="20"/>
        </w:rPr>
        <w:t>Sales of a substantial number of shares of our common stock in the public market could cause our stock price to fall.</w:t>
      </w:r>
    </w:p>
    <w:p>
      <w:pPr>
        <w:pStyle w:val="TextBody"/>
        <w:bidi w:val="0"/>
        <w:spacing w:before="0" w:after="240"/>
        <w:jc w:val="both"/>
        <w:rPr>
          <w:rFonts w:ascii="Arial" w:hAnsi="Arial"/>
          <w:color w:val="000000"/>
          <w:sz w:val="20"/>
        </w:rPr>
      </w:pPr>
      <w:r>
        <w:rPr>
          <w:rFonts w:ascii="Arial" w:hAnsi="Arial"/>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0" w:after="240"/>
        <w:jc w:val="both"/>
        <w:rPr>
          <w:rFonts w:ascii="Arial" w:hAnsi="Arial"/>
          <w:color w:val="000000"/>
          <w:sz w:val="20"/>
        </w:rPr>
      </w:pPr>
      <w:r>
        <w:rPr>
          <w:rFonts w:ascii="Arial" w:hAnsi="Arial"/>
          <w:color w:val="000000"/>
          <w:sz w:val="20"/>
        </w:rPr>
        <w:t>As of March 31, 2024, we had 55,867,863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pStyle w:val="TextBody"/>
        <w:bidi w:val="0"/>
        <w:spacing w:before="0" w:after="240"/>
        <w:jc w:val="both"/>
        <w:rPr>
          <w:rFonts w:ascii="Times New Roman" w:hAnsi="Times New Roman"/>
          <w:sz w:val="20"/>
        </w:rPr>
      </w:pPr>
      <w:r>
        <w:rPr>
          <w:rFonts w:ascii="Arial" w:hAnsi="Arial"/>
          <w:color w:val="000000"/>
          <w:sz w:val="20"/>
        </w:rPr>
        <w:t>We were obligated to file a registration statement with the Securities and Exchange Commission to register all of the shares issued in the Private Placement for public resale, and are required to maintain effectiveness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that registration statement until the earliest of (i) the second anniversary of the effective date of such registration statement, (ii) such time as all of the shares issued in the Private Placement have been sold pursuant to such registration statement, or (iii) such time as the shares issued in the Private Placement become eligible for resale by non-affiliates without any volume limitations or other restrictions pursuant to Rule 144(b)(1)(i) under the Securities Act or any other rule of similar effect.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pStyle w:val="TextBody"/>
        <w:bidi w:val="0"/>
        <w:spacing w:before="0" w:after="240"/>
        <w:jc w:val="both"/>
        <w:rPr>
          <w:rFonts w:ascii="Arial" w:hAnsi="Arial"/>
          <w:color w:val="000000"/>
          <w:sz w:val="20"/>
        </w:rPr>
      </w:pPr>
      <w:r>
        <w:rPr>
          <w:rFonts w:ascii="Arial" w:hAnsi="Arial"/>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Raising additional capital may cause dilution to our existing stockholders, restrict our operations or require us to relinquish rights to palazestrant, OP-3136 or future product candidates we may develop on unfavorable terms to us.</w:t>
      </w:r>
    </w:p>
    <w:p>
      <w:pPr>
        <w:pStyle w:val="TextBody"/>
        <w:bidi w:val="0"/>
        <w:jc w:val="both"/>
        <w:rPr>
          <w:rFonts w:ascii="Arial" w:hAnsi="Arial"/>
          <w:color w:val="000000"/>
          <w:sz w:val="20"/>
        </w:rPr>
      </w:pPr>
      <w:r>
        <w:rPr>
          <w:rFonts w:ascii="Arial" w:hAnsi="Arial"/>
          <w:color w:val="000000"/>
          <w:sz w:val="20"/>
        </w:rPr>
        <w:t>We have in the past, and may again in the future seek additional capital through a variety of means, including through public or private equity, debt financings or other sources, including up-front payments and milestone payments from strategic collaborations. For example, in September 2023, we entered into the Private Placement, and in January 2024, we entered into the Sales Agreement with TD Cowen pursuant to which we may offer and sell, from time to time through TD Cowen, at our option, shares of our common stock having an aggregate offering price of up to $150.0 million. To the extent that we raise additional capital through the sale of equity or convertible debt or equity securities, including pursuant to sales under the Sales Agreement, your ownership interest will be diluted, our stock price could fall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color w:val="000000"/>
          <w:sz w:val="20"/>
        </w:rPr>
      </w:pPr>
      <w:r>
        <w:rPr>
          <w:rFonts w:ascii="Arial" w:hAnsi="Arial"/>
          <w:color w:val="000000"/>
          <w:sz w:val="20"/>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2023,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or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240"/>
        <w:jc w:val="both"/>
        <w:rPr>
          <w:rFonts w:ascii="Arial" w:hAnsi="Arial"/>
          <w:b/>
          <w:i/>
          <w:color w:val="000000"/>
          <w:sz w:val="20"/>
        </w:rPr>
      </w:pPr>
      <w:r>
        <w:rPr>
          <w:rFonts w:ascii="Arial" w:hAnsi="Arial"/>
          <w:b/>
          <w:i/>
          <w:color w:val="000000"/>
          <w:sz w:val="20"/>
        </w:rPr>
        <w:t>New or future changes to tax laws could materially adversely affect our company.</w:t>
      </w:r>
    </w:p>
    <w:p>
      <w:pPr>
        <w:pStyle w:val="TextBody"/>
        <w:bidi w:val="0"/>
        <w:spacing w:before="0" w:after="240"/>
        <w:jc w:val="both"/>
        <w:rPr>
          <w:rFonts w:ascii="Times New Roman" w:hAnsi="Times New Roman"/>
          <w:sz w:val="20"/>
        </w:rPr>
      </w:pPr>
      <w:r>
        <w:rPr>
          <w:rFonts w:ascii="Arial" w:hAnsi="Arial"/>
          <w:color w:val="000000"/>
          <w:sz w:val="20"/>
        </w:rPr>
        <w:t>New income, sales, use or other tax laws, statutes, rules, regulations or ordinances could be enacted at any time, which could adversely affect our business operations and financial performance. Further, existing tax</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laws, statutes, rules, regulations or ordinances could be interpreted, changed, modified or applied adversely to us. For example,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r>
        <w:rPr>
          <w:rFonts w:ascii="Times New Roman" w:hAnsi="Times New Roman"/>
          <w:color w:val="000000"/>
          <w:sz w:val="20"/>
        </w:rPr>
        <w:t xml:space="preserve"> </w:t>
      </w:r>
    </w:p>
    <w:p>
      <w:pPr>
        <w:pStyle w:val="TextBody"/>
        <w:bidi w:val="0"/>
        <w:spacing w:before="0" w:after="240"/>
        <w:jc w:val="both"/>
        <w:rPr>
          <w:rFonts w:ascii="Arial" w:hAnsi="Arial"/>
          <w:b/>
          <w:i/>
          <w:color w:val="000000"/>
          <w:sz w:val="20"/>
        </w:rPr>
      </w:pPr>
      <w:r>
        <w:rPr>
          <w:rFonts w:ascii="Arial" w:hAnsi="Arial"/>
          <w:b/>
          <w:i/>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 classified Board of Directors such that not all members of our Board of Directors are elected at one time;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allow the authorized number of our directors to be changed only by resolution of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limit the manner in which stockholders can remove directors from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our stockholders from calling a special meeting of our stockholders;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cumulative voting;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amended and restated certificate of incorporations or amended and restated bylaws.</w:t>
      </w:r>
    </w:p>
    <w:p>
      <w:pPr>
        <w:pStyle w:val="TextBody"/>
        <w:bidi w:val="0"/>
        <w:spacing w:before="0" w:after="240"/>
        <w:jc w:val="both"/>
        <w:rPr>
          <w:rFonts w:ascii="Times New Roman" w:hAnsi="Times New Roman"/>
          <w:sz w:val="20"/>
        </w:rPr>
      </w:pPr>
      <w:r>
        <w:rPr>
          <w:rFonts w:ascii="Arial" w:hAnsi="Arial"/>
          <w:color w:val="000000"/>
          <w:sz w:val="20"/>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40"/>
        <w:jc w:val="both"/>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derivative action or proceeding brought on our behalf;</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of breach of fiduciary duty;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arising under the DGCL, our amended and restated certificate of incorporation or our amended and restated bylaws;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that is governed by the internal-affairs doctrine or otherwise related to our internal affairs.</w:t>
      </w:r>
    </w:p>
    <w:p>
      <w:pPr>
        <w:pStyle w:val="TextBody"/>
        <w:bidi w:val="0"/>
        <w:spacing w:before="0" w:after="240"/>
        <w:jc w:val="both"/>
        <w:rPr>
          <w:rFonts w:ascii="Arial" w:hAnsi="Arial"/>
          <w:color w:val="000000"/>
          <w:sz w:val="20"/>
        </w:rPr>
      </w:pPr>
      <w:r>
        <w:rPr>
          <w:rFonts w:ascii="Arial" w:hAnsi="Arial"/>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240"/>
        <w:jc w:val="both"/>
        <w:rPr>
          <w:rFonts w:ascii="Arial" w:hAnsi="Arial"/>
          <w:color w:val="000000"/>
          <w:sz w:val="20"/>
        </w:rPr>
      </w:pPr>
      <w:r>
        <w:rPr>
          <w:rFonts w:ascii="Arial" w:hAnsi="Arial"/>
          <w:color w:val="000000"/>
          <w:sz w:val="20"/>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do not currently intend to pay dividends on our common stock and, consequently, your ability to achieve a return on your investment will depend on appreciation of the value of our common stock.</w:t>
      </w:r>
    </w:p>
    <w:p>
      <w:pPr>
        <w:pStyle w:val="TextBody"/>
        <w:bidi w:val="0"/>
        <w:spacing w:before="0" w:after="240"/>
        <w:jc w:val="both"/>
        <w:rPr>
          <w:rFonts w:ascii="Arial" w:hAnsi="Arial"/>
          <w:color w:val="000000"/>
          <w:sz w:val="20"/>
        </w:rPr>
      </w:pPr>
      <w:r>
        <w:rPr>
          <w:rFonts w:ascii="Arial" w:hAnsi="Arial"/>
          <w:color w:val="000000"/>
          <w:sz w:val="20"/>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color w:val="000000"/>
          <w:sz w:val="20"/>
        </w:rPr>
      </w:pPr>
      <w:r>
        <w:rPr>
          <w:rFonts w:ascii="Arial" w:hAnsi="Arial"/>
          <w:b/>
          <w:color w:val="000000"/>
          <w:sz w:val="20"/>
        </w:rPr>
        <w:t>General risk factors</w:t>
      </w:r>
    </w:p>
    <w:p>
      <w:pPr>
        <w:pStyle w:val="TextBody"/>
        <w:bidi w:val="0"/>
        <w:spacing w:before="0" w:after="240"/>
        <w:jc w:val="both"/>
        <w:rPr>
          <w:rFonts w:ascii="Arial" w:hAnsi="Arial"/>
          <w:b/>
          <w:i/>
          <w:color w:val="000000"/>
          <w:sz w:val="20"/>
        </w:rPr>
      </w:pPr>
      <w:r>
        <w:rPr>
          <w:rFonts w:ascii="Arial" w:hAnsi="Arial"/>
          <w:b/>
          <w:i/>
          <w:color w:val="000000"/>
          <w:sz w:val="20"/>
        </w:rPr>
        <w:t>The requirements of being a public company may strain our resources, result in more litigation and divert management’s attention.</w:t>
      </w:r>
    </w:p>
    <w:p>
      <w:pPr>
        <w:pStyle w:val="TextBody"/>
        <w:bidi w:val="0"/>
        <w:spacing w:before="0" w:after="240"/>
        <w:jc w:val="both"/>
        <w:rPr>
          <w:rFonts w:ascii="Arial" w:hAnsi="Arial"/>
          <w:color w:val="000000"/>
          <w:sz w:val="20"/>
        </w:rPr>
      </w:pPr>
      <w:r>
        <w:rPr>
          <w:rFonts w:ascii="Arial" w:hAnsi="Arial"/>
          <w:color w:val="000000"/>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0" w:after="240"/>
        <w:jc w:val="both"/>
        <w:rPr>
          <w:rFonts w:ascii="Arial" w:hAnsi="Arial"/>
          <w:color w:val="000000"/>
          <w:sz w:val="20"/>
        </w:rPr>
      </w:pPr>
      <w:r>
        <w:rPr>
          <w:rFonts w:ascii="Arial" w:hAnsi="Arial"/>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0" w:after="240"/>
        <w:jc w:val="both"/>
        <w:rPr>
          <w:rFonts w:ascii="Arial" w:hAnsi="Arial"/>
          <w:color w:val="000000"/>
          <w:sz w:val="20"/>
        </w:rPr>
      </w:pPr>
      <w:r>
        <w:rPr>
          <w:rFonts w:ascii="Arial" w:hAnsi="Arial"/>
          <w:color w:val="000000"/>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jc w:val="both"/>
        <w:rPr>
          <w:rFonts w:ascii="Arial" w:hAnsi="Arial"/>
          <w:color w:val="000000"/>
          <w:sz w:val="20"/>
        </w:rPr>
      </w:pPr>
      <w:r>
        <w:rPr>
          <w:rFonts w:ascii="Arial" w:hAnsi="Arial"/>
          <w:color w:val="000000"/>
          <w:sz w:val="20"/>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Even if any such claims do not result in litigation or are resolved in our favor, the time and resources needed to resolve them could divert our management’s resources and seriously harm our business, financial condition, results of operations and prospects.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240"/>
        <w:jc w:val="both"/>
        <w:rPr>
          <w:rFonts w:ascii="Times New Roman" w:hAnsi="Times New Roman"/>
          <w:sz w:val="20"/>
        </w:rPr>
      </w:pPr>
      <w:r>
        <w:rPr>
          <w:rFonts w:ascii="Arial" w:hAnsi="Arial"/>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pStyle w:val="TextBody"/>
        <w:bidi w:val="0"/>
        <w:spacing w:before="0" w:after="240"/>
        <w:jc w:val="both"/>
        <w:rPr>
          <w:rFonts w:ascii="Arial" w:hAnsi="Arial"/>
          <w:b/>
          <w:i/>
          <w:color w:val="000000"/>
          <w:sz w:val="20"/>
        </w:rPr>
      </w:pPr>
      <w:r>
        <w:rPr>
          <w:rFonts w:ascii="Arial" w:hAnsi="Arial"/>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0" w:after="240"/>
        <w:jc w:val="both"/>
        <w:rPr>
          <w:rFonts w:ascii="Arial" w:hAnsi="Arial"/>
          <w:color w:val="000000"/>
          <w:sz w:val="20"/>
        </w:rPr>
      </w:pPr>
      <w:r>
        <w:rPr>
          <w:rFonts w:ascii="Arial" w:hAnsi="Arial"/>
          <w:color w:val="000000"/>
          <w:sz w:val="20"/>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240"/>
        <w:jc w:val="both"/>
        <w:rPr>
          <w:rFonts w:ascii="Arial" w:hAnsi="Arial"/>
          <w:b/>
          <w:i/>
          <w:color w:val="000000"/>
          <w:sz w:val="20"/>
        </w:rPr>
      </w:pPr>
      <w:r>
        <w:rPr>
          <w:rFonts w:ascii="Arial" w:hAnsi="Arial"/>
          <w:b/>
          <w:i/>
          <w:color w:val="000000"/>
          <w:sz w:val="20"/>
        </w:rPr>
        <w:t>Our disclosure controls and procedures may not prevent or detect all errors or acts of fraud.</w:t>
      </w:r>
    </w:p>
    <w:p>
      <w:pPr>
        <w:pStyle w:val="TextBody"/>
        <w:bidi w:val="0"/>
        <w:spacing w:before="0" w:after="240"/>
        <w:jc w:val="both"/>
        <w:rPr>
          <w:rFonts w:ascii="Arial" w:hAnsi="Arial"/>
          <w:color w:val="000000"/>
          <w:sz w:val="20"/>
        </w:rPr>
      </w:pPr>
      <w:r>
        <w:rPr>
          <w:rFonts w:ascii="Arial" w:hAnsi="Arial"/>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240"/>
        <w:jc w:val="both"/>
        <w:rPr>
          <w:rFonts w:ascii="Arial" w:hAnsi="Arial"/>
          <w:color w:val="000000"/>
          <w:sz w:val="20"/>
        </w:rPr>
      </w:pPr>
      <w:r>
        <w:rPr>
          <w:rFonts w:ascii="Arial" w:hAnsi="Arial"/>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bookmarkStart w:id="16" w:name="item2unregisteredsalesofequitysecurities"/>
      <w:bookmarkEnd w:id="16"/>
      <w:r>
        <w:rPr>
          <w:rFonts w:ascii="Arial" w:hAnsi="Arial"/>
          <w:b/>
          <w:color w:val="000000"/>
          <w:sz w:val="20"/>
        </w:rPr>
        <w:t>Item 2. Unregistered Sales of Equity Securities and Use of Proceeds.</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240" w:after="283"/>
        <w:jc w:val="both"/>
        <w:rPr>
          <w:rFonts w:ascii="Arial" w:hAnsi="Arial"/>
          <w:color w:val="000000"/>
          <w:sz w:val="20"/>
        </w:rPr>
      </w:pPr>
      <w:r>
        <w:rPr>
          <w:rFonts w:ascii="Arial" w:hAnsi="Arial"/>
          <w:color w:val="000000"/>
          <w:sz w:val="20"/>
        </w:rPr>
        <w:t>There were no sales of equity securities during the period covered by this report that were not registered under the Securities Act and were not previously reported in a Current Report on Form 8-K filed by the Company.</w:t>
      </w:r>
    </w:p>
    <w:p>
      <w:pPr>
        <w:pStyle w:val="TextBody"/>
        <w:bidi w:val="0"/>
        <w:spacing w:before="240" w:after="283"/>
        <w:jc w:val="both"/>
        <w:rPr>
          <w:rFonts w:ascii="Arial" w:hAnsi="Arial"/>
          <w:b/>
          <w:color w:val="000000"/>
          <w:sz w:val="20"/>
        </w:rPr>
      </w:pPr>
      <w:r>
        <w:rPr>
          <w:rFonts w:ascii="Arial" w:hAnsi="Arial"/>
          <w:b/>
          <w:color w:val="000000"/>
          <w:sz w:val="20"/>
        </w:rPr>
        <w:t>Use of Proceeds from our Initial Public Offering of Common Stock</w:t>
      </w:r>
    </w:p>
    <w:p>
      <w:pPr>
        <w:pStyle w:val="TextBody"/>
        <w:bidi w:val="0"/>
        <w:spacing w:before="240" w:after="283"/>
        <w:jc w:val="both"/>
        <w:rPr>
          <w:rFonts w:ascii="Arial" w:hAnsi="Arial"/>
          <w:color w:val="000000"/>
          <w:sz w:val="20"/>
        </w:rPr>
      </w:pPr>
      <w:r>
        <w:rPr>
          <w:rFonts w:ascii="Arial" w:hAnsi="Arial"/>
          <w:color w:val="000000"/>
          <w:sz w:val="20"/>
        </w:rPr>
        <w:t>In November 2020, our Registration Statement on Form S</w:t>
        <w:noBreakHyphen/>
        <w:t>1 (No. 333</w:t>
        <w:noBreakHyphen/>
        <w:t>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240" w:after="283"/>
        <w:jc w:val="both"/>
        <w:rPr>
          <w:rFonts w:ascii="Arial" w:hAnsi="Arial"/>
          <w:color w:val="000000"/>
          <w:sz w:val="20"/>
        </w:rPr>
      </w:pPr>
      <w:r>
        <w:rPr>
          <w:rFonts w:ascii="Arial" w:hAnsi="Arial"/>
          <w:color w:val="000000"/>
          <w:sz w:val="20"/>
        </w:rPr>
        <w:t>The sale and issuance of 12,650,000 shares in the IPO closed on November 23, 2020, J.P. Morgan Securities LLC, Jefferies LLC and Cowen and Company, LLC acted as joint book-running managers for the offering.</w:t>
      </w:r>
    </w:p>
    <w:p>
      <w:pPr>
        <w:pStyle w:val="TextBody"/>
        <w:bidi w:val="0"/>
        <w:spacing w:before="240" w:after="283"/>
        <w:jc w:val="both"/>
        <w:rPr>
          <w:rFonts w:ascii="Arial" w:hAnsi="Arial"/>
          <w:color w:val="000000"/>
          <w:sz w:val="20"/>
        </w:rPr>
      </w:pPr>
      <w:r>
        <w:rPr>
          <w:rFonts w:ascii="Arial" w:hAnsi="Arial"/>
          <w:color w:val="000000"/>
          <w:sz w:val="20"/>
        </w:rPr>
        <w:t>There has been no material change in the planned use of proceeds from the IPO from that described in the prospectus filed with the SEC pursuant to Rule 424(b)(4) under the Securities Act on November 19, 2020.</w:t>
      </w:r>
    </w:p>
    <w:p>
      <w:pPr>
        <w:pStyle w:val="TextBody"/>
        <w:bidi w:val="0"/>
        <w:spacing w:before="240" w:after="283"/>
        <w:jc w:val="both"/>
        <w:rPr>
          <w:rFonts w:ascii="Arial" w:hAnsi="Arial"/>
          <w:b/>
          <w:color w:val="000000"/>
          <w:sz w:val="20"/>
        </w:rPr>
      </w:pPr>
      <w:r>
        <w:rPr>
          <w:rFonts w:ascii="Arial" w:hAnsi="Arial"/>
          <w:b/>
          <w:color w:val="000000"/>
          <w:sz w:val="20"/>
        </w:rPr>
        <w:t>Repurchase of Shares of Company Equity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7" w:name="item3defaultsuponseniorsecurities_285444"/>
      <w:bookmarkEnd w:id="17"/>
      <w:r>
        <w:rPr>
          <w:rFonts w:ascii="Arial" w:hAnsi="Arial"/>
          <w:b/>
          <w:color w:val="000000"/>
          <w:sz w:val="20"/>
        </w:rPr>
        <w:t>Item 3. Defaults Upon Senior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8" w:name="item4minesafetydisclosures_363877"/>
      <w:bookmarkEnd w:id="18"/>
      <w:r>
        <w:rPr>
          <w:rFonts w:ascii="Arial" w:hAnsi="Arial"/>
          <w:b/>
          <w:color w:val="000000"/>
          <w:sz w:val="20"/>
        </w:rPr>
        <w:t>Item 4. Mine Safety Disclosures.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9" w:name="item5otherinformation_250924"/>
      <w:bookmarkEnd w:id="19"/>
      <w:r>
        <w:rPr>
          <w:rFonts w:ascii="Arial" w:hAnsi="Arial"/>
          <w:b/>
          <w:color w:val="000000"/>
          <w:sz w:val="20"/>
        </w:rPr>
        <w:t>Item 5. Other Information.</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left"/>
        <w:rPr>
          <w:rFonts w:ascii="Arial" w:hAnsi="Arial"/>
          <w:b/>
          <w:color w:val="000000"/>
          <w:sz w:val="20"/>
        </w:rPr>
      </w:pPr>
      <w:bookmarkStart w:id="20" w:name="item6exhibits_686387"/>
      <w:bookmarkEnd w:id="20"/>
      <w:r>
        <w:rPr>
          <w:rFonts w:ascii="Arial" w:hAnsi="Arial"/>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67"/>
        <w:gridCol w:w="5722"/>
        <w:gridCol w:w="976"/>
        <w:gridCol w:w="1069"/>
        <w:gridCol w:w="766"/>
        <w:gridCol w:w="805"/>
      </w:tblGrid>
      <w:tr>
        <w:trPr/>
        <w:tc>
          <w:tcPr>
            <w:tcW w:w="867" w:type="dxa"/>
            <w:tcBorders/>
            <w:vAlign w:val="center"/>
          </w:tcPr>
          <w:p>
            <w:pPr>
              <w:pStyle w:val="TableContents"/>
              <w:bidi w:val="0"/>
              <w:spacing w:before="0" w:after="283"/>
              <w:jc w:val="left"/>
              <w:rPr>
                <w:sz w:val="4"/>
                <w:szCs w:val="4"/>
              </w:rPr>
            </w:pPr>
            <w:r>
              <w:rPr>
                <w:sz w:val="4"/>
                <w:szCs w:val="4"/>
              </w:rPr>
            </w:r>
          </w:p>
        </w:tc>
        <w:tc>
          <w:tcPr>
            <w:tcW w:w="57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867" w:type="dxa"/>
            <w:tcBorders/>
            <w:vAlign w:val="center"/>
          </w:tcPr>
          <w:p>
            <w:pPr>
              <w:pStyle w:val="TableContents"/>
              <w:bidi w:val="0"/>
              <w:spacing w:before="0" w:after="283"/>
              <w:jc w:val="left"/>
              <w:rPr/>
            </w:pPr>
            <w:r>
              <w:rPr/>
              <w:t> </w:t>
            </w:r>
          </w:p>
        </w:tc>
        <w:tc>
          <w:tcPr>
            <w:tcW w:w="5722" w:type="dxa"/>
            <w:tcBorders/>
            <w:vAlign w:val="center"/>
          </w:tcPr>
          <w:p>
            <w:pPr>
              <w:pStyle w:val="TableContents"/>
              <w:bidi w:val="0"/>
              <w:spacing w:before="0" w:after="283"/>
              <w:jc w:val="left"/>
              <w:rPr/>
            </w:pPr>
            <w:r>
              <w:rPr/>
              <w:t> </w:t>
            </w:r>
          </w:p>
        </w:tc>
        <w:tc>
          <w:tcPr>
            <w:tcW w:w="3616"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br/>
              <w:t>Number</w:t>
            </w:r>
          </w:p>
        </w:tc>
        <w:tc>
          <w:tcPr>
            <w:tcW w:w="572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Schedule</w:t>
              <w:br/>
              <w:t>Form</w:t>
            </w:r>
          </w:p>
        </w:tc>
        <w:tc>
          <w:tcPr>
            <w:tcW w:w="106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Number</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80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w:t>
              <w:br/>
              <w:t>Date</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1.1</w:t>
            </w:r>
          </w:p>
        </w:tc>
        <w:tc>
          <w:tcPr>
            <w:tcW w:w="5722" w:type="dxa"/>
            <w:tcBorders/>
            <w:vAlign w:val="center"/>
          </w:tcPr>
          <w:p>
            <w:pPr>
              <w:pStyle w:val="TableContents"/>
              <w:bidi w:val="0"/>
              <w:spacing w:before="0" w:after="283"/>
              <w:jc w:val="left"/>
              <w:rPr/>
            </w:pPr>
            <w:hyperlink r:id="rId2">
              <w:r>
                <w:rPr>
                  <w:rStyle w:val="InternetLink"/>
                  <w:rFonts w:ascii="Arial" w:hAnsi="Arial"/>
                  <w:color w:val="0000FF"/>
                  <w:sz w:val="20"/>
                  <w:u w:val="single"/>
                </w:rPr>
                <w:t>Sales Agreement by and between Registrant and Cowen and Company, LLC, dated January 5, 2024</w:t>
              </w:r>
            </w:hyperlink>
          </w:p>
        </w:tc>
        <w:tc>
          <w:tcPr>
            <w:tcW w:w="97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069"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001-39712</w:t>
            </w:r>
          </w:p>
        </w:tc>
        <w:tc>
          <w:tcPr>
            <w:tcW w:w="76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c>
          <w:tcPr>
            <w:tcW w:w="805"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1/5/2024</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5722" w:type="dxa"/>
            <w:tcBorders/>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w:t>
              </w:r>
            </w:hyperlink>
          </w:p>
        </w:tc>
        <w:tc>
          <w:tcPr>
            <w:tcW w:w="97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9"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5"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11/23/2020</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5722" w:type="dxa"/>
            <w:tcBorders/>
            <w:vAlign w:val="center"/>
          </w:tcPr>
          <w:p>
            <w:pPr>
              <w:pStyle w:val="TableContents"/>
              <w:bidi w:val="0"/>
              <w:spacing w:before="0" w:after="283"/>
              <w:jc w:val="left"/>
              <w:rPr/>
            </w:pPr>
            <w:hyperlink r:id="rId4">
              <w:r>
                <w:rPr>
                  <w:rStyle w:val="InternetLink"/>
                  <w:rFonts w:ascii="Arial" w:hAnsi="Arial"/>
                  <w:color w:val="0000FF"/>
                  <w:sz w:val="20"/>
                  <w:u w:val="single"/>
                </w:rPr>
                <w:t>Amended and Restated Bylaws.</w:t>
              </w:r>
            </w:hyperlink>
          </w:p>
        </w:tc>
        <w:tc>
          <w:tcPr>
            <w:tcW w:w="97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9"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5"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12/16/2022</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5722" w:type="dxa"/>
            <w:tcBorders/>
            <w:vAlign w:val="center"/>
          </w:tcPr>
          <w:p>
            <w:pPr>
              <w:pStyle w:val="TableContents"/>
              <w:bidi w:val="0"/>
              <w:spacing w:before="0" w:after="283"/>
              <w:jc w:val="left"/>
              <w:rPr/>
            </w:pPr>
            <w:hyperlink w:anchor="olma-ex10_1.htm">
              <w:r>
                <w:rPr>
                  <w:rStyle w:val="InternetLink"/>
                  <w:rFonts w:ascii="Arial" w:hAnsi="Arial"/>
                  <w:color w:val="0000FF"/>
                  <w:sz w:val="20"/>
                  <w:u w:val="single"/>
                </w:rPr>
                <w:t>Amendment No. 2 to Amended and Restated Clinical Collaboration and Supply Agreement, by and between the Company and Novartis Institutes for BioMedical Research, Inc., dated March 22, 2024.</w:t>
              </w:r>
            </w:hyperlink>
          </w:p>
        </w:tc>
        <w:tc>
          <w:tcPr>
            <w:tcW w:w="976" w:type="dxa"/>
            <w:tcBorders/>
            <w:vAlign w:val="center"/>
          </w:tcPr>
          <w:p>
            <w:pPr>
              <w:pStyle w:val="TableContents"/>
              <w:bidi w:val="0"/>
              <w:spacing w:before="0" w:after="283"/>
              <w:jc w:val="center"/>
              <w:rPr/>
            </w:pPr>
            <w:r>
              <w:rPr/>
              <w:t> </w:t>
            </w:r>
          </w:p>
        </w:tc>
        <w:tc>
          <w:tcPr>
            <w:tcW w:w="1069" w:type="dxa"/>
            <w:tcBorders/>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center"/>
              <w:rPr/>
            </w:pPr>
            <w:r>
              <w:rPr/>
              <w:t> </w:t>
            </w:r>
          </w:p>
        </w:tc>
        <w:tc>
          <w:tcPr>
            <w:tcW w:w="805" w:type="dxa"/>
            <w:tcBorders/>
            <w:vAlign w:val="center"/>
          </w:tcPr>
          <w:p>
            <w:pPr>
              <w:pStyle w:val="TableContents"/>
              <w:bidi w:val="0"/>
              <w:spacing w:before="0" w:after="283"/>
              <w:jc w:val="center"/>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5722" w:type="dxa"/>
            <w:tcBorders/>
            <w:vAlign w:val="center"/>
          </w:tcPr>
          <w:p>
            <w:pPr>
              <w:pStyle w:val="TableContents"/>
              <w:bidi w:val="0"/>
              <w:spacing w:before="0" w:after="283"/>
              <w:jc w:val="left"/>
              <w:rPr/>
            </w:pPr>
            <w:hyperlink w:anchor="olma-ex31_1.htm">
              <w:r>
                <w:rPr>
                  <w:rStyle w:val="InternetLink"/>
                  <w:rFonts w:ascii="Arial" w:hAnsi="Arial"/>
                  <w:color w:val="0000FF"/>
                  <w:sz w:val="20"/>
                  <w:u w:val="single"/>
                </w:rPr>
                <w:t>Certification of Chief Executive Officer Pursuant to Rules 13a</w:t>
                <w:noBreakHyphen/>
                <w:t>14(a) and 15d</w:t>
                <w:noBreakHyphen/>
                <w:t>14(a) under the Securities Exchange Act of 1934, as Adopted Pursuant to Section 302 of the Sarbanes-Oxley Act of 2002.</w:t>
              </w:r>
            </w:hyperlink>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5722" w:type="dxa"/>
            <w:tcBorders/>
            <w:vAlign w:val="center"/>
          </w:tcPr>
          <w:p>
            <w:pPr>
              <w:pStyle w:val="TableContents"/>
              <w:bidi w:val="0"/>
              <w:spacing w:before="0" w:after="283"/>
              <w:jc w:val="left"/>
              <w:rPr/>
            </w:pPr>
            <w:hyperlink w:anchor="olma-ex31_2.htm">
              <w:r>
                <w:rPr>
                  <w:rStyle w:val="InternetLink"/>
                  <w:rFonts w:ascii="Arial" w:hAnsi="Arial"/>
                  <w:color w:val="0000FF"/>
                  <w:sz w:val="20"/>
                  <w:u w:val="single"/>
                </w:rPr>
                <w:t>Certification of Chief Financial Officer Pursuant to Rules 13a</w:t>
                <w:noBreakHyphen/>
                <w:t>14(a) and 15d</w:t>
                <w:noBreakHyphen/>
                <w:t>14(a) under the Securities Exchange Act of 1934, as Adopted Pursuant to Section 302 of the Sarbanes-Oxley Act of 2002.</w:t>
              </w:r>
            </w:hyperlink>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5722" w:type="dxa"/>
            <w:tcBorders/>
            <w:vAlign w:val="center"/>
          </w:tcPr>
          <w:p>
            <w:pPr>
              <w:pStyle w:val="TableContents"/>
              <w:bidi w:val="0"/>
              <w:spacing w:before="0" w:after="283"/>
              <w:jc w:val="left"/>
              <w:rPr/>
            </w:pPr>
            <w:hyperlink w:anchor="olma-ex32_1.htm">
              <w:r>
                <w:rPr>
                  <w:rStyle w:val="InternetLink"/>
                  <w:rFonts w:ascii="Arial" w:hAnsi="Arial"/>
                  <w:color w:val="0000FF"/>
                  <w:sz w:val="20"/>
                  <w:u w:val="single"/>
                </w:rPr>
                <w:t>Certification of Chief Executive Officer and Chief Financial Officer Pursuant to 18 U.S.C. Section 1350, as Adopted Pursuant to Section 906 of the Sarbanes-Oxley Act of 2002.</w:t>
              </w:r>
            </w:hyperlink>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57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57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5722"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976"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Filed herewith.</w:t>
      </w:r>
    </w:p>
    <w:p>
      <w:pPr>
        <w:pStyle w:val="TextBody"/>
        <w:bidi w:val="0"/>
        <w:jc w:val="both"/>
        <w:rPr>
          <w:rFonts w:ascii="Arial" w:hAnsi="Arial"/>
          <w:color w:val="000000"/>
          <w:sz w:val="20"/>
        </w:rPr>
      </w:pPr>
      <w:r>
        <w:rPr>
          <w:rFonts w:ascii="Arial" w:hAnsi="Arial"/>
          <w:color w:val="000000"/>
          <w:sz w:val="20"/>
        </w:rPr>
        <w:t># The certifications attached as Exhibit 32.1 accompany this Quarterly Report on Form 10-Q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both"/>
        <w:rPr/>
      </w:pPr>
      <w:r>
        <w:rPr/>
        <w:t> </w:t>
      </w:r>
    </w:p>
    <w:tbl>
      <w:tblPr>
        <w:tblW w:w="7503" w:type="dxa"/>
        <w:jc w:val="left"/>
        <w:tblInd w:w="0" w:type="dxa"/>
        <w:tblLayout w:type="fixed"/>
        <w:tblCellMar>
          <w:top w:w="28" w:type="dxa"/>
          <w:left w:w="28" w:type="dxa"/>
          <w:bottom w:w="28" w:type="dxa"/>
          <w:right w:w="28" w:type="dxa"/>
        </w:tblCellMar>
      </w:tblPr>
      <w:tblGrid>
        <w:gridCol w:w="1726"/>
        <w:gridCol w:w="406"/>
        <w:gridCol w:w="5371"/>
      </w:tblGrid>
      <w:tr>
        <w:trPr/>
        <w:tc>
          <w:tcPr>
            <w:tcW w:w="17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Olema Pharmaceuticals, Inc.</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8,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Sean Bohen, M.D., Ph.D.</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Sean Bohen, M.D., Ph.D.</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Executive Officer</w:t>
            </w:r>
            <w:r>
              <w:rPr>
                <w:rFonts w:ascii="Arial" w:hAnsi="Arial"/>
                <w:color w:val="000000"/>
                <w:sz w:val="20"/>
              </w:rPr>
              <w:t>)</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8,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Shane Kovacs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Shane Kovacs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Operating and Financial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Financial Officer and Principal Accounting Officer</w:t>
            </w: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bookmarkStart w:id="21" w:name="olma-ex10_1.htm"/>
      <w:bookmarkStart w:id="22" w:name="ksolmaex10_1"/>
      <w:bookmarkEnd w:id="21"/>
      <w:bookmarkEnd w:id="22"/>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Amendment No. 2 to Amended and Restated Clinical Collaboration and Supply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Reference is hereby made to the Clinical Collaboration and Supply Agreement, dated July 22, 2020, as amended via the Amended and Restated Clinical Collaboration and Supply Agreement, dated January 13, 2022, and the Amendment No. 1 to Amended and Restated Clinical Collaboration and Supply Agreement, dated October 5, 2023 (collectively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by and between Olema Pharmaceuticals, Inc., a Delaware corporation, having a place of business at 780 Brannan Street, San Francisco, CA 94103 (“</w:t>
      </w:r>
      <w:r>
        <w:rPr>
          <w:rFonts w:ascii="Times New Roman" w:hAnsi="Times New Roman"/>
          <w:b/>
          <w:color w:val="000000"/>
          <w:sz w:val="24"/>
        </w:rPr>
        <w:t>Olema</w:t>
      </w:r>
      <w:r>
        <w:rPr>
          <w:rFonts w:ascii="Times New Roman" w:hAnsi="Times New Roman"/>
          <w:color w:val="000000"/>
          <w:sz w:val="20"/>
        </w:rPr>
        <w:t>”</w:t>
      </w:r>
      <w:r>
        <w:rPr>
          <w:rFonts w:ascii="Times New Roman" w:hAnsi="Times New Roman"/>
          <w:color w:val="000000"/>
          <w:sz w:val="24"/>
        </w:rPr>
        <w:t>), and Novartis Institutes for BioMedical Research, Inc., a Delaware corporation, having a place of business at 181 Massachusetts Avenue, Cambridge, MA 02139 (“</w:t>
      </w:r>
      <w:r>
        <w:rPr>
          <w:rFonts w:ascii="Times New Roman" w:hAnsi="Times New Roman"/>
          <w:b/>
          <w:color w:val="000000"/>
          <w:sz w:val="24"/>
        </w:rPr>
        <w:t>Novartis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WHEREAS, Olema and Novartis (each,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 entered into the Agreement for the purpose of setting forth the Parties’ respective rights and obligations in connection with the performance of a Combined Therapy Clinical Trial;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WHEREAS, the Parties hereby wish to amend the Development Plan and Protocol Synopsis to add an additional 15 patients to be enrolled in the 90 mg cohort to within the dose phase of the palazestrant (OP-1250) in combination with ribociclib study arm in the Combined Therapy Clinical Trial, and make such other changes to the Agreement as set forth via this Amendment No. 2 to Amended and Restated Clinical Collaboration and Supply Agreement (the “</w:t>
      </w:r>
      <w:r>
        <w:rPr>
          <w:rFonts w:ascii="Times New Roman" w:hAnsi="Times New Roman"/>
          <w:b/>
          <w:color w:val="000000"/>
          <w:sz w:val="24"/>
        </w:rPr>
        <w:t>Amendment No. 2</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premises and the mutual covenants herein contained, the Parties mutually agree as follows: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Development Plan in Appendix A of the Agreement is hereby deleted in its entirety and replaced with Exhibit A to this Amendment No. 2. All references to the Development Plan in the Agreement shall be deemed to reference the Development Plan set forth in Exhibit A 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Protocol Synopsis in Appendix D of the Agreement is hereby deleted in its entirety and replaced with Exhibit B to this Amendment No. 2. All references to the Protocol Synopsis in the Agreement shall be deemed to reference the Protocol Synopsis set forth in Exhibit B hereto.</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Amendment No. 2 is effective as of March 21, 2024 (the “</w:t>
      </w:r>
      <w:r>
        <w:rPr>
          <w:rFonts w:ascii="Times New Roman" w:hAnsi="Times New Roman"/>
          <w:b/>
          <w:color w:val="000000"/>
          <w:sz w:val="24"/>
        </w:rPr>
        <w:t>Amendment No. 2 Effective Date</w:t>
      </w:r>
      <w:r>
        <w:rPr>
          <w:rFonts w:ascii="Times New Roman" w:hAnsi="Times New Roman"/>
          <w:color w:val="000000"/>
          <w:sz w:val="20"/>
        </w:rPr>
        <w:t>”</w:t>
      </w:r>
      <w:r>
        <w:rPr>
          <w:rFonts w:ascii="Times New Roman" w:hAnsi="Times New Roman"/>
          <w:color w:val="000000"/>
          <w:sz w:val="24"/>
        </w:rPr>
        <w:t>), such that the Agreement will be deemed to be in continuous force and effect, and will be deemed to be an integral part of the Agreement. Any initially capitalized terms not otherwise defined herein shall have the meanings given in the Agreement. Except as expressly amended hereby, all terms of the Agreement shall remain unchanged and in full force and effect. This Amendment No. 2 may be executed in two (2) or more counterparts, each of which shall be deemed an original, but all of which together shall constitute one and the same instrument. This Amendment No. 2 may be executed by facsimile or electronic (e.g., pdf) signatures and such signatures shall be deemed to bind each Party hereto as if they were original signature. This Amendment No. 2 shall be governed and construed in accordance with the internal laws of the State of New York, USA, excluding any choice of law rules that may direct the application of the laws of another jurisdiction.</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the Parties hereto have executed this Agreement to become effective as of the Amendment Effective Date.</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9686" w:type="dxa"/>
        <w:jc w:val="left"/>
        <w:tblInd w:w="0" w:type="dxa"/>
        <w:tblLayout w:type="fixed"/>
        <w:tblCellMar>
          <w:top w:w="28" w:type="dxa"/>
          <w:left w:w="28" w:type="dxa"/>
          <w:bottom w:w="28" w:type="dxa"/>
          <w:right w:w="28" w:type="dxa"/>
        </w:tblCellMar>
      </w:tblPr>
      <w:tblGrid>
        <w:gridCol w:w="890"/>
        <w:gridCol w:w="5125"/>
        <w:gridCol w:w="146"/>
        <w:gridCol w:w="955"/>
        <w:gridCol w:w="2570"/>
      </w:tblGrid>
      <w:tr>
        <w:trPr/>
        <w:tc>
          <w:tcPr>
            <w:tcW w:w="890" w:type="dxa"/>
            <w:tcBorders/>
            <w:vAlign w:val="center"/>
          </w:tcPr>
          <w:p>
            <w:pPr>
              <w:pStyle w:val="TableContents"/>
              <w:bidi w:val="0"/>
              <w:spacing w:before="0" w:after="283"/>
              <w:jc w:val="left"/>
              <w:rPr>
                <w:sz w:val="4"/>
                <w:szCs w:val="4"/>
              </w:rPr>
            </w:pPr>
            <w:r>
              <w:rPr>
                <w:sz w:val="4"/>
                <w:szCs w:val="4"/>
              </w:rPr>
            </w:r>
          </w:p>
        </w:tc>
        <w:tc>
          <w:tcPr>
            <w:tcW w:w="5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6015" w:type="dxa"/>
            <w:gridSpan w:val="2"/>
            <w:tcBorders/>
            <w:vAlign w:val="center"/>
          </w:tcPr>
          <w:p>
            <w:pPr>
              <w:pStyle w:val="TableContents"/>
              <w:bidi w:val="0"/>
              <w:spacing w:before="0" w:after="283"/>
              <w:jc w:val="left"/>
              <w:rPr>
                <w:rFonts w:ascii="Times New Roman" w:hAnsi="Times New Roman"/>
                <w:b/>
                <w:smallCaps/>
                <w:color w:val="000000"/>
                <w:sz w:val="24"/>
              </w:rPr>
            </w:pPr>
            <w:r>
              <w:rPr>
                <w:rFonts w:ascii="Times New Roman" w:hAnsi="Times New Roman"/>
                <w:b/>
                <w:smallCaps/>
                <w:color w:val="000000"/>
                <w:sz w:val="24"/>
              </w:rPr>
              <w:t>Novartis Institutes for BioMedical Research, Inc.</w:t>
            </w:r>
          </w:p>
        </w:tc>
        <w:tc>
          <w:tcPr>
            <w:tcW w:w="146" w:type="dxa"/>
            <w:tcBorders/>
            <w:vAlign w:val="center"/>
          </w:tcPr>
          <w:p>
            <w:pPr>
              <w:pStyle w:val="TableContents"/>
              <w:bidi w:val="0"/>
              <w:spacing w:before="0" w:after="283"/>
              <w:jc w:val="left"/>
              <w:rPr/>
            </w:pPr>
            <w:r>
              <w:rPr/>
              <w:t> </w:t>
            </w:r>
          </w:p>
        </w:tc>
        <w:tc>
          <w:tcPr>
            <w:tcW w:w="3525" w:type="dxa"/>
            <w:gridSpan w:val="2"/>
            <w:tcBorders/>
            <w:vAlign w:val="center"/>
          </w:tcPr>
          <w:p>
            <w:pPr>
              <w:pStyle w:val="TableContents"/>
              <w:bidi w:val="0"/>
              <w:spacing w:before="0" w:after="283"/>
              <w:jc w:val="left"/>
              <w:rPr>
                <w:rFonts w:ascii="Times New Roman" w:hAnsi="Times New Roman"/>
                <w:b/>
                <w:smallCaps/>
                <w:color w:val="000000"/>
                <w:sz w:val="24"/>
              </w:rPr>
            </w:pPr>
            <w:r>
              <w:rPr>
                <w:rFonts w:ascii="Times New Roman" w:hAnsi="Times New Roman"/>
                <w:b/>
                <w:smallCaps/>
                <w:color w:val="000000"/>
                <w:sz w:val="24"/>
              </w:rPr>
              <w:t>Olema Pharmaceuticals, Inc.</w:t>
            </w:r>
          </w:p>
        </w:tc>
      </w:tr>
      <w:tr>
        <w:trPr/>
        <w:tc>
          <w:tcPr>
            <w:tcW w:w="890" w:type="dxa"/>
            <w:tcBorders/>
            <w:vAlign w:val="center"/>
          </w:tcPr>
          <w:p>
            <w:pPr>
              <w:pStyle w:val="TableContents"/>
              <w:bidi w:val="0"/>
              <w:spacing w:before="0" w:after="283"/>
              <w:jc w:val="both"/>
              <w:rPr/>
            </w:pPr>
            <w:r>
              <w:rPr/>
              <w:t> </w:t>
            </w:r>
          </w:p>
        </w:tc>
        <w:tc>
          <w:tcPr>
            <w:tcW w:w="5125"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955" w:type="dxa"/>
            <w:tcBorders/>
            <w:vAlign w:val="center"/>
          </w:tcPr>
          <w:p>
            <w:pPr>
              <w:pStyle w:val="TableContents"/>
              <w:bidi w:val="0"/>
              <w:spacing w:before="0" w:after="283"/>
              <w:jc w:val="both"/>
              <w:rPr/>
            </w:pPr>
            <w:r>
              <w:rPr/>
              <w:t> </w:t>
            </w:r>
          </w:p>
        </w:tc>
        <w:tc>
          <w:tcPr>
            <w:tcW w:w="2570" w:type="dxa"/>
            <w:tcBorders/>
            <w:vAlign w:val="center"/>
          </w:tcPr>
          <w:p>
            <w:pPr>
              <w:pStyle w:val="TableContents"/>
              <w:bidi w:val="0"/>
              <w:spacing w:before="0" w:after="283"/>
              <w:jc w:val="both"/>
              <w:rPr/>
            </w:pPr>
            <w:r>
              <w:rPr/>
              <w:t> </w:t>
            </w:r>
          </w:p>
        </w:tc>
      </w:tr>
      <w:tr>
        <w:trPr/>
        <w:tc>
          <w:tcPr>
            <w:tcW w:w="890" w:type="dxa"/>
            <w:tcBorders/>
            <w:vAlign w:val="center"/>
          </w:tcPr>
          <w:p>
            <w:pPr>
              <w:pStyle w:val="TableContents"/>
              <w:bidi w:val="0"/>
              <w:spacing w:before="0" w:after="283"/>
              <w:jc w:val="both"/>
              <w:rPr/>
            </w:pPr>
            <w:r>
              <w:rPr/>
              <w:t> </w:t>
            </w:r>
          </w:p>
        </w:tc>
        <w:tc>
          <w:tcPr>
            <w:tcW w:w="5125"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955" w:type="dxa"/>
            <w:tcBorders/>
            <w:vAlign w:val="center"/>
          </w:tcPr>
          <w:p>
            <w:pPr>
              <w:pStyle w:val="TableContents"/>
              <w:bidi w:val="0"/>
              <w:spacing w:before="0" w:after="283"/>
              <w:jc w:val="both"/>
              <w:rPr/>
            </w:pPr>
            <w:r>
              <w:rPr/>
              <w:t> </w:t>
            </w:r>
          </w:p>
        </w:tc>
        <w:tc>
          <w:tcPr>
            <w:tcW w:w="2570" w:type="dxa"/>
            <w:tcBorders/>
            <w:vAlign w:val="center"/>
          </w:tcPr>
          <w:p>
            <w:pPr>
              <w:pStyle w:val="TableContents"/>
              <w:bidi w:val="0"/>
              <w:spacing w:before="0" w:after="283"/>
              <w:jc w:val="both"/>
              <w:rPr/>
            </w:pPr>
            <w:r>
              <w:rPr/>
              <w:t> </w:t>
            </w:r>
          </w:p>
        </w:tc>
      </w:tr>
      <w:tr>
        <w:trPr/>
        <w:tc>
          <w:tcPr>
            <w:tcW w:w="890"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5125"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Alice Shaw</w:t>
            </w:r>
          </w:p>
        </w:tc>
        <w:tc>
          <w:tcPr>
            <w:tcW w:w="146" w:type="dxa"/>
            <w:tcBorders/>
            <w:vAlign w:val="center"/>
          </w:tcPr>
          <w:p>
            <w:pPr>
              <w:pStyle w:val="TableContents"/>
              <w:bidi w:val="0"/>
              <w:spacing w:before="0" w:after="283"/>
              <w:jc w:val="both"/>
              <w:rPr/>
            </w:pPr>
            <w:r>
              <w:rPr/>
              <w:t> </w:t>
            </w:r>
          </w:p>
        </w:tc>
        <w:tc>
          <w:tcPr>
            <w:tcW w:w="955"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2570"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Sean Boehn</w:t>
            </w:r>
          </w:p>
        </w:tc>
      </w:tr>
      <w:tr>
        <w:trPr/>
        <w:tc>
          <w:tcPr>
            <w:tcW w:w="890"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Name: </w:t>
            </w:r>
          </w:p>
        </w:tc>
        <w:tc>
          <w:tcPr>
            <w:tcW w:w="5125"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Alice Shaw</w:t>
            </w:r>
          </w:p>
        </w:tc>
        <w:tc>
          <w:tcPr>
            <w:tcW w:w="146" w:type="dxa"/>
            <w:tcBorders/>
            <w:vAlign w:val="center"/>
          </w:tcPr>
          <w:p>
            <w:pPr>
              <w:pStyle w:val="TableContents"/>
              <w:bidi w:val="0"/>
              <w:spacing w:before="0" w:after="283"/>
              <w:jc w:val="both"/>
              <w:rPr/>
            </w:pPr>
            <w:r>
              <w:rPr/>
              <w:t> </w:t>
            </w:r>
          </w:p>
        </w:tc>
        <w:tc>
          <w:tcPr>
            <w:tcW w:w="955"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2570"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Sean Bohen</w:t>
            </w:r>
          </w:p>
        </w:tc>
      </w:tr>
      <w:tr>
        <w:trPr/>
        <w:tc>
          <w:tcPr>
            <w:tcW w:w="890"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Title: </w:t>
            </w:r>
          </w:p>
        </w:tc>
        <w:tc>
          <w:tcPr>
            <w:tcW w:w="5125"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Global Head of Translational Clinical Oncology</w:t>
            </w:r>
          </w:p>
        </w:tc>
        <w:tc>
          <w:tcPr>
            <w:tcW w:w="146" w:type="dxa"/>
            <w:tcBorders/>
            <w:vAlign w:val="center"/>
          </w:tcPr>
          <w:p>
            <w:pPr>
              <w:pStyle w:val="TableContents"/>
              <w:bidi w:val="0"/>
              <w:spacing w:before="0" w:after="283"/>
              <w:jc w:val="both"/>
              <w:rPr/>
            </w:pPr>
            <w:r>
              <w:rPr/>
              <w:t> </w:t>
            </w:r>
          </w:p>
        </w:tc>
        <w:tc>
          <w:tcPr>
            <w:tcW w:w="955"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2570" w:type="dxa"/>
            <w:tcBorders/>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CEO and President</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i/>
          <w:color w:val="000000"/>
          <w:sz w:val="24"/>
        </w:rPr>
      </w:pPr>
      <w:r>
        <w:rPr>
          <w:rFonts w:ascii="Times New Roman" w:hAnsi="Times New Roman"/>
          <w:i/>
          <w:color w:val="000000"/>
          <w:sz w:val="24"/>
        </w:rPr>
        <w:t>Exhibit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DEVELOPMENT PLAN AND SUPPLY FORECAST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w:t>
      </w:r>
    </w:p>
    <w:p>
      <w:pPr>
        <w:pStyle w:val="TextBody"/>
        <w:bidi w:val="0"/>
        <w:jc w:val="center"/>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i/>
          <w:color w:val="000000"/>
          <w:sz w:val="24"/>
        </w:rPr>
      </w:pPr>
      <w:r>
        <w:rPr>
          <w:rFonts w:ascii="Times New Roman" w:hAnsi="Times New Roman"/>
          <w:i/>
          <w:color w:val="000000"/>
          <w:sz w:val="24"/>
        </w:rPr>
        <w:t>Exhibit B</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PROTOCOL SYNOPSIS</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3" w:name="olma-ex31_1.htm"/>
      <w:bookmarkStart w:id="24" w:name="ksolma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Sean Bohen,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53" w:type="dxa"/>
        <w:jc w:val="left"/>
        <w:tblInd w:w="0" w:type="dxa"/>
        <w:tblLayout w:type="fixed"/>
        <w:tblCellMar>
          <w:top w:w="28" w:type="dxa"/>
          <w:left w:w="28" w:type="dxa"/>
          <w:bottom w:w="28" w:type="dxa"/>
          <w:right w:w="28" w:type="dxa"/>
        </w:tblCellMar>
      </w:tblPr>
      <w:tblGrid>
        <w:gridCol w:w="1636"/>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5" w:name="olma-ex31_2.htm"/>
      <w:bookmarkStart w:id="26" w:name="ksolma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Shane Kovacs,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13" w:type="dxa"/>
        <w:jc w:val="left"/>
        <w:tblInd w:w="0" w:type="dxa"/>
        <w:tblLayout w:type="fixed"/>
        <w:tblCellMar>
          <w:top w:w="28" w:type="dxa"/>
          <w:left w:w="28" w:type="dxa"/>
          <w:bottom w:w="28" w:type="dxa"/>
          <w:right w:w="28" w:type="dxa"/>
        </w:tblCellMar>
      </w:tblPr>
      <w:tblGrid>
        <w:gridCol w:w="1636"/>
        <w:gridCol w:w="406"/>
        <w:gridCol w:w="387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olma-ex32_1.htm"/>
      <w:bookmarkStart w:id="28" w:name="ksolma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2024,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5253" w:type="dxa"/>
        <w:jc w:val="left"/>
        <w:tblInd w:w="0" w:type="dxa"/>
        <w:tblLayout w:type="fixed"/>
        <w:tblCellMar>
          <w:top w:w="28" w:type="dxa"/>
          <w:left w:w="28" w:type="dxa"/>
          <w:bottom w:w="28" w:type="dxa"/>
          <w:right w:w="28" w:type="dxa"/>
        </w:tblCellMar>
      </w:tblPr>
      <w:tblGrid>
        <w:gridCol w:w="1636"/>
        <w:gridCol w:w="40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bl>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84/000095017024002543/olma-ex1_1.htm" TargetMode="External"/><Relationship Id="rId3" Type="http://schemas.openxmlformats.org/officeDocument/2006/relationships/hyperlink" Target="https://www.sec.gov/Archives/edgar/data/1750284/000110465920128482/tm2027048d18_ex3-1.htm" TargetMode="External"/><Relationship Id="rId4" Type="http://schemas.openxmlformats.org/officeDocument/2006/relationships/hyperlink" Target="https://www.sec.gov/Archives/edgar/data/1750284/000155837022018762/olma-20221215xex3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65832</Words>
  <Characters>372172</Characters>
  <CharactersWithSpaces>438412</CharactersWithSpaces>
  <Paragraphs>5549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