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263525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left="1"/>
        <w:spacing w:after="0"/>
        <w:rPr>
          <w:sz w:val="20"/>
          <w:szCs w:val="20"/>
          <w:color w:val="auto"/>
        </w:rPr>
      </w:pPr>
      <w:r>
        <w:rPr>
          <w:rFonts w:ascii="Arial" w:cs="Arial" w:eastAsia="Arial" w:hAnsi="Arial"/>
          <w:sz w:val="14"/>
          <w:szCs w:val="14"/>
          <w:b w:val="1"/>
          <w:bCs w:val="1"/>
          <w:color w:val="auto"/>
        </w:rPr>
        <w:t>(Mark One)</w:t>
      </w:r>
    </w:p>
    <w:p>
      <w:pPr>
        <w:spacing w:after="0" w:line="126" w:lineRule="exact"/>
        <w:rPr>
          <w:sz w:val="24"/>
          <w:szCs w:val="24"/>
          <w:color w:val="auto"/>
        </w:rPr>
      </w:pPr>
    </w:p>
    <w:p>
      <w:pPr>
        <w:ind w:left="461" w:hanging="461"/>
        <w:spacing w:after="0"/>
        <w:tabs>
          <w:tab w:leader="none" w:pos="46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461" w:hanging="461"/>
        <w:spacing w:after="0"/>
        <w:tabs>
          <w:tab w:leader="none" w:pos="46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2981"/>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001-39712</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OLEMA PHARMACEUTICALS, INC.</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5" w:lineRule="exact"/>
        <w:rPr>
          <w:sz w:val="24"/>
          <w:szCs w:val="24"/>
          <w:color w:val="auto"/>
        </w:rPr>
      </w:pPr>
    </w:p>
    <w:tbl>
      <w:tblPr>
        <w:tblLayout w:type="fixed"/>
        <w:tblInd w:w="1381" w:type="dxa"/>
        <w:tblCellMar>
          <w:top w:w="0" w:type="dxa"/>
          <w:left w:w="0" w:type="dxa"/>
          <w:bottom w:w="0" w:type="dxa"/>
          <w:right w:w="0" w:type="dxa"/>
        </w:tblCellMar>
      </w:tblPr>
      <w:tr>
        <w:trPr>
          <w:trHeight w:val="207"/>
        </w:trPr>
        <w:tc>
          <w:tcPr>
            <w:tcW w:w="4040" w:type="dxa"/>
            <w:vAlign w:val="bottom"/>
          </w:tcPr>
          <w:p>
            <w:pPr>
              <w:jc w:val="center"/>
              <w:ind w:right="1625"/>
              <w:spacing w:after="0"/>
              <w:rPr>
                <w:sz w:val="20"/>
                <w:szCs w:val="20"/>
                <w:color w:val="auto"/>
              </w:rPr>
            </w:pPr>
            <w:r>
              <w:rPr>
                <w:rFonts w:ascii="Arial" w:cs="Arial" w:eastAsia="Arial" w:hAnsi="Arial"/>
                <w:sz w:val="18"/>
                <w:szCs w:val="18"/>
                <w:b w:val="1"/>
                <w:bCs w:val="1"/>
                <w:color w:val="auto"/>
                <w:w w:val="98"/>
              </w:rPr>
              <w:t>Delaware</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30-0409740</w:t>
            </w:r>
          </w:p>
        </w:tc>
      </w:tr>
      <w:tr>
        <w:trPr>
          <w:trHeight w:val="135"/>
        </w:trPr>
        <w:tc>
          <w:tcPr>
            <w:tcW w:w="4040" w:type="dxa"/>
            <w:vAlign w:val="bottom"/>
          </w:tcPr>
          <w:p>
            <w:pPr>
              <w:jc w:val="center"/>
              <w:ind w:right="1625"/>
              <w:spacing w:after="0" w:line="135" w:lineRule="exact"/>
              <w:rPr>
                <w:sz w:val="20"/>
                <w:szCs w:val="20"/>
                <w:color w:val="auto"/>
              </w:rPr>
            </w:pPr>
            <w:r>
              <w:rPr>
                <w:rFonts w:ascii="Arial" w:cs="Arial" w:eastAsia="Arial" w:hAnsi="Arial"/>
                <w:sz w:val="13"/>
                <w:szCs w:val="13"/>
                <w:b w:val="1"/>
                <w:bCs w:val="1"/>
                <w:color w:val="auto"/>
                <w:w w:val="97"/>
              </w:rPr>
              <w:t>(State or other jurisdiction of</w:t>
            </w:r>
          </w:p>
        </w:tc>
        <w:tc>
          <w:tcPr>
            <w:tcW w:w="2760" w:type="dxa"/>
            <w:vAlign w:val="bottom"/>
          </w:tcPr>
          <w:p>
            <w:pPr>
              <w:jc w:val="center"/>
              <w:ind w:left="1646"/>
              <w:spacing w:after="0" w:line="135" w:lineRule="exact"/>
              <w:rPr>
                <w:sz w:val="20"/>
                <w:szCs w:val="20"/>
                <w:color w:val="auto"/>
              </w:rPr>
            </w:pPr>
            <w:r>
              <w:rPr>
                <w:rFonts w:ascii="Arial" w:cs="Arial" w:eastAsia="Arial" w:hAnsi="Arial"/>
                <w:sz w:val="13"/>
                <w:szCs w:val="13"/>
                <w:b w:val="1"/>
                <w:bCs w:val="1"/>
                <w:color w:val="auto"/>
                <w:w w:val="96"/>
              </w:rPr>
              <w:t>(I.R.S. Employer</w:t>
            </w:r>
          </w:p>
        </w:tc>
      </w:tr>
      <w:tr>
        <w:trPr>
          <w:trHeight w:val="130"/>
        </w:trPr>
        <w:tc>
          <w:tcPr>
            <w:tcW w:w="4040" w:type="dxa"/>
            <w:vAlign w:val="bottom"/>
          </w:tcPr>
          <w:p>
            <w:pPr>
              <w:jc w:val="center"/>
              <w:ind w:right="1645"/>
              <w:spacing w:after="0" w:line="130" w:lineRule="exact"/>
              <w:rPr>
                <w:sz w:val="20"/>
                <w:szCs w:val="20"/>
                <w:color w:val="auto"/>
              </w:rPr>
            </w:pPr>
            <w:r>
              <w:rPr>
                <w:rFonts w:ascii="Arial" w:cs="Arial" w:eastAsia="Arial" w:hAnsi="Arial"/>
                <w:sz w:val="13"/>
                <w:szCs w:val="13"/>
                <w:b w:val="1"/>
                <w:bCs w:val="1"/>
                <w:color w:val="auto"/>
                <w:w w:val="96"/>
              </w:rPr>
              <w:t>incorporation or organization)</w:t>
            </w:r>
          </w:p>
        </w:tc>
        <w:tc>
          <w:tcPr>
            <w:tcW w:w="2760" w:type="dxa"/>
            <w:vAlign w:val="bottom"/>
          </w:tcPr>
          <w:p>
            <w:pPr>
              <w:jc w:val="center"/>
              <w:ind w:left="1626"/>
              <w:spacing w:after="0" w:line="130" w:lineRule="exact"/>
              <w:rPr>
                <w:sz w:val="20"/>
                <w:szCs w:val="20"/>
                <w:color w:val="auto"/>
              </w:rPr>
            </w:pPr>
            <w:r>
              <w:rPr>
                <w:rFonts w:ascii="Arial" w:cs="Arial" w:eastAsia="Arial" w:hAnsi="Arial"/>
                <w:sz w:val="13"/>
                <w:szCs w:val="13"/>
                <w:b w:val="1"/>
                <w:bCs w:val="1"/>
                <w:color w:val="auto"/>
                <w:w w:val="96"/>
              </w:rPr>
              <w:t>Identification No.)</w:t>
            </w:r>
          </w:p>
        </w:tc>
      </w:tr>
      <w:tr>
        <w:trPr>
          <w:trHeight w:val="207"/>
        </w:trPr>
        <w:tc>
          <w:tcPr>
            <w:tcW w:w="4040" w:type="dxa"/>
            <w:vAlign w:val="bottom"/>
          </w:tcPr>
          <w:p>
            <w:pPr>
              <w:jc w:val="center"/>
              <w:ind w:right="1645"/>
              <w:spacing w:after="0" w:line="207" w:lineRule="exact"/>
              <w:rPr>
                <w:sz w:val="20"/>
                <w:szCs w:val="20"/>
                <w:color w:val="auto"/>
              </w:rPr>
            </w:pPr>
            <w:r>
              <w:rPr>
                <w:rFonts w:ascii="Arial" w:cs="Arial" w:eastAsia="Arial" w:hAnsi="Arial"/>
                <w:sz w:val="16"/>
                <w:szCs w:val="16"/>
                <w:b w:val="1"/>
                <w:bCs w:val="1"/>
                <w:color w:val="auto"/>
              </w:rPr>
              <w:t>512 2</w:t>
            </w:r>
            <w:r>
              <w:rPr>
                <w:rFonts w:ascii="Arial" w:cs="Arial" w:eastAsia="Arial" w:hAnsi="Arial"/>
                <w:sz w:val="23"/>
                <w:szCs w:val="23"/>
                <w:b w:val="1"/>
                <w:bCs w:val="1"/>
                <w:color w:val="auto"/>
                <w:vertAlign w:val="superscript"/>
              </w:rPr>
              <w:t>nd</w:t>
            </w:r>
            <w:r>
              <w:rPr>
                <w:rFonts w:ascii="Arial" w:cs="Arial" w:eastAsia="Arial" w:hAnsi="Arial"/>
                <w:sz w:val="16"/>
                <w:szCs w:val="16"/>
                <w:b w:val="1"/>
                <w:bCs w:val="1"/>
                <w:color w:val="auto"/>
              </w:rPr>
              <w:t xml:space="preserve"> Street, 4</w:t>
            </w:r>
            <w:r>
              <w:rPr>
                <w:rFonts w:ascii="Arial" w:cs="Arial" w:eastAsia="Arial" w:hAnsi="Arial"/>
                <w:sz w:val="23"/>
                <w:szCs w:val="23"/>
                <w:b w:val="1"/>
                <w:bCs w:val="1"/>
                <w:color w:val="auto"/>
                <w:vertAlign w:val="superscript"/>
              </w:rPr>
              <w:t>th</w:t>
            </w:r>
            <w:r>
              <w:rPr>
                <w:rFonts w:ascii="Arial" w:cs="Arial" w:eastAsia="Arial" w:hAnsi="Arial"/>
                <w:sz w:val="16"/>
                <w:szCs w:val="16"/>
                <w:b w:val="1"/>
                <w:bCs w:val="1"/>
                <w:color w:val="auto"/>
              </w:rPr>
              <w:t xml:space="preserve"> Floor</w:t>
            </w:r>
          </w:p>
        </w:tc>
        <w:tc>
          <w:tcPr>
            <w:tcW w:w="2760" w:type="dxa"/>
            <w:vAlign w:val="bottom"/>
          </w:tcPr>
          <w:p>
            <w:pPr>
              <w:spacing w:after="0"/>
              <w:rPr>
                <w:sz w:val="17"/>
                <w:szCs w:val="17"/>
                <w:color w:val="auto"/>
              </w:rPr>
            </w:pPr>
          </w:p>
        </w:tc>
      </w:tr>
      <w:tr>
        <w:trPr>
          <w:trHeight w:val="203"/>
        </w:trPr>
        <w:tc>
          <w:tcPr>
            <w:tcW w:w="4040" w:type="dxa"/>
            <w:vAlign w:val="bottom"/>
          </w:tcPr>
          <w:p>
            <w:pPr>
              <w:jc w:val="center"/>
              <w:ind w:right="1625"/>
              <w:spacing w:after="0" w:line="203" w:lineRule="exact"/>
              <w:rPr>
                <w:sz w:val="20"/>
                <w:szCs w:val="20"/>
                <w:color w:val="auto"/>
              </w:rPr>
            </w:pPr>
            <w:r>
              <w:rPr>
                <w:rFonts w:ascii="Arial" w:cs="Arial" w:eastAsia="Arial" w:hAnsi="Arial"/>
                <w:sz w:val="18"/>
                <w:szCs w:val="18"/>
                <w:b w:val="1"/>
                <w:bCs w:val="1"/>
                <w:color w:val="auto"/>
                <w:w w:val="99"/>
              </w:rPr>
              <w:t>San Francisco, CA</w:t>
            </w:r>
          </w:p>
        </w:tc>
        <w:tc>
          <w:tcPr>
            <w:tcW w:w="2760" w:type="dxa"/>
            <w:vAlign w:val="bottom"/>
          </w:tcPr>
          <w:p>
            <w:pPr>
              <w:jc w:val="right"/>
              <w:ind w:right="206"/>
              <w:spacing w:after="0" w:line="203" w:lineRule="exact"/>
              <w:rPr>
                <w:sz w:val="20"/>
                <w:szCs w:val="20"/>
                <w:color w:val="auto"/>
              </w:rPr>
            </w:pPr>
            <w:r>
              <w:rPr>
                <w:rFonts w:ascii="Arial" w:cs="Arial" w:eastAsia="Arial" w:hAnsi="Arial"/>
                <w:sz w:val="18"/>
                <w:szCs w:val="18"/>
                <w:b w:val="1"/>
                <w:bCs w:val="1"/>
                <w:color w:val="auto"/>
              </w:rPr>
              <w:t>94107</w:t>
            </w:r>
          </w:p>
        </w:tc>
      </w:tr>
      <w:tr>
        <w:trPr>
          <w:trHeight w:val="168"/>
        </w:trPr>
        <w:tc>
          <w:tcPr>
            <w:tcW w:w="4040" w:type="dxa"/>
            <w:vAlign w:val="bottom"/>
          </w:tcPr>
          <w:p>
            <w:pPr>
              <w:jc w:val="center"/>
              <w:ind w:right="1625"/>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2760" w:type="dxa"/>
            <w:vAlign w:val="bottom"/>
          </w:tcPr>
          <w:p>
            <w:pPr>
              <w:jc w:val="center"/>
              <w:ind w:left="1626"/>
              <w:spacing w:after="0"/>
              <w:rPr>
                <w:sz w:val="20"/>
                <w:szCs w:val="20"/>
                <w:color w:val="auto"/>
              </w:rPr>
            </w:pPr>
            <w:r>
              <w:rPr>
                <w:rFonts w:ascii="Arial" w:cs="Arial" w:eastAsia="Arial" w:hAnsi="Arial"/>
                <w:sz w:val="13"/>
                <w:szCs w:val="13"/>
                <w:b w:val="1"/>
                <w:bCs w:val="1"/>
                <w:color w:val="auto"/>
                <w:w w:val="96"/>
              </w:rPr>
              <w:t>(Zip Code)</w:t>
            </w:r>
          </w:p>
        </w:tc>
      </w:tr>
    </w:tbl>
    <w:p>
      <w:pPr>
        <w:spacing w:after="0" w:line="169" w:lineRule="exact"/>
        <w:rPr>
          <w:sz w:val="24"/>
          <w:szCs w:val="24"/>
          <w:color w:val="auto"/>
        </w:rPr>
      </w:pPr>
    </w:p>
    <w:p>
      <w:pPr>
        <w:ind w:left="2221"/>
        <w:spacing w:after="0"/>
        <w:rPr>
          <w:sz w:val="20"/>
          <w:szCs w:val="20"/>
          <w:color w:val="auto"/>
        </w:rPr>
      </w:pPr>
      <w:r>
        <w:rPr>
          <w:rFonts w:ascii="Arial" w:cs="Arial" w:eastAsia="Arial" w:hAnsi="Arial"/>
          <w:sz w:val="18"/>
          <w:szCs w:val="18"/>
          <w:b w:val="1"/>
          <w:bCs w:val="1"/>
          <w:color w:val="auto"/>
        </w:rPr>
        <w:t>Registrant’s telephone number, including area code: (650) 243-5555</w:t>
      </w:r>
    </w:p>
    <w:p>
      <w:pPr>
        <w:spacing w:after="0" w:line="155" w:lineRule="exact"/>
        <w:rPr>
          <w:sz w:val="24"/>
          <w:szCs w:val="24"/>
          <w:color w:val="auto"/>
        </w:rPr>
      </w:pPr>
    </w:p>
    <w:p>
      <w:pPr>
        <w:ind w:left="1"/>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8" w:lineRule="exact"/>
        <w:rPr>
          <w:sz w:val="24"/>
          <w:szCs w:val="24"/>
          <w:color w:val="auto"/>
        </w:rPr>
      </w:pPr>
    </w:p>
    <w:tbl>
      <w:tblPr>
        <w:tblLayout w:type="fixed"/>
        <w:tblInd w:w="11" w:type="dxa"/>
        <w:tblCellMar>
          <w:top w:w="0" w:type="dxa"/>
          <w:left w:w="0" w:type="dxa"/>
          <w:bottom w:w="0" w:type="dxa"/>
          <w:right w:w="0" w:type="dxa"/>
        </w:tblCellMar>
      </w:tblPr>
      <w:tr>
        <w:trPr>
          <w:trHeight w:val="203"/>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 of Securities Registered</w:t>
            </w:r>
          </w:p>
        </w:tc>
        <w:tc>
          <w:tcPr>
            <w:tcW w:w="1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5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Securities are Registered</w:t>
            </w:r>
          </w:p>
        </w:tc>
      </w:tr>
      <w:tr>
        <w:trPr>
          <w:trHeight w:val="183"/>
        </w:trPr>
        <w:tc>
          <w:tcPr>
            <w:tcW w:w="374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Common Stock, par value $0.0001 per share</w:t>
            </w:r>
          </w:p>
        </w:tc>
        <w:tc>
          <w:tcPr>
            <w:tcW w:w="13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OLMA</w:t>
            </w:r>
          </w:p>
        </w:tc>
        <w:tc>
          <w:tcPr>
            <w:tcW w:w="51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The Nasdaq Global Select Market</w:t>
            </w:r>
          </w:p>
        </w:tc>
      </w:tr>
    </w:tbl>
    <w:p>
      <w:pPr>
        <w:spacing w:after="0" w:line="204" w:lineRule="exact"/>
        <w:rPr>
          <w:sz w:val="24"/>
          <w:szCs w:val="24"/>
          <w:color w:val="auto"/>
        </w:rPr>
      </w:pPr>
    </w:p>
    <w:p>
      <w:pPr>
        <w:jc w:val="both"/>
        <w:ind w:left="1" w:right="2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jc w:val="both"/>
        <w:ind w:left="1" w:right="4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jc w:val="both"/>
        <w:ind w:left="1" w:right="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1" w:type="dxa"/>
        <w:tblCellMar>
          <w:top w:w="0" w:type="dxa"/>
          <w:left w:w="0" w:type="dxa"/>
          <w:bottom w:w="0" w:type="dxa"/>
          <w:right w:w="0" w:type="dxa"/>
        </w:tblCellMar>
      </w:tblP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4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ind w:left="2840"/>
              <w:spacing w:after="0"/>
              <w:rPr>
                <w:sz w:val="20"/>
                <w:szCs w:val="20"/>
                <w:color w:val="auto"/>
              </w:rPr>
            </w:pPr>
            <w:r>
              <w:rPr>
                <w:rFonts w:ascii="Arial" w:cs="Arial" w:eastAsia="Arial" w:hAnsi="Arial"/>
                <w:sz w:val="16"/>
                <w:szCs w:val="16"/>
                <w:color w:val="auto"/>
              </w:rPr>
              <w:t>Accelerated filer</w:t>
            </w:r>
          </w:p>
        </w:tc>
        <w:tc>
          <w:tcPr>
            <w:tcW w:w="20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04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ind w:left="2840"/>
              <w:spacing w:after="0"/>
              <w:rPr>
                <w:sz w:val="20"/>
                <w:szCs w:val="20"/>
                <w:color w:val="auto"/>
              </w:rPr>
            </w:pPr>
            <w:r>
              <w:rPr>
                <w:rFonts w:ascii="Arial" w:cs="Arial" w:eastAsia="Arial" w:hAnsi="Arial"/>
                <w:sz w:val="16"/>
                <w:szCs w:val="16"/>
                <w:color w:val="auto"/>
              </w:rPr>
              <w:t>Smaller reporting company</w:t>
            </w:r>
          </w:p>
        </w:tc>
        <w:tc>
          <w:tcPr>
            <w:tcW w:w="20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04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spacing w:after="0"/>
              <w:rPr>
                <w:sz w:val="22"/>
                <w:szCs w:val="22"/>
                <w:color w:val="auto"/>
              </w:rPr>
            </w:pPr>
          </w:p>
        </w:tc>
        <w:tc>
          <w:tcPr>
            <w:tcW w:w="200" w:type="dxa"/>
            <w:vAlign w:val="bottom"/>
          </w:tcPr>
          <w:p>
            <w:pPr>
              <w:spacing w:after="0"/>
              <w:rPr>
                <w:sz w:val="22"/>
                <w:szCs w:val="22"/>
                <w:color w:val="auto"/>
              </w:rPr>
            </w:pPr>
          </w:p>
        </w:tc>
      </w:tr>
    </w:tbl>
    <w:p>
      <w:pPr>
        <w:spacing w:after="0" w:line="192" w:lineRule="exact"/>
        <w:rPr>
          <w:sz w:val="24"/>
          <w:szCs w:val="24"/>
          <w:color w:val="auto"/>
        </w:rPr>
      </w:pPr>
    </w:p>
    <w:p>
      <w:pPr>
        <w:ind w:left="1"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1" w:lineRule="exact"/>
        <w:rPr>
          <w:sz w:val="24"/>
          <w:szCs w:val="24"/>
          <w:color w:val="auto"/>
        </w:rPr>
      </w:pPr>
    </w:p>
    <w:p>
      <w:pPr>
        <w:ind w:left="1" w:right="1200"/>
        <w:spacing w:after="0" w:line="28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5, 2021, the registrant had 40,287,641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466725</wp:posOffset>
            </wp:positionV>
            <wp:extent cx="6497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-3810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38100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1"/>
          </w:cols>
          <w:pgMar w:left="839" w:top="665" w:right="81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40" w:type="dxa"/>
            <w:vAlign w:val="bottom"/>
            <w:gridSpan w:val="8"/>
          </w:tcPr>
          <w:p>
            <w:pPr>
              <w:jc w:val="center"/>
              <w:ind w:right="268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60" w:type="dxa"/>
            <w:vAlign w:val="bottom"/>
            <w:gridSpan w:val="11"/>
          </w:tcPr>
          <w:p>
            <w:pPr>
              <w:jc w:val="center"/>
              <w:ind w:right="2280"/>
              <w:spacing w:after="0"/>
              <w:rPr>
                <w:sz w:val="20"/>
                <w:szCs w:val="20"/>
                <w:color w:val="auto"/>
              </w:rPr>
            </w:pPr>
            <w:r>
              <w:rPr>
                <w:rFonts w:ascii="Arial" w:cs="Arial" w:eastAsia="Arial" w:hAnsi="Arial"/>
                <w:sz w:val="18"/>
                <w:szCs w:val="18"/>
                <w:b w:val="1"/>
                <w:bCs w:val="1"/>
                <w:color w:val="auto"/>
                <w:w w:val="99"/>
              </w:rPr>
              <w:t>PART I-FINANCIAL INFORMATION</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60" w:type="dxa"/>
            <w:vAlign w:val="bottom"/>
            <w:gridSpan w:val="19"/>
          </w:tcPr>
          <w:p>
            <w:pPr>
              <w:spacing w:after="0"/>
              <w:rPr>
                <w:sz w:val="20"/>
                <w:szCs w:val="20"/>
                <w:color w:val="auto"/>
              </w:rPr>
            </w:pPr>
            <w:r>
              <w:rPr>
                <w:rFonts w:ascii="Arial" w:cs="Arial" w:eastAsia="Arial" w:hAnsi="Arial"/>
                <w:sz w:val="18"/>
                <w:szCs w:val="18"/>
                <w:b w:val="1"/>
                <w:bCs w:val="1"/>
                <w:color w:val="auto"/>
              </w:rPr>
              <w:t>Item 1. Financial Statements.</w:t>
            </w:r>
          </w:p>
        </w:tc>
        <w:tc>
          <w:tcPr>
            <w:tcW w:w="640" w:type="dxa"/>
            <w:vAlign w:val="bottom"/>
            <w:vMerge w:val="restart"/>
          </w:tcPr>
          <w:p>
            <w:pPr>
              <w:jc w:val="right"/>
              <w:ind w:right="3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94"/>
        </w:trPr>
        <w:tc>
          <w:tcPr>
            <w:tcW w:w="2900" w:type="dxa"/>
            <w:vAlign w:val="bottom"/>
            <w:gridSpan w:val="8"/>
            <w:vMerge w:val="restart"/>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5360" w:type="dxa"/>
            <w:vAlign w:val="bottom"/>
            <w:gridSpan w:val="11"/>
            <w:vMerge w:val="restart"/>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8"/>
            <w:vMerge w:val="continue"/>
          </w:tcPr>
          <w:p>
            <w:pPr>
              <w:spacing w:after="0"/>
              <w:rPr>
                <w:sz w:val="14"/>
                <w:szCs w:val="14"/>
                <w:color w:val="auto"/>
              </w:rPr>
            </w:pPr>
          </w:p>
        </w:tc>
        <w:tc>
          <w:tcPr>
            <w:tcW w:w="5360" w:type="dxa"/>
            <w:vAlign w:val="bottom"/>
            <w:gridSpan w:val="11"/>
            <w:vMerge w:val="continue"/>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Item 1. Financial Statements (unaudited)</w:t>
              </w:r>
            </w:hyperlink>
          </w:p>
        </w:tc>
        <w:tc>
          <w:tcPr>
            <w:tcW w:w="5020" w:type="dxa"/>
            <w:vAlign w:val="bottom"/>
            <w:gridSpan w:val="9"/>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8260" w:type="dxa"/>
            <w:vAlign w:val="bottom"/>
            <w:gridSpan w:val="19"/>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Operations and Comprehensive Loss</w:t>
              </w:r>
            </w:hyperlink>
          </w:p>
        </w:tc>
        <w:tc>
          <w:tcPr>
            <w:tcW w:w="2060" w:type="dxa"/>
            <w:vAlign w:val="bottom"/>
            <w:gridSpan w:val="3"/>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8260" w:type="dxa"/>
            <w:vAlign w:val="bottom"/>
            <w:gridSpan w:val="19"/>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Convertible Preferred Stock and Stockholders’ Equity</w:t>
              </w:r>
            </w:hyperlink>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(Deficit)</w:t>
              </w:r>
            </w:hyperlink>
          </w:p>
        </w:tc>
        <w:tc>
          <w:tcPr>
            <w:tcW w:w="7380" w:type="dxa"/>
            <w:vAlign w:val="bottom"/>
            <w:tcBorders>
              <w:top w:val="single" w:sz="8" w:color="0000EE"/>
            </w:tcBorders>
            <w:gridSpan w:val="17"/>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8260" w:type="dxa"/>
            <w:vAlign w:val="bottom"/>
            <w:gridSpan w:val="19"/>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4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Notes to Unaudited Condensed Consolidated Financial Statements</w:t>
              </w:r>
            </w:hyperlink>
          </w:p>
        </w:tc>
        <w:tc>
          <w:tcPr>
            <w:tcW w:w="2920" w:type="dxa"/>
            <w:vAlign w:val="bottom"/>
            <w:gridSpan w:val="5"/>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768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Item 2. Management’s Discussion and Analysis of Financial Condition and Results of Operations</w:t>
              </w:r>
            </w:hyperlink>
          </w:p>
        </w:tc>
        <w:tc>
          <w:tcPr>
            <w:tcW w:w="580" w:type="dxa"/>
            <w:vAlign w:val="bottom"/>
            <w:gridSpan w:val="2"/>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8260" w:type="dxa"/>
            <w:vAlign w:val="bottom"/>
            <w:gridSpan w:val="19"/>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Item 3. Quantitative and Qualitative Disclosures About Market Risk</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530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Item 4. Controls and Procedures</w:t>
              </w:r>
            </w:hyperlink>
          </w:p>
        </w:tc>
        <w:tc>
          <w:tcPr>
            <w:tcW w:w="2960" w:type="dxa"/>
            <w:vAlign w:val="bottom"/>
            <w:gridSpan w:val="6"/>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2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40" w:type="dxa"/>
            <w:vAlign w:val="bottom"/>
            <w:tcBorders>
              <w:bottom w:val="single" w:sz="8" w:color="0000EE"/>
            </w:tcBorders>
            <w:gridSpan w:val="7"/>
          </w:tcPr>
          <w:p>
            <w:pPr>
              <w:spacing w:after="0" w:line="182" w:lineRule="exact"/>
              <w:rPr>
                <w:rFonts w:ascii="Arial" w:cs="Arial" w:eastAsia="Arial" w:hAnsi="Arial"/>
                <w:sz w:val="18"/>
                <w:szCs w:val="18"/>
                <w:color w:val="0000EE"/>
                <w:w w:val="98"/>
              </w:rPr>
            </w:pPr>
            <w:hyperlink w:anchor="page34">
              <w:r>
                <w:rPr>
                  <w:rFonts w:ascii="Arial" w:cs="Arial" w:eastAsia="Arial" w:hAnsi="Arial"/>
                  <w:sz w:val="18"/>
                  <w:szCs w:val="18"/>
                  <w:color w:val="0000EE"/>
                  <w:w w:val="98"/>
                </w:rPr>
                <w:t>PART II. OTHER INFORMATION</w:t>
              </w:r>
            </w:hyperlink>
          </w:p>
        </w:tc>
        <w:tc>
          <w:tcPr>
            <w:tcW w:w="5620" w:type="dxa"/>
            <w:vAlign w:val="bottom"/>
            <w:gridSpan w:val="12"/>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3"/>
        </w:trPr>
        <w:tc>
          <w:tcPr>
            <w:tcW w:w="8260" w:type="dxa"/>
            <w:vAlign w:val="bottom"/>
            <w:gridSpan w:val="19"/>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Item 1. Legal Proceedings</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3"/>
        </w:trPr>
        <w:tc>
          <w:tcPr>
            <w:tcW w:w="17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34">
              <w:r>
                <w:rPr>
                  <w:rFonts w:ascii="Arial" w:cs="Arial" w:eastAsia="Arial" w:hAnsi="Arial"/>
                  <w:sz w:val="18"/>
                  <w:szCs w:val="18"/>
                  <w:color w:val="0000EE"/>
                  <w:w w:val="98"/>
                </w:rPr>
                <w:t>Item 1A. Risk Factors</w:t>
              </w:r>
            </w:hyperlink>
          </w:p>
        </w:tc>
        <w:tc>
          <w:tcPr>
            <w:tcW w:w="360" w:type="dxa"/>
            <w:vAlign w:val="bottom"/>
            <w:tcBorders>
              <w:top w:val="single" w:sz="8" w:color="0000EE"/>
            </w:tcBorders>
            <w:gridSpan w:val="2"/>
          </w:tcPr>
          <w:p>
            <w:pPr>
              <w:spacing w:after="0"/>
              <w:rPr>
                <w:sz w:val="15"/>
                <w:szCs w:val="15"/>
                <w:color w:val="auto"/>
              </w:rPr>
            </w:pPr>
          </w:p>
        </w:tc>
        <w:tc>
          <w:tcPr>
            <w:tcW w:w="6180" w:type="dxa"/>
            <w:vAlign w:val="bottom"/>
            <w:gridSpan w:val="14"/>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3"/>
        </w:trPr>
        <w:tc>
          <w:tcPr>
            <w:tcW w:w="8260" w:type="dxa"/>
            <w:vAlign w:val="bottom"/>
            <w:gridSpan w:val="19"/>
          </w:tcPr>
          <w:p>
            <w:pPr>
              <w:spacing w:after="0" w:line="182" w:lineRule="exact"/>
              <w:rPr>
                <w:rFonts w:ascii="Arial" w:cs="Arial" w:eastAsia="Arial" w:hAnsi="Arial"/>
                <w:sz w:val="18"/>
                <w:szCs w:val="18"/>
                <w:color w:val="0000EE"/>
              </w:rPr>
            </w:pPr>
            <w:hyperlink w:anchor="page101">
              <w:r>
                <w:rPr>
                  <w:rFonts w:ascii="Arial" w:cs="Arial" w:eastAsia="Arial" w:hAnsi="Arial"/>
                  <w:sz w:val="18"/>
                  <w:szCs w:val="18"/>
                  <w:color w:val="0000EE"/>
                </w:rPr>
                <w:t>Item 2. Unregistered Sales of Equity Securities and Use of Proceeds</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3"/>
        </w:trPr>
        <w:tc>
          <w:tcPr>
            <w:tcW w:w="544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101">
              <w:r>
                <w:rPr>
                  <w:rFonts w:ascii="Arial" w:cs="Arial" w:eastAsia="Arial" w:hAnsi="Arial"/>
                  <w:sz w:val="18"/>
                  <w:szCs w:val="18"/>
                  <w:color w:val="0000EE"/>
                </w:rPr>
                <w:t>Item 3. Defaults Upon Senior Securities</w:t>
              </w:r>
            </w:hyperlink>
          </w:p>
        </w:tc>
        <w:tc>
          <w:tcPr>
            <w:tcW w:w="2820" w:type="dxa"/>
            <w:vAlign w:val="bottom"/>
            <w:gridSpan w:val="4"/>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3"/>
        </w:trPr>
        <w:tc>
          <w:tcPr>
            <w:tcW w:w="31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101">
              <w:r>
                <w:rPr>
                  <w:rFonts w:ascii="Arial" w:cs="Arial" w:eastAsia="Arial" w:hAnsi="Arial"/>
                  <w:sz w:val="18"/>
                  <w:szCs w:val="18"/>
                  <w:color w:val="0000EE"/>
                </w:rPr>
                <w:t>Item 4. Mine Safety Disclosures</w:t>
              </w:r>
            </w:hyperlink>
          </w:p>
        </w:tc>
        <w:tc>
          <w:tcPr>
            <w:tcW w:w="5120" w:type="dxa"/>
            <w:vAlign w:val="bottom"/>
            <w:gridSpan w:val="10"/>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3"/>
        </w:trPr>
        <w:tc>
          <w:tcPr>
            <w:tcW w:w="20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101">
              <w:r>
                <w:rPr>
                  <w:rFonts w:ascii="Arial" w:cs="Arial" w:eastAsia="Arial" w:hAnsi="Arial"/>
                  <w:sz w:val="18"/>
                  <w:szCs w:val="18"/>
                  <w:color w:val="0000EE"/>
                  <w:w w:val="98"/>
                </w:rPr>
                <w:t>Item 5. Other Information</w:t>
              </w:r>
            </w:hyperlink>
          </w:p>
        </w:tc>
        <w:tc>
          <w:tcPr>
            <w:tcW w:w="580" w:type="dxa"/>
            <w:vAlign w:val="bottom"/>
            <w:tcBorders>
              <w:top w:val="single" w:sz="8" w:color="0000EE"/>
            </w:tcBorders>
            <w:gridSpan w:val="2"/>
          </w:tcPr>
          <w:p>
            <w:pPr>
              <w:spacing w:after="0"/>
              <w:rPr>
                <w:sz w:val="15"/>
                <w:szCs w:val="15"/>
                <w:color w:val="auto"/>
              </w:rPr>
            </w:pPr>
          </w:p>
        </w:tc>
        <w:tc>
          <w:tcPr>
            <w:tcW w:w="5680" w:type="dxa"/>
            <w:vAlign w:val="bottom"/>
            <w:gridSpan w:val="13"/>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3"/>
        </w:trPr>
        <w:tc>
          <w:tcPr>
            <w:tcW w:w="8260" w:type="dxa"/>
            <w:vAlign w:val="bottom"/>
            <w:gridSpan w:val="19"/>
          </w:tcPr>
          <w:p>
            <w:pPr>
              <w:spacing w:after="0" w:line="182" w:lineRule="exact"/>
              <w:rPr>
                <w:rFonts w:ascii="Arial" w:cs="Arial" w:eastAsia="Arial" w:hAnsi="Arial"/>
                <w:sz w:val="18"/>
                <w:szCs w:val="18"/>
                <w:color w:val="0000EE"/>
              </w:rPr>
            </w:pPr>
            <w:hyperlink w:anchor="page102">
              <w:r>
                <w:rPr>
                  <w:rFonts w:ascii="Arial" w:cs="Arial" w:eastAsia="Arial" w:hAnsi="Arial"/>
                  <w:sz w:val="18"/>
                  <w:szCs w:val="18"/>
                  <w:color w:val="0000EE"/>
                </w:rPr>
                <w:t>Item 6. Exhibits</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color w:val="auto"/>
        </w:rPr>
        <w:t>(Amounts in thousands, except per share amounts)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44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231F20"/>
              </w:rPr>
              <w:t>September 30,</w:t>
            </w:r>
          </w:p>
        </w:tc>
        <w:tc>
          <w:tcPr>
            <w:tcW w:w="2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25,597</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338,549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80"/>
              <w:spacing w:after="0" w:line="202" w:lineRule="exact"/>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7"/>
                <w:szCs w:val="17"/>
                <w:color w:val="auto"/>
              </w:rPr>
            </w:pPr>
          </w:p>
        </w:tc>
        <w:tc>
          <w:tcPr>
            <w:tcW w:w="11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280,357</w:t>
            </w: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231F20"/>
            </w:tcBorders>
            <w:shd w:val="clear" w:color="auto" w:fill="CCEEFF"/>
          </w:tcPr>
          <w:p>
            <w:pPr>
              <w:spacing w:after="0"/>
              <w:rPr>
                <w:sz w:val="17"/>
                <w:szCs w:val="17"/>
                <w:color w:val="auto"/>
              </w:rPr>
            </w:pPr>
          </w:p>
        </w:tc>
        <w:tc>
          <w:tcPr>
            <w:tcW w:w="1140" w:type="dxa"/>
            <w:vAlign w:val="bottom"/>
            <w:tcBorders>
              <w:bottom w:val="single" w:sz="8" w:color="231F20"/>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2,326</w:t>
            </w:r>
          </w:p>
        </w:tc>
        <w:tc>
          <w:tcPr>
            <w:tcW w:w="200" w:type="dxa"/>
            <w:vAlign w:val="bottom"/>
            <w:tcBorders>
              <w:bottom w:val="single" w:sz="8" w:color="231F20"/>
            </w:tcBorders>
            <w:shd w:val="clear" w:color="auto" w:fill="CCEEFF"/>
          </w:tcPr>
          <w:p>
            <w:pPr>
              <w:spacing w:after="0"/>
              <w:rPr>
                <w:sz w:val="17"/>
                <w:szCs w:val="17"/>
                <w:color w:val="auto"/>
              </w:rPr>
            </w:pPr>
          </w:p>
        </w:tc>
        <w:tc>
          <w:tcPr>
            <w:tcW w:w="1000" w:type="dxa"/>
            <w:vAlign w:val="bottom"/>
            <w:tcBorders>
              <w:bottom w:val="single" w:sz="8" w:color="231F20"/>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tcPr>
          <w:p>
            <w:pPr>
              <w:ind w:left="200"/>
              <w:spacing w:after="0" w:line="196" w:lineRule="exact"/>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7"/>
                <w:szCs w:val="17"/>
                <w:color w:val="auto"/>
              </w:rPr>
            </w:pPr>
          </w:p>
        </w:tc>
        <w:tc>
          <w:tcPr>
            <w:tcW w:w="1140" w:type="dxa"/>
            <w:vAlign w:val="bottom"/>
          </w:tcPr>
          <w:p>
            <w:pPr>
              <w:jc w:val="right"/>
              <w:ind w:right="72"/>
              <w:spacing w:after="0" w:line="196" w:lineRule="exact"/>
              <w:rPr>
                <w:sz w:val="20"/>
                <w:szCs w:val="20"/>
                <w:color w:val="auto"/>
              </w:rPr>
            </w:pPr>
            <w:r>
              <w:rPr>
                <w:rFonts w:ascii="Arial" w:cs="Arial" w:eastAsia="Arial" w:hAnsi="Arial"/>
                <w:sz w:val="18"/>
                <w:szCs w:val="18"/>
                <w:color w:val="auto"/>
              </w:rPr>
              <w:t>308,280</w:t>
            </w:r>
          </w:p>
        </w:tc>
        <w:tc>
          <w:tcPr>
            <w:tcW w:w="2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342,137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975</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ind w:right="72"/>
              <w:spacing w:after="0" w:line="202" w:lineRule="exact"/>
              <w:rPr>
                <w:sz w:val="20"/>
                <w:szCs w:val="20"/>
                <w:color w:val="auto"/>
              </w:rPr>
            </w:pPr>
            <w:r>
              <w:rPr>
                <w:rFonts w:ascii="Arial" w:cs="Arial" w:eastAsia="Arial" w:hAnsi="Arial"/>
                <w:sz w:val="18"/>
                <w:szCs w:val="18"/>
                <w:color w:val="auto"/>
              </w:rPr>
              <w:t>540</w:t>
            </w:r>
          </w:p>
        </w:tc>
        <w:tc>
          <w:tcPr>
            <w:tcW w:w="20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right"/>
              <w:spacing w:after="0" w:line="202" w:lineRule="exact"/>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309,795</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spacing w:after="0" w:line="202" w:lineRule="exact"/>
              <w:rPr>
                <w:sz w:val="20"/>
                <w:szCs w:val="20"/>
                <w:color w:val="auto"/>
              </w:rPr>
            </w:pPr>
            <w:r>
              <w:rPr>
                <w:rFonts w:ascii="Arial" w:cs="Arial" w:eastAsia="Arial" w:hAnsi="Arial"/>
                <w:sz w:val="18"/>
                <w:szCs w:val="18"/>
                <w:color w:val="231F20"/>
              </w:rPr>
              <w:t>Current liabilities:</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306</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8,595</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8,901</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color w:val="auto"/>
              </w:rPr>
              <w:t>8,901</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Commitments and contingencies (Note 11)</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231F20"/>
              </w:rPr>
              <w:t>Stockholders’ equity:</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shd w:val="clear" w:color="auto" w:fill="CCEEFF"/>
          </w:tcPr>
          <w:p>
            <w:pPr>
              <w:spacing w:after="0" w:line="201" w:lineRule="exact"/>
              <w:rPr>
                <w:sz w:val="20"/>
                <w:szCs w:val="20"/>
                <w:color w:val="auto"/>
              </w:rPr>
            </w:pPr>
            <w:r>
              <w:rPr>
                <w:rFonts w:ascii="Arial" w:cs="Arial" w:eastAsia="Arial" w:hAnsi="Arial"/>
                <w:sz w:val="18"/>
                <w:szCs w:val="18"/>
                <w:color w:val="231F20"/>
              </w:rPr>
              <w:t>Preferred stock, $0.0001 par value; 10,000,000 shares authorized as of</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231F20"/>
              </w:rPr>
              <w:t>September 30, 2021 and December 31, 2020; no shares issued and</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spacing w:after="0" w:line="203" w:lineRule="exact"/>
              <w:rPr>
                <w:sz w:val="20"/>
                <w:szCs w:val="20"/>
                <w:color w:val="auto"/>
              </w:rPr>
            </w:pPr>
            <w:r>
              <w:rPr>
                <w:rFonts w:ascii="Arial" w:cs="Arial" w:eastAsia="Arial" w:hAnsi="Arial"/>
                <w:sz w:val="18"/>
                <w:szCs w:val="18"/>
                <w:color w:val="231F20"/>
              </w:rPr>
              <w:t>outstanding as of September 30, 2021 and December 31, 2020.</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tcPr>
          <w:p>
            <w:pPr>
              <w:spacing w:after="0" w:line="201" w:lineRule="exact"/>
              <w:rPr>
                <w:sz w:val="20"/>
                <w:szCs w:val="20"/>
                <w:color w:val="auto"/>
              </w:rPr>
            </w:pPr>
            <w:r>
              <w:rPr>
                <w:rFonts w:ascii="Arial" w:cs="Arial" w:eastAsia="Arial" w:hAnsi="Arial"/>
                <w:sz w:val="18"/>
                <w:szCs w:val="18"/>
                <w:color w:val="auto"/>
              </w:rPr>
              <w:t>Common stock, $0.0001 par value; 490,000,000 shares authorized as of</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gridSpan w:val="2"/>
          </w:tcPr>
          <w:p>
            <w:pPr>
              <w:spacing w:after="0" w:line="202" w:lineRule="exact"/>
              <w:rPr>
                <w:sz w:val="20"/>
                <w:szCs w:val="20"/>
                <w:color w:val="auto"/>
              </w:rPr>
            </w:pPr>
            <w:r>
              <w:rPr>
                <w:rFonts w:ascii="Arial" w:cs="Arial" w:eastAsia="Arial" w:hAnsi="Arial"/>
                <w:sz w:val="18"/>
                <w:szCs w:val="18"/>
                <w:color w:val="auto"/>
              </w:rPr>
              <w:t>September 30, 2021 and December 31, 2020; 40,277,390 and 40,169,738</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gridSpan w:val="2"/>
          </w:tcPr>
          <w:p>
            <w:pPr>
              <w:spacing w:after="0" w:line="202" w:lineRule="exact"/>
              <w:rPr>
                <w:sz w:val="20"/>
                <w:szCs w:val="20"/>
                <w:color w:val="auto"/>
              </w:rPr>
            </w:pPr>
            <w:r>
              <w:rPr>
                <w:rFonts w:ascii="Arial" w:cs="Arial" w:eastAsia="Arial" w:hAnsi="Arial"/>
                <w:sz w:val="18"/>
                <w:szCs w:val="18"/>
                <w:color w:val="auto"/>
              </w:rPr>
              <w:t>shares issued as of September 30, 2021 and December 31, 2020,</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gridSpan w:val="2"/>
          </w:tcPr>
          <w:p>
            <w:pPr>
              <w:spacing w:after="0" w:line="202" w:lineRule="exact"/>
              <w:rPr>
                <w:sz w:val="20"/>
                <w:szCs w:val="20"/>
                <w:color w:val="auto"/>
              </w:rPr>
            </w:pPr>
            <w:r>
              <w:rPr>
                <w:rFonts w:ascii="Arial" w:cs="Arial" w:eastAsia="Arial" w:hAnsi="Arial"/>
                <w:sz w:val="18"/>
                <w:szCs w:val="18"/>
                <w:color w:val="auto"/>
              </w:rPr>
              <w:t>respectively; 39,681,298 and 39,308,238 shares outstanding as of September</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gridSpan w:val="2"/>
          </w:tcPr>
          <w:p>
            <w:pPr>
              <w:spacing w:after="0" w:line="203" w:lineRule="exact"/>
              <w:rPr>
                <w:sz w:val="20"/>
                <w:szCs w:val="20"/>
                <w:color w:val="auto"/>
              </w:rPr>
            </w:pPr>
            <w:r>
              <w:rPr>
                <w:rFonts w:ascii="Arial" w:cs="Arial" w:eastAsia="Arial" w:hAnsi="Arial"/>
                <w:sz w:val="18"/>
                <w:szCs w:val="18"/>
                <w:color w:val="auto"/>
              </w:rPr>
              <w:t>30, 2021 and December 31, 2020, respectively.</w:t>
            </w:r>
          </w:p>
        </w:tc>
        <w:tc>
          <w:tcPr>
            <w:tcW w:w="100" w:type="dxa"/>
            <w:vAlign w:val="bottom"/>
          </w:tcPr>
          <w:p>
            <w:pPr>
              <w:spacing w:after="0"/>
              <w:rPr>
                <w:sz w:val="17"/>
                <w:szCs w:val="17"/>
                <w:color w:val="auto"/>
              </w:rPr>
            </w:pPr>
          </w:p>
        </w:tc>
        <w:tc>
          <w:tcPr>
            <w:tcW w:w="1140" w:type="dxa"/>
            <w:vAlign w:val="bottom"/>
          </w:tcPr>
          <w:p>
            <w:pPr>
              <w:jc w:val="right"/>
              <w:ind w:right="72"/>
              <w:spacing w:after="0" w:line="203"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231F20"/>
              </w:rPr>
              <w:t>Additional paid-in capital</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383,428</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371,228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80"/>
              <w:spacing w:after="0" w:line="202" w:lineRule="exact"/>
              <w:rPr>
                <w:sz w:val="20"/>
                <w:szCs w:val="20"/>
                <w:color w:val="auto"/>
              </w:rPr>
            </w:pPr>
            <w:r>
              <w:rPr>
                <w:rFonts w:ascii="Arial" w:cs="Arial" w:eastAsia="Arial" w:hAnsi="Arial"/>
                <w:sz w:val="18"/>
                <w:szCs w:val="18"/>
                <w:color w:val="231F20"/>
              </w:rPr>
              <w:t>Accumulated other comprehensive income</w:t>
            </w:r>
          </w:p>
        </w:tc>
        <w:tc>
          <w:tcPr>
            <w:tcW w:w="100" w:type="dxa"/>
            <w:vAlign w:val="bottom"/>
          </w:tcPr>
          <w:p>
            <w:pPr>
              <w:spacing w:after="0"/>
              <w:rPr>
                <w:sz w:val="17"/>
                <w:szCs w:val="17"/>
                <w:color w:val="auto"/>
              </w:rPr>
            </w:pPr>
          </w:p>
        </w:tc>
        <w:tc>
          <w:tcPr>
            <w:tcW w:w="11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15</w:t>
            </w: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231F20"/>
              </w:rPr>
              <w:t>Accumulated deficit</w:t>
            </w: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(82,552)</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(33,094)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231F20"/>
              </w:rPr>
              <w:t>Total stockholders’ equity</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color w:val="231F20"/>
              </w:rPr>
              <w:t>300,894</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338,137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tcBorders>
              <w:bottom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231F20"/>
              </w:rPr>
              <w:t>Total liabilities and stockholders’ equity</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231F20"/>
              </w:rPr>
              <w:t>309,795</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342,722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jc w:val="center"/>
        <w:ind w:right="19"/>
        <w:spacing w:after="0"/>
        <w:rPr>
          <w:sz w:val="20"/>
          <w:szCs w:val="20"/>
          <w:color w:val="auto"/>
        </w:rPr>
      </w:pPr>
      <w:r>
        <w:rPr>
          <w:rFonts w:ascii="Arial" w:cs="Arial" w:eastAsia="Arial" w:hAnsi="Arial"/>
          <w:sz w:val="18"/>
          <w:szCs w:val="18"/>
          <w:color w:val="auto"/>
        </w:rPr>
        <w:t>(Amounts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143510</wp:posOffset>
            </wp:positionV>
            <wp:extent cx="5648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26" w:lineRule="exact"/>
        <w:rPr>
          <w:sz w:val="20"/>
          <w:szCs w:val="20"/>
          <w:color w:val="auto"/>
        </w:rPr>
      </w:pPr>
    </w:p>
    <w:p>
      <w:pPr>
        <w:ind w:left="46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-1905</wp:posOffset>
            </wp:positionV>
            <wp:extent cx="14147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4680"/>
        <w:spacing w:after="0"/>
        <w:tabs>
          <w:tab w:leader="none" w:pos="58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-1905</wp:posOffset>
            </wp:positionV>
            <wp:extent cx="14319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tabs>
          <w:tab w:leader="none" w:pos="12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1" w:lineRule="exact"/>
        <w:rPr>
          <w:sz w:val="20"/>
          <w:szCs w:val="20"/>
          <w:color w:val="auto"/>
        </w:rPr>
      </w:pPr>
    </w:p>
    <w:p>
      <w:pPr>
        <w:sectPr>
          <w:pgSz w:w="11900" w:h="16838" w:orient="portrait"/>
          <w:cols w:equalWidth="0" w:num="2">
            <w:col w:w="6400" w:space="720"/>
            <w:col w:w="1899"/>
          </w:cols>
          <w:pgMar w:left="1440" w:top="517" w:right="1440" w:bottom="1440" w:gutter="0" w:footer="0" w:header="0"/>
          <w:type w:val="continuous"/>
        </w:sectPr>
      </w:pPr>
    </w:p>
    <w:tbl>
      <w:tblPr>
        <w:tblLayout w:type="fixed"/>
        <w:tblInd w:w="60" w:type="dxa"/>
        <w:tblCellMar>
          <w:top w:w="0" w:type="dxa"/>
          <w:left w:w="0" w:type="dxa"/>
          <w:bottom w:w="0" w:type="dxa"/>
          <w:right w:w="0" w:type="dxa"/>
        </w:tblCellMar>
      </w:tblPr>
      <w:tr>
        <w:trPr>
          <w:trHeight w:val="156"/>
        </w:trPr>
        <w:tc>
          <w:tcPr>
            <w:tcW w:w="42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Operating expenses:</w:t>
            </w: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tcPr>
          <w:p>
            <w:pPr>
              <w:ind w:left="100"/>
              <w:spacing w:after="0"/>
              <w:rPr>
                <w:sz w:val="20"/>
                <w:szCs w:val="20"/>
                <w:color w:val="auto"/>
              </w:rPr>
            </w:pPr>
            <w:r>
              <w:rPr>
                <w:rFonts w:ascii="Arial" w:cs="Arial" w:eastAsia="Arial" w:hAnsi="Arial"/>
                <w:sz w:val="14"/>
                <w:szCs w:val="14"/>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12,523</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4,673</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35,125</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7,415</w:t>
            </w:r>
          </w:p>
        </w:tc>
        <w:tc>
          <w:tcPr>
            <w:tcW w:w="0" w:type="dxa"/>
            <w:vAlign w:val="bottom"/>
          </w:tcPr>
          <w:p>
            <w:pPr>
              <w:spacing w:after="0"/>
              <w:rPr>
                <w:sz w:val="1"/>
                <w:szCs w:val="1"/>
                <w:color w:val="auto"/>
              </w:rPr>
            </w:pPr>
          </w:p>
        </w:tc>
      </w:tr>
      <w:tr>
        <w:trPr>
          <w:trHeight w:val="162"/>
        </w:trPr>
        <w:tc>
          <w:tcPr>
            <w:tcW w:w="4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General and administrative</w:t>
            </w: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5,239</w:t>
            </w:r>
          </w:p>
        </w:tc>
        <w:tc>
          <w:tcPr>
            <w:tcW w:w="3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3,195</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14,609</w:t>
            </w:r>
          </w:p>
        </w:tc>
        <w:tc>
          <w:tcPr>
            <w:tcW w:w="3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3,982</w:t>
            </w:r>
          </w:p>
        </w:tc>
        <w:tc>
          <w:tcPr>
            <w:tcW w:w="0" w:type="dxa"/>
            <w:vAlign w:val="bottom"/>
          </w:tcPr>
          <w:p>
            <w:pPr>
              <w:spacing w:after="0"/>
              <w:rPr>
                <w:sz w:val="1"/>
                <w:szCs w:val="1"/>
                <w:color w:val="auto"/>
              </w:rPr>
            </w:pPr>
          </w:p>
        </w:tc>
      </w:tr>
      <w:tr>
        <w:trPr>
          <w:trHeight w:val="156"/>
        </w:trPr>
        <w:tc>
          <w:tcPr>
            <w:tcW w:w="422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17,762</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7,868</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49,734</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11,397</w:t>
            </w:r>
          </w:p>
        </w:tc>
        <w:tc>
          <w:tcPr>
            <w:tcW w:w="0" w:type="dxa"/>
            <w:vAlign w:val="bottom"/>
          </w:tcPr>
          <w:p>
            <w:pPr>
              <w:spacing w:after="0"/>
              <w:rPr>
                <w:sz w:val="1"/>
                <w:szCs w:val="1"/>
                <w:color w:val="auto"/>
              </w:rPr>
            </w:pPr>
          </w:p>
        </w:tc>
      </w:tr>
      <w:tr>
        <w:trPr>
          <w:trHeight w:val="156"/>
        </w:trPr>
        <w:tc>
          <w:tcPr>
            <w:tcW w:w="42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Loss from operations</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(17,762)</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(7,868)</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(49,734)</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(11,397)</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Other income (expense):</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 income</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105</w:t>
            </w: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333</w:t>
            </w: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62"/>
        </w:trPr>
        <w:tc>
          <w:tcPr>
            <w:tcW w:w="4220" w:type="dxa"/>
            <w:vAlign w:val="bottom"/>
          </w:tcPr>
          <w:p>
            <w:pPr>
              <w:ind w:left="100"/>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162"/>
        </w:trPr>
        <w:tc>
          <w:tcPr>
            <w:tcW w:w="4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income (expense)</w:t>
            </w:r>
          </w:p>
        </w:tc>
        <w:tc>
          <w:tcPr>
            <w:tcW w:w="12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w:t>
            </w:r>
          </w:p>
        </w:tc>
        <w:tc>
          <w:tcPr>
            <w:tcW w:w="3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3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6"/>
        </w:trPr>
        <w:tc>
          <w:tcPr>
            <w:tcW w:w="4220" w:type="dxa"/>
            <w:vAlign w:val="bottom"/>
            <w:tcBorders>
              <w:bottom w:val="single" w:sz="8" w:color="CCEEFF"/>
            </w:tcBorders>
          </w:tcPr>
          <w:p>
            <w:pPr>
              <w:ind w:left="100"/>
              <w:spacing w:after="0" w:line="155" w:lineRule="exact"/>
              <w:rPr>
                <w:sz w:val="20"/>
                <w:szCs w:val="20"/>
                <w:color w:val="auto"/>
              </w:rPr>
            </w:pPr>
            <w:r>
              <w:rPr>
                <w:rFonts w:ascii="Arial" w:cs="Arial" w:eastAsia="Arial" w:hAnsi="Arial"/>
                <w:sz w:val="14"/>
                <w:szCs w:val="14"/>
                <w:color w:val="auto"/>
              </w:rPr>
              <w:t>Total other income (expense), net</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49</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276</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155"/>
        </w:trPr>
        <w:tc>
          <w:tcPr>
            <w:tcW w:w="4220" w:type="dxa"/>
            <w:vAlign w:val="bottom"/>
            <w:tcBorders>
              <w:bottom w:val="single" w:sz="8" w:color="CCEEFF"/>
            </w:tcBorders>
            <w:shd w:val="clear" w:color="auto" w:fill="CCEEFF"/>
          </w:tcPr>
          <w:p>
            <w:pPr>
              <w:ind w:left="220"/>
              <w:spacing w:after="0" w:line="155" w:lineRule="exact"/>
              <w:rPr>
                <w:sz w:val="20"/>
                <w:szCs w:val="20"/>
                <w:color w:val="auto"/>
              </w:rPr>
            </w:pPr>
            <w:r>
              <w:rPr>
                <w:rFonts w:ascii="Arial" w:cs="Arial" w:eastAsia="Arial" w:hAnsi="Arial"/>
                <w:sz w:val="14"/>
                <w:szCs w:val="14"/>
                <w:color w:val="auto"/>
              </w:rPr>
              <w:t>Net loss</w:t>
            </w: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(17,713)</w:t>
            </w:r>
          </w:p>
        </w:tc>
        <w:tc>
          <w:tcPr>
            <w:tcW w:w="32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(7,844)</w:t>
            </w:r>
          </w:p>
        </w:tc>
        <w:tc>
          <w:tcPr>
            <w:tcW w:w="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(49,458)</w:t>
            </w:r>
          </w:p>
        </w:tc>
        <w:tc>
          <w:tcPr>
            <w:tcW w:w="32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(11,990)</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220"/>
              <w:spacing w:after="0"/>
              <w:rPr>
                <w:sz w:val="20"/>
                <w:szCs w:val="20"/>
                <w:color w:val="auto"/>
              </w:rPr>
            </w:pPr>
            <w:r>
              <w:rPr>
                <w:rFonts w:ascii="Arial" w:cs="Arial" w:eastAsia="Arial" w:hAnsi="Arial"/>
                <w:sz w:val="14"/>
                <w:szCs w:val="14"/>
                <w:color w:val="auto"/>
              </w:rPr>
              <w:t>Repurchase and retirement of Series A and Series A-1</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2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(1,869)</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(1,869)</w:t>
            </w:r>
          </w:p>
        </w:tc>
        <w:tc>
          <w:tcPr>
            <w:tcW w:w="0" w:type="dxa"/>
            <w:vAlign w:val="bottom"/>
          </w:tcPr>
          <w:p>
            <w:pPr>
              <w:spacing w:after="0"/>
              <w:rPr>
                <w:sz w:val="1"/>
                <w:szCs w:val="1"/>
                <w:color w:val="auto"/>
              </w:rPr>
            </w:pPr>
          </w:p>
        </w:tc>
      </w:tr>
      <w:tr>
        <w:trPr>
          <w:trHeight w:val="184"/>
        </w:trPr>
        <w:tc>
          <w:tcPr>
            <w:tcW w:w="4220" w:type="dxa"/>
            <w:vAlign w:val="bottom"/>
            <w:tcBorders>
              <w:bottom w:val="single" w:sz="8" w:color="CCEEFF"/>
            </w:tcBorders>
          </w:tcPr>
          <w:p>
            <w:pPr>
              <w:ind w:left="220"/>
              <w:spacing w:after="0" w:line="144" w:lineRule="exact"/>
              <w:rPr>
                <w:sz w:val="20"/>
                <w:szCs w:val="20"/>
                <w:color w:val="auto"/>
              </w:rPr>
            </w:pPr>
            <w:r>
              <w:rPr>
                <w:rFonts w:ascii="Arial" w:cs="Arial" w:eastAsia="Arial" w:hAnsi="Arial"/>
                <w:sz w:val="14"/>
                <w:szCs w:val="14"/>
                <w:color w:val="auto"/>
              </w:rPr>
              <w:t>convertible preferred stock</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22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4"/>
                <w:szCs w:val="14"/>
                <w:color w:val="231F20"/>
              </w:rPr>
              <w:t>Net loss attributable to common stockholders</w:t>
            </w:r>
          </w:p>
        </w:tc>
        <w:tc>
          <w:tcPr>
            <w:tcW w:w="1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line="143" w:lineRule="exact"/>
              <w:rPr>
                <w:sz w:val="20"/>
                <w:szCs w:val="20"/>
                <w:color w:val="auto"/>
              </w:rPr>
            </w:pPr>
            <w:r>
              <w:rPr>
                <w:rFonts w:ascii="Arial" w:cs="Arial" w:eastAsia="Arial" w:hAnsi="Arial"/>
                <w:sz w:val="14"/>
                <w:szCs w:val="14"/>
                <w:color w:val="auto"/>
              </w:rPr>
              <w:t>(17,713)</w:t>
            </w:r>
          </w:p>
        </w:tc>
        <w:tc>
          <w:tcPr>
            <w:tcW w:w="320" w:type="dxa"/>
            <w:vAlign w:val="bottom"/>
            <w:tcBorders>
              <w:bottom w:val="single" w:sz="8" w:color="auto"/>
            </w:tcBorders>
            <w:shd w:val="clear" w:color="auto" w:fill="CCEEFF"/>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(9,713)</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line="143" w:lineRule="exact"/>
              <w:rPr>
                <w:sz w:val="20"/>
                <w:szCs w:val="20"/>
                <w:color w:val="auto"/>
              </w:rPr>
            </w:pPr>
            <w:r>
              <w:rPr>
                <w:rFonts w:ascii="Arial" w:cs="Arial" w:eastAsia="Arial" w:hAnsi="Arial"/>
                <w:sz w:val="14"/>
                <w:szCs w:val="14"/>
                <w:color w:val="auto"/>
              </w:rPr>
              <w:t>(49,458)</w:t>
            </w:r>
          </w:p>
        </w:tc>
        <w:tc>
          <w:tcPr>
            <w:tcW w:w="320" w:type="dxa"/>
            <w:vAlign w:val="bottom"/>
            <w:tcBorders>
              <w:bottom w:val="single" w:sz="8" w:color="auto"/>
            </w:tcBorders>
            <w:shd w:val="clear" w:color="auto" w:fill="CCEEFF"/>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(13,859)</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4"/>
                <w:szCs w:val="14"/>
                <w:color w:val="231F20"/>
              </w:rPr>
              <w:t>Net loss per share attributable to common stockholders, basic</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220" w:type="dxa"/>
            <w:vAlign w:val="bottom"/>
            <w:vMerge w:val="continue"/>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231F20"/>
              </w:rPr>
              <w:t>(0.45)</w:t>
            </w:r>
          </w:p>
        </w:tc>
        <w:tc>
          <w:tcPr>
            <w:tcW w:w="320" w:type="dxa"/>
            <w:vAlign w:val="bottom"/>
            <w:vMerge w:val="restart"/>
          </w:tcPr>
          <w:p>
            <w:pPr>
              <w:jc w:val="right"/>
              <w:ind w:right="48"/>
              <w:spacing w:after="0"/>
              <w:rPr>
                <w:sz w:val="20"/>
                <w:szCs w:val="20"/>
                <w:color w:val="auto"/>
              </w:rPr>
            </w:pPr>
            <w:r>
              <w:rPr>
                <w:rFonts w:ascii="Arial" w:cs="Arial" w:eastAsia="Arial" w:hAnsi="Arial"/>
                <w:sz w:val="14"/>
                <w:szCs w:val="14"/>
                <w:color w:val="231F20"/>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231F20"/>
              </w:rPr>
              <w:t>(3.71)</w:t>
            </w:r>
          </w:p>
        </w:tc>
        <w:tc>
          <w:tcPr>
            <w:tcW w:w="18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231F20"/>
              </w:rPr>
              <w:t>(1.25)</w:t>
            </w:r>
          </w:p>
        </w:tc>
        <w:tc>
          <w:tcPr>
            <w:tcW w:w="320" w:type="dxa"/>
            <w:vAlign w:val="bottom"/>
            <w:vMerge w:val="restart"/>
          </w:tcPr>
          <w:p>
            <w:pPr>
              <w:jc w:val="right"/>
              <w:ind w:right="48"/>
              <w:spacing w:after="0"/>
              <w:rPr>
                <w:sz w:val="20"/>
                <w:szCs w:val="20"/>
                <w:color w:val="auto"/>
              </w:rPr>
            </w:pPr>
            <w:r>
              <w:rPr>
                <w:rFonts w:ascii="Arial" w:cs="Arial" w:eastAsia="Arial" w:hAnsi="Arial"/>
                <w:sz w:val="14"/>
                <w:szCs w:val="14"/>
                <w:color w:val="231F20"/>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231F20"/>
              </w:rPr>
              <w:t>(5.29)</w:t>
            </w:r>
          </w:p>
        </w:tc>
        <w:tc>
          <w:tcPr>
            <w:tcW w:w="0" w:type="dxa"/>
            <w:vAlign w:val="bottom"/>
          </w:tcPr>
          <w:p>
            <w:pPr>
              <w:spacing w:after="0"/>
              <w:rPr>
                <w:sz w:val="1"/>
                <w:szCs w:val="1"/>
                <w:color w:val="auto"/>
              </w:rPr>
            </w:pPr>
          </w:p>
        </w:tc>
      </w:tr>
      <w:tr>
        <w:trPr>
          <w:trHeight w:val="184"/>
        </w:trPr>
        <w:tc>
          <w:tcPr>
            <w:tcW w:w="4220" w:type="dxa"/>
            <w:vAlign w:val="bottom"/>
            <w:tcBorders>
              <w:bottom w:val="single" w:sz="8" w:color="CCEEFF"/>
            </w:tcBorders>
          </w:tcPr>
          <w:p>
            <w:pPr>
              <w:spacing w:after="0" w:line="144" w:lineRule="exact"/>
              <w:rPr>
                <w:sz w:val="20"/>
                <w:szCs w:val="20"/>
                <w:color w:val="auto"/>
              </w:rPr>
            </w:pPr>
            <w:r>
              <w:rPr>
                <w:rFonts w:ascii="Arial" w:cs="Arial" w:eastAsia="Arial" w:hAnsi="Arial"/>
                <w:sz w:val="14"/>
                <w:szCs w:val="14"/>
                <w:color w:val="231F20"/>
              </w:rPr>
              <w:t>and diluted</w:t>
            </w:r>
          </w:p>
        </w:tc>
        <w:tc>
          <w:tcPr>
            <w:tcW w:w="12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220" w:type="dxa"/>
            <w:vAlign w:val="bottom"/>
            <w:shd w:val="clear" w:color="auto" w:fill="CCEEFF"/>
          </w:tcPr>
          <w:p>
            <w:pPr>
              <w:spacing w:after="0" w:line="121" w:lineRule="exact"/>
              <w:rPr>
                <w:sz w:val="20"/>
                <w:szCs w:val="20"/>
                <w:color w:val="auto"/>
              </w:rPr>
            </w:pPr>
            <w:r>
              <w:rPr>
                <w:rFonts w:ascii="Arial" w:cs="Arial" w:eastAsia="Arial" w:hAnsi="Arial"/>
                <w:sz w:val="13"/>
                <w:szCs w:val="13"/>
                <w:color w:val="231F20"/>
              </w:rPr>
              <w:t>Weighted average shares used to compute net loss per share</w:t>
            </w:r>
          </w:p>
        </w:tc>
        <w:tc>
          <w:tcPr>
            <w:tcW w:w="1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39,607,745</w:t>
            </w:r>
          </w:p>
        </w:tc>
        <w:tc>
          <w:tcPr>
            <w:tcW w:w="3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2,617,543</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39,450,655</w:t>
            </w:r>
          </w:p>
        </w:tc>
        <w:tc>
          <w:tcPr>
            <w:tcW w:w="3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2,617,543</w:t>
            </w:r>
          </w:p>
        </w:tc>
        <w:tc>
          <w:tcPr>
            <w:tcW w:w="0" w:type="dxa"/>
            <w:vAlign w:val="bottom"/>
          </w:tcPr>
          <w:p>
            <w:pPr>
              <w:spacing w:after="0"/>
              <w:rPr>
                <w:sz w:val="1"/>
                <w:szCs w:val="1"/>
                <w:color w:val="auto"/>
              </w:rPr>
            </w:pPr>
          </w:p>
        </w:tc>
      </w:tr>
      <w:tr>
        <w:trPr>
          <w:trHeight w:val="144"/>
        </w:trPr>
        <w:tc>
          <w:tcPr>
            <w:tcW w:w="4220" w:type="dxa"/>
            <w:vAlign w:val="bottom"/>
            <w:tcBorders>
              <w:bottom w:val="single" w:sz="8" w:color="CCEEFF"/>
            </w:tcBorders>
            <w:shd w:val="clear" w:color="auto" w:fill="CCEEFF"/>
          </w:tcPr>
          <w:p>
            <w:pPr>
              <w:spacing w:after="0" w:line="144" w:lineRule="exact"/>
              <w:rPr>
                <w:sz w:val="20"/>
                <w:szCs w:val="20"/>
                <w:color w:val="auto"/>
              </w:rPr>
            </w:pPr>
            <w:r>
              <w:rPr>
                <w:rFonts w:ascii="Arial" w:cs="Arial" w:eastAsia="Arial" w:hAnsi="Arial"/>
                <w:sz w:val="14"/>
                <w:szCs w:val="14"/>
                <w:color w:val="231F20"/>
              </w:rPr>
              <w:t>attributable to common stockholders, basic and diluted</w:t>
            </w: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vMerge w:val="continue"/>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137160</wp:posOffset>
            </wp:positionV>
            <wp:extent cx="5648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p>
      <w:pPr>
        <w:spacing w:after="0" w:line="216" w:lineRule="exact"/>
        <w:rPr>
          <w:sz w:val="20"/>
          <w:szCs w:val="20"/>
          <w:color w:val="auto"/>
        </w:rPr>
      </w:pPr>
    </w:p>
    <w:p>
      <w:pPr>
        <w:ind w:left="46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-1905</wp:posOffset>
            </wp:positionV>
            <wp:extent cx="14141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ind w:left="4680"/>
        <w:spacing w:after="0"/>
        <w:tabs>
          <w:tab w:leader="none" w:pos="58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-1905</wp:posOffset>
            </wp:positionV>
            <wp:extent cx="1431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tabs>
          <w:tab w:leader="none" w:pos="12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p>
    <w:p>
      <w:pPr>
        <w:sectPr>
          <w:pgSz w:w="11900" w:h="16838" w:orient="portrait"/>
          <w:cols w:equalWidth="0" w:num="2">
            <w:col w:w="6380" w:space="720"/>
            <w:col w:w="1919"/>
          </w:cols>
          <w:pgMar w:left="1440" w:top="517" w:right="1440"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4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135"/>
        </w:trPr>
        <w:tc>
          <w:tcPr>
            <w:tcW w:w="42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231F20"/>
              </w:rPr>
              <w:t>Net loss</w:t>
            </w:r>
          </w:p>
        </w:tc>
        <w:tc>
          <w:tcPr>
            <w:tcW w:w="300" w:type="dxa"/>
            <w:vAlign w:val="bottom"/>
            <w:shd w:val="clear" w:color="auto" w:fill="CCEEFF"/>
          </w:tcPr>
          <w:p>
            <w:pPr>
              <w:jc w:val="right"/>
              <w:ind w:right="108"/>
              <w:spacing w:after="0" w:line="13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line="135" w:lineRule="exact"/>
              <w:rPr>
                <w:sz w:val="20"/>
                <w:szCs w:val="20"/>
                <w:color w:val="auto"/>
              </w:rPr>
            </w:pPr>
            <w:r>
              <w:rPr>
                <w:rFonts w:ascii="Arial" w:cs="Arial" w:eastAsia="Arial" w:hAnsi="Arial"/>
                <w:sz w:val="14"/>
                <w:szCs w:val="14"/>
                <w:color w:val="auto"/>
              </w:rPr>
              <w:t>(17,713)</w:t>
            </w:r>
          </w:p>
        </w:tc>
        <w:tc>
          <w:tcPr>
            <w:tcW w:w="420" w:type="dxa"/>
            <w:vAlign w:val="bottom"/>
            <w:shd w:val="clear" w:color="auto" w:fill="CCEEFF"/>
          </w:tcPr>
          <w:p>
            <w:pPr>
              <w:jc w:val="right"/>
              <w:ind w:right="148"/>
              <w:spacing w:after="0" w:line="13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(7,844)</w:t>
            </w:r>
          </w:p>
        </w:tc>
        <w:tc>
          <w:tcPr>
            <w:tcW w:w="300" w:type="dxa"/>
            <w:vAlign w:val="bottom"/>
            <w:shd w:val="clear" w:color="auto" w:fill="CCEEFF"/>
          </w:tcPr>
          <w:p>
            <w:pPr>
              <w:jc w:val="right"/>
              <w:ind w:right="108"/>
              <w:spacing w:after="0" w:line="135"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line="135" w:lineRule="exact"/>
              <w:rPr>
                <w:sz w:val="20"/>
                <w:szCs w:val="20"/>
                <w:color w:val="auto"/>
              </w:rPr>
            </w:pPr>
            <w:r>
              <w:rPr>
                <w:rFonts w:ascii="Arial" w:cs="Arial" w:eastAsia="Arial" w:hAnsi="Arial"/>
                <w:sz w:val="14"/>
                <w:szCs w:val="14"/>
                <w:color w:val="auto"/>
              </w:rPr>
              <w:t>(49,458)</w:t>
            </w:r>
          </w:p>
        </w:tc>
        <w:tc>
          <w:tcPr>
            <w:tcW w:w="380" w:type="dxa"/>
            <w:vAlign w:val="bottom"/>
            <w:shd w:val="clear" w:color="auto" w:fill="CCEEFF"/>
          </w:tcPr>
          <w:p>
            <w:pPr>
              <w:jc w:val="right"/>
              <w:ind w:right="128"/>
              <w:spacing w:after="0" w:line="13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(11,990)</w:t>
            </w:r>
          </w:p>
        </w:tc>
      </w:tr>
      <w:tr>
        <w:trPr>
          <w:trHeight w:val="162"/>
        </w:trPr>
        <w:tc>
          <w:tcPr>
            <w:tcW w:w="4240" w:type="dxa"/>
            <w:vAlign w:val="bottom"/>
          </w:tcPr>
          <w:p>
            <w:pPr>
              <w:ind w:left="20"/>
              <w:spacing w:after="0"/>
              <w:rPr>
                <w:sz w:val="20"/>
                <w:szCs w:val="20"/>
                <w:color w:val="auto"/>
              </w:rPr>
            </w:pPr>
            <w:r>
              <w:rPr>
                <w:rFonts w:ascii="Arial" w:cs="Arial" w:eastAsia="Arial" w:hAnsi="Arial"/>
                <w:sz w:val="14"/>
                <w:szCs w:val="14"/>
                <w:color w:val="231F20"/>
              </w:rPr>
              <w:t>Other comprehensive income:</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4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unrealized gain on marketable securities</w:t>
            </w:r>
          </w:p>
        </w:tc>
        <w:tc>
          <w:tcPr>
            <w:tcW w:w="3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29</w:t>
            </w:r>
          </w:p>
        </w:tc>
        <w:tc>
          <w:tcPr>
            <w:tcW w:w="4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w:t>
            </w:r>
          </w:p>
        </w:tc>
        <w:tc>
          <w:tcPr>
            <w:tcW w:w="3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55"/>
        </w:trPr>
        <w:tc>
          <w:tcPr>
            <w:tcW w:w="424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231F20"/>
              </w:rPr>
              <w:t>Total comprehensive loss</w:t>
            </w:r>
          </w:p>
        </w:tc>
        <w:tc>
          <w:tcPr>
            <w:tcW w:w="30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(17,684)</w:t>
            </w:r>
          </w:p>
        </w:tc>
        <w:tc>
          <w:tcPr>
            <w:tcW w:w="4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color w:val="auto"/>
              </w:rPr>
              <w:t>(7,844)</w:t>
            </w:r>
          </w:p>
        </w:tc>
        <w:tc>
          <w:tcPr>
            <w:tcW w:w="30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(49,443)</w:t>
            </w:r>
          </w:p>
        </w:tc>
        <w:tc>
          <w:tcPr>
            <w:tcW w:w="3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(11,990)</w:t>
            </w: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74930</wp:posOffset>
            </wp:positionV>
            <wp:extent cx="5648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37" w:lineRule="exact"/>
        <w:rPr>
          <w:sz w:val="20"/>
          <w:szCs w:val="20"/>
          <w:color w:val="auto"/>
        </w:rPr>
      </w:pPr>
    </w:p>
    <w:tbl>
      <w:tblPr>
        <w:tblLayout w:type="fixed"/>
        <w:tblInd w:w="60" w:type="dxa"/>
        <w:tblCellMar>
          <w:top w:w="0" w:type="dxa"/>
          <w:left w:w="0" w:type="dxa"/>
          <w:bottom w:w="0" w:type="dxa"/>
          <w:right w:w="0" w:type="dxa"/>
        </w:tblCellMar>
      </w:tblPr>
      <w:tr>
        <w:trPr>
          <w:trHeight w:val="142"/>
        </w:trPr>
        <w:tc>
          <w:tcPr>
            <w:tcW w:w="2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8"/>
              </w:rPr>
              <w:t>Accumulated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55"/>
        </w:trPr>
        <w:tc>
          <w:tcPr>
            <w:tcW w:w="2980" w:type="dxa"/>
            <w:vAlign w:val="bottom"/>
          </w:tcPr>
          <w:p>
            <w:pPr>
              <w:spacing w:after="0"/>
              <w:rPr>
                <w:sz w:val="13"/>
                <w:szCs w:val="13"/>
                <w:color w:val="auto"/>
              </w:rPr>
            </w:pPr>
          </w:p>
        </w:tc>
        <w:tc>
          <w:tcPr>
            <w:tcW w:w="1300" w:type="dxa"/>
            <w:vAlign w:val="bottom"/>
            <w:gridSpan w:val="4"/>
          </w:tcPr>
          <w:p>
            <w:pPr>
              <w:ind w:left="280"/>
              <w:spacing w:after="0"/>
              <w:rPr>
                <w:sz w:val="20"/>
                <w:szCs w:val="20"/>
                <w:color w:val="auto"/>
              </w:rPr>
            </w:pPr>
            <w:r>
              <w:rPr>
                <w:rFonts w:ascii="Arial" w:cs="Arial" w:eastAsia="Arial" w:hAnsi="Arial"/>
                <w:sz w:val="11"/>
                <w:szCs w:val="11"/>
                <w:b w:val="1"/>
                <w:bCs w:val="1"/>
                <w:color w:val="auto"/>
              </w:rPr>
              <w:t>Convertible</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5"/>
              </w:rPr>
              <w:t>Other</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center"/>
              <w:ind w:right="106"/>
              <w:spacing w:after="0"/>
              <w:rPr>
                <w:sz w:val="20"/>
                <w:szCs w:val="20"/>
                <w:color w:val="auto"/>
              </w:rPr>
            </w:pPr>
            <w:r>
              <w:rPr>
                <w:rFonts w:ascii="Arial" w:cs="Arial" w:eastAsia="Arial" w:hAnsi="Arial"/>
                <w:sz w:val="11"/>
                <w:szCs w:val="11"/>
                <w:b w:val="1"/>
                <w:bCs w:val="1"/>
                <w:color w:val="auto"/>
                <w:w w:val="98"/>
              </w:rPr>
              <w:t>Total</w:t>
            </w:r>
          </w:p>
        </w:tc>
      </w:tr>
      <w:tr>
        <w:trPr>
          <w:trHeight w:val="130"/>
        </w:trPr>
        <w:tc>
          <w:tcPr>
            <w:tcW w:w="2980" w:type="dxa"/>
            <w:vAlign w:val="bottom"/>
          </w:tcPr>
          <w:p>
            <w:pPr>
              <w:spacing w:after="0"/>
              <w:rPr>
                <w:sz w:val="11"/>
                <w:szCs w:val="11"/>
                <w:color w:val="auto"/>
              </w:rPr>
            </w:pPr>
          </w:p>
        </w:tc>
        <w:tc>
          <w:tcPr>
            <w:tcW w:w="1300" w:type="dxa"/>
            <w:vAlign w:val="bottom"/>
            <w:gridSpan w:val="4"/>
          </w:tcPr>
          <w:p>
            <w:pPr>
              <w:ind w:left="180"/>
              <w:spacing w:after="0" w:line="122" w:lineRule="exact"/>
              <w:rPr>
                <w:sz w:val="20"/>
                <w:szCs w:val="20"/>
                <w:color w:val="auto"/>
              </w:rPr>
            </w:pPr>
            <w:r>
              <w:rPr>
                <w:rFonts w:ascii="Arial" w:cs="Arial" w:eastAsia="Arial" w:hAnsi="Arial"/>
                <w:sz w:val="11"/>
                <w:szCs w:val="11"/>
                <w:b w:val="1"/>
                <w:bCs w:val="1"/>
                <w:color w:val="auto"/>
              </w:rPr>
              <w:t>Preferred Stock</w:t>
            </w:r>
          </w:p>
        </w:tc>
        <w:tc>
          <w:tcPr>
            <w:tcW w:w="1280" w:type="dxa"/>
            <w:vAlign w:val="bottom"/>
            <w:gridSpan w:val="3"/>
          </w:tcPr>
          <w:p>
            <w:pPr>
              <w:jc w:val="right"/>
              <w:ind w:right="186"/>
              <w:spacing w:after="0" w:line="122" w:lineRule="exact"/>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1"/>
                <w:szCs w:val="11"/>
                <w:color w:val="auto"/>
              </w:rPr>
            </w:pPr>
          </w:p>
        </w:tc>
        <w:tc>
          <w:tcPr>
            <w:tcW w:w="54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w w:val="98"/>
              </w:rPr>
              <w:t>Paid-in</w:t>
            </w:r>
          </w:p>
        </w:tc>
        <w:tc>
          <w:tcPr>
            <w:tcW w:w="120" w:type="dxa"/>
            <w:vAlign w:val="bottom"/>
          </w:tcPr>
          <w:p>
            <w:pPr>
              <w:spacing w:after="0"/>
              <w:rPr>
                <w:sz w:val="11"/>
                <w:szCs w:val="11"/>
                <w:color w:val="auto"/>
              </w:rPr>
            </w:pP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Comprehensive</w:t>
            </w:r>
          </w:p>
        </w:tc>
        <w:tc>
          <w:tcPr>
            <w:tcW w:w="800" w:type="dxa"/>
            <w:vAlign w:val="bottom"/>
            <w:gridSpan w:val="2"/>
          </w:tcPr>
          <w:p>
            <w:pPr>
              <w:jc w:val="right"/>
              <w:ind w:right="26"/>
              <w:spacing w:after="0" w:line="122" w:lineRule="exact"/>
              <w:rPr>
                <w:sz w:val="20"/>
                <w:szCs w:val="20"/>
                <w:color w:val="auto"/>
              </w:rPr>
            </w:pPr>
            <w:r>
              <w:rPr>
                <w:rFonts w:ascii="Arial" w:cs="Arial" w:eastAsia="Arial" w:hAnsi="Arial"/>
                <w:sz w:val="11"/>
                <w:szCs w:val="11"/>
                <w:b w:val="1"/>
                <w:bCs w:val="1"/>
                <w:color w:val="auto"/>
              </w:rPr>
              <w:t>Accumulated</w:t>
            </w:r>
          </w:p>
        </w:tc>
        <w:tc>
          <w:tcPr>
            <w:tcW w:w="800" w:type="dxa"/>
            <w:vAlign w:val="bottom"/>
            <w:gridSpan w:val="2"/>
          </w:tcPr>
          <w:p>
            <w:pPr>
              <w:jc w:val="center"/>
              <w:ind w:left="6"/>
              <w:spacing w:after="0" w:line="122" w:lineRule="exact"/>
              <w:rPr>
                <w:sz w:val="20"/>
                <w:szCs w:val="20"/>
                <w:color w:val="auto"/>
              </w:rPr>
            </w:pPr>
            <w:r>
              <w:rPr>
                <w:rFonts w:ascii="Arial" w:cs="Arial" w:eastAsia="Arial" w:hAnsi="Arial"/>
                <w:sz w:val="11"/>
                <w:szCs w:val="11"/>
                <w:b w:val="1"/>
                <w:bCs w:val="1"/>
                <w:color w:val="auto"/>
                <w:w w:val="96"/>
              </w:rPr>
              <w:t>Stockholders'</w:t>
            </w:r>
          </w:p>
        </w:tc>
      </w:tr>
      <w:tr>
        <w:trPr>
          <w:trHeight w:val="122"/>
        </w:trPr>
        <w:tc>
          <w:tcPr>
            <w:tcW w:w="2980" w:type="dxa"/>
            <w:vAlign w:val="bottom"/>
            <w:tcBorders>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ind w:left="60"/>
              <w:spacing w:after="0" w:line="122" w:lineRule="exact"/>
              <w:rPr>
                <w:sz w:val="20"/>
                <w:szCs w:val="20"/>
                <w:color w:val="auto"/>
              </w:rPr>
            </w:pPr>
            <w:r>
              <w:rPr>
                <w:rFonts w:ascii="Arial" w:cs="Arial" w:eastAsia="Arial" w:hAnsi="Arial"/>
                <w:sz w:val="11"/>
                <w:szCs w:val="11"/>
                <w:b w:val="1"/>
                <w:bCs w:val="1"/>
                <w:color w:val="231F20"/>
              </w:rPr>
              <w:t>Shares</w:t>
            </w:r>
          </w:p>
        </w:tc>
        <w:tc>
          <w:tcPr>
            <w:tcW w:w="14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1"/>
                <w:szCs w:val="11"/>
                <w:b w:val="1"/>
                <w:bCs w:val="1"/>
                <w:color w:val="231F20"/>
              </w:rPr>
              <w:t>Amount</w:t>
            </w:r>
          </w:p>
        </w:tc>
        <w:tc>
          <w:tcPr>
            <w:tcW w:w="12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06"/>
              <w:spacing w:after="0" w:line="122" w:lineRule="exact"/>
              <w:rPr>
                <w:sz w:val="20"/>
                <w:szCs w:val="20"/>
                <w:color w:val="auto"/>
              </w:rPr>
            </w:pPr>
            <w:r>
              <w:rPr>
                <w:rFonts w:ascii="Arial" w:cs="Arial" w:eastAsia="Arial" w:hAnsi="Arial"/>
                <w:sz w:val="11"/>
                <w:szCs w:val="11"/>
                <w:b w:val="1"/>
                <w:bCs w:val="1"/>
                <w:color w:val="231F20"/>
              </w:rPr>
              <w:t>Shares</w:t>
            </w:r>
          </w:p>
        </w:tc>
        <w:tc>
          <w:tcPr>
            <w:tcW w:w="16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26"/>
              <w:spacing w:after="0" w:line="122" w:lineRule="exact"/>
              <w:rPr>
                <w:sz w:val="20"/>
                <w:szCs w:val="20"/>
                <w:color w:val="auto"/>
              </w:rPr>
            </w:pPr>
            <w:r>
              <w:rPr>
                <w:rFonts w:ascii="Arial" w:cs="Arial" w:eastAsia="Arial" w:hAnsi="Arial"/>
                <w:sz w:val="11"/>
                <w:szCs w:val="11"/>
                <w:b w:val="1"/>
                <w:bCs w:val="1"/>
                <w:color w:val="231F20"/>
                <w:w w:val="91"/>
              </w:rPr>
              <w:t>Amount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06"/>
              <w:spacing w:after="0" w:line="122" w:lineRule="exact"/>
              <w:rPr>
                <w:sz w:val="20"/>
                <w:szCs w:val="20"/>
                <w:color w:val="auto"/>
              </w:rPr>
            </w:pPr>
            <w:r>
              <w:rPr>
                <w:rFonts w:ascii="Arial" w:cs="Arial" w:eastAsia="Arial" w:hAnsi="Arial"/>
                <w:sz w:val="11"/>
                <w:szCs w:val="11"/>
                <w:b w:val="1"/>
                <w:bCs w:val="1"/>
                <w:color w:val="231F20"/>
                <w:w w:val="98"/>
              </w:rPr>
              <w:t>Capital</w:t>
            </w: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spacing w:after="0" w:line="113" w:lineRule="exact"/>
              <w:rPr>
                <w:sz w:val="20"/>
                <w:szCs w:val="20"/>
                <w:color w:val="auto"/>
              </w:rPr>
            </w:pPr>
            <w:r>
              <w:rPr>
                <w:rFonts w:ascii="Arial" w:cs="Arial" w:eastAsia="Arial" w:hAnsi="Arial"/>
                <w:sz w:val="11"/>
                <w:szCs w:val="11"/>
                <w:b w:val="1"/>
                <w:bCs w:val="1"/>
                <w:color w:val="231F20"/>
                <w:w w:val="96"/>
              </w:rPr>
              <w:t>Income (Loss)</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86"/>
              <w:spacing w:after="0" w:line="122" w:lineRule="exact"/>
              <w:rPr>
                <w:sz w:val="20"/>
                <w:szCs w:val="20"/>
                <w:color w:val="auto"/>
              </w:rPr>
            </w:pPr>
            <w:r>
              <w:rPr>
                <w:rFonts w:ascii="Arial" w:cs="Arial" w:eastAsia="Arial" w:hAnsi="Arial"/>
                <w:sz w:val="11"/>
                <w:szCs w:val="11"/>
                <w:b w:val="1"/>
                <w:bCs w:val="1"/>
                <w:color w:val="231F20"/>
              </w:rPr>
              <w:t>Deficit</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106"/>
              <w:spacing w:after="0" w:line="122" w:lineRule="exact"/>
              <w:rPr>
                <w:sz w:val="20"/>
                <w:szCs w:val="20"/>
                <w:color w:val="auto"/>
              </w:rPr>
            </w:pPr>
            <w:r>
              <w:rPr>
                <w:rFonts w:ascii="Arial" w:cs="Arial" w:eastAsia="Arial" w:hAnsi="Arial"/>
                <w:sz w:val="11"/>
                <w:szCs w:val="11"/>
                <w:b w:val="1"/>
                <w:bCs w:val="1"/>
                <w:color w:val="231F20"/>
              </w:rPr>
              <w:t>Equity</w:t>
            </w:r>
          </w:p>
        </w:tc>
      </w:tr>
      <w:tr>
        <w:trPr>
          <w:trHeight w:val="115"/>
        </w:trPr>
        <w:tc>
          <w:tcPr>
            <w:tcW w:w="2980" w:type="dxa"/>
            <w:vAlign w:val="bottom"/>
            <w:shd w:val="clear" w:color="auto" w:fill="CCEEFF"/>
          </w:tcPr>
          <w:p>
            <w:pPr>
              <w:spacing w:after="0" w:line="115" w:lineRule="exact"/>
              <w:rPr>
                <w:sz w:val="20"/>
                <w:szCs w:val="20"/>
                <w:color w:val="auto"/>
              </w:rPr>
            </w:pPr>
            <w:r>
              <w:rPr>
                <w:rFonts w:ascii="Arial" w:cs="Arial" w:eastAsia="Arial" w:hAnsi="Arial"/>
                <w:sz w:val="11"/>
                <w:szCs w:val="11"/>
                <w:color w:val="231F20"/>
              </w:rPr>
              <w:t>Balances at June 30, 2021</w:t>
            </w:r>
          </w:p>
        </w:tc>
        <w:tc>
          <w:tcPr>
            <w:tcW w:w="540" w:type="dxa"/>
            <w:vAlign w:val="bottom"/>
            <w:shd w:val="clear" w:color="auto" w:fill="CCEEFF"/>
          </w:tcPr>
          <w:p>
            <w:pPr>
              <w:ind w:left="340"/>
              <w:spacing w:after="0" w:line="115" w:lineRule="exact"/>
              <w:rPr>
                <w:sz w:val="20"/>
                <w:szCs w:val="20"/>
                <w:color w:val="auto"/>
              </w:rPr>
            </w:pPr>
            <w:r>
              <w:rPr>
                <w:rFonts w:ascii="Arial" w:cs="Arial" w:eastAsia="Arial" w:hAnsi="Arial"/>
                <w:sz w:val="11"/>
                <w:szCs w:val="11"/>
                <w:color w:val="231F20"/>
              </w:rPr>
              <w:t>—</w:t>
            </w:r>
          </w:p>
        </w:tc>
        <w:tc>
          <w:tcPr>
            <w:tcW w:w="1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500" w:type="dxa"/>
            <w:vAlign w:val="bottom"/>
            <w:shd w:val="clear" w:color="auto" w:fill="CCEEFF"/>
          </w:tcPr>
          <w:p>
            <w:pPr>
              <w:ind w:left="340"/>
              <w:spacing w:after="0" w:line="115" w:lineRule="exact"/>
              <w:rPr>
                <w:sz w:val="20"/>
                <w:szCs w:val="20"/>
                <w:color w:val="auto"/>
              </w:rPr>
            </w:pPr>
            <w:r>
              <w:rPr>
                <w:rFonts w:ascii="Arial" w:cs="Arial" w:eastAsia="Arial" w:hAnsi="Arial"/>
                <w:sz w:val="11"/>
                <w:szCs w:val="11"/>
                <w:color w:val="231F20"/>
              </w:rPr>
              <w:t>—</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26"/>
              <w:spacing w:after="0" w:line="115" w:lineRule="exact"/>
              <w:rPr>
                <w:sz w:val="20"/>
                <w:szCs w:val="20"/>
                <w:color w:val="auto"/>
              </w:rPr>
            </w:pPr>
            <w:r>
              <w:rPr>
                <w:rFonts w:ascii="Arial" w:cs="Arial" w:eastAsia="Arial" w:hAnsi="Arial"/>
                <w:sz w:val="11"/>
                <w:szCs w:val="11"/>
                <w:color w:val="231F20"/>
                <w:w w:val="98"/>
              </w:rPr>
              <w:t>39,552,588</w:t>
            </w:r>
          </w:p>
        </w:tc>
        <w:tc>
          <w:tcPr>
            <w:tcW w:w="1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4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3</w:t>
            </w:r>
          </w:p>
        </w:tc>
        <w:tc>
          <w:tcPr>
            <w:tcW w:w="200" w:type="dxa"/>
            <w:vAlign w:val="bottom"/>
            <w:shd w:val="clear" w:color="auto" w:fill="CCEEFF"/>
          </w:tcPr>
          <w:p>
            <w:pPr>
              <w:ind w:left="120"/>
              <w:spacing w:after="0" w:line="115" w:lineRule="exact"/>
              <w:rPr>
                <w:sz w:val="20"/>
                <w:szCs w:val="20"/>
                <w:color w:val="auto"/>
              </w:rPr>
            </w:pPr>
            <w:r>
              <w:rPr>
                <w:rFonts w:ascii="Arial" w:cs="Arial" w:eastAsia="Arial" w:hAnsi="Arial"/>
                <w:sz w:val="11"/>
                <w:szCs w:val="11"/>
                <w:color w:val="231F20"/>
                <w:w w:val="97"/>
              </w:rPr>
              <w:t>$</w:t>
            </w:r>
          </w:p>
        </w:tc>
        <w:tc>
          <w:tcPr>
            <w:tcW w:w="540" w:type="dxa"/>
            <w:vAlign w:val="bottom"/>
            <w:shd w:val="clear" w:color="auto" w:fill="CCEEFF"/>
          </w:tcPr>
          <w:p>
            <w:pPr>
              <w:jc w:val="right"/>
              <w:ind w:right="46"/>
              <w:spacing w:after="0" w:line="115" w:lineRule="exact"/>
              <w:rPr>
                <w:sz w:val="20"/>
                <w:szCs w:val="20"/>
                <w:color w:val="auto"/>
              </w:rPr>
            </w:pPr>
            <w:r>
              <w:rPr>
                <w:rFonts w:ascii="Arial" w:cs="Arial" w:eastAsia="Arial" w:hAnsi="Arial"/>
                <w:sz w:val="11"/>
                <w:szCs w:val="11"/>
                <w:color w:val="231F20"/>
              </w:rPr>
              <w:t>378,934</w:t>
            </w:r>
          </w:p>
        </w:tc>
        <w:tc>
          <w:tcPr>
            <w:tcW w:w="1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8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(14)</w:t>
            </w:r>
          </w:p>
        </w:tc>
        <w:tc>
          <w:tcPr>
            <w:tcW w:w="1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620" w:type="dxa"/>
            <w:vAlign w:val="bottom"/>
            <w:shd w:val="clear" w:color="auto" w:fill="CCEEFF"/>
          </w:tcPr>
          <w:p>
            <w:pPr>
              <w:jc w:val="right"/>
              <w:ind w:right="6"/>
              <w:spacing w:after="0" w:line="115" w:lineRule="exact"/>
              <w:rPr>
                <w:sz w:val="20"/>
                <w:szCs w:val="20"/>
                <w:color w:val="auto"/>
              </w:rPr>
            </w:pPr>
            <w:r>
              <w:rPr>
                <w:rFonts w:ascii="Arial" w:cs="Arial" w:eastAsia="Arial" w:hAnsi="Arial"/>
                <w:sz w:val="11"/>
                <w:szCs w:val="11"/>
                <w:color w:val="231F20"/>
              </w:rPr>
              <w:t>(64,839)</w:t>
            </w:r>
          </w:p>
        </w:tc>
        <w:tc>
          <w:tcPr>
            <w:tcW w:w="220" w:type="dxa"/>
            <w:vAlign w:val="bottom"/>
            <w:shd w:val="clear" w:color="auto" w:fill="CCEEFF"/>
          </w:tcPr>
          <w:p>
            <w:pPr>
              <w:jc w:val="right"/>
              <w:ind w:right="6"/>
              <w:spacing w:after="0" w:line="115" w:lineRule="exact"/>
              <w:rPr>
                <w:sz w:val="20"/>
                <w:szCs w:val="20"/>
                <w:color w:val="auto"/>
              </w:rPr>
            </w:pPr>
            <w:r>
              <w:rPr>
                <w:rFonts w:ascii="Arial" w:cs="Arial" w:eastAsia="Arial" w:hAnsi="Arial"/>
                <w:sz w:val="11"/>
                <w:szCs w:val="11"/>
                <w:color w:val="231F20"/>
              </w:rPr>
              <w:t>$</w:t>
            </w:r>
          </w:p>
        </w:tc>
        <w:tc>
          <w:tcPr>
            <w:tcW w:w="5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314,084</w:t>
            </w:r>
          </w:p>
        </w:tc>
      </w:tr>
      <w:tr>
        <w:trPr>
          <w:trHeight w:val="122"/>
        </w:trPr>
        <w:tc>
          <w:tcPr>
            <w:tcW w:w="2980" w:type="dxa"/>
            <w:vAlign w:val="bottom"/>
          </w:tcPr>
          <w:p>
            <w:pPr>
              <w:spacing w:after="0" w:line="122" w:lineRule="exact"/>
              <w:rPr>
                <w:sz w:val="20"/>
                <w:szCs w:val="20"/>
                <w:color w:val="auto"/>
              </w:rPr>
            </w:pPr>
            <w:r>
              <w:rPr>
                <w:rFonts w:ascii="Arial" w:cs="Arial" w:eastAsia="Arial" w:hAnsi="Arial"/>
                <w:sz w:val="11"/>
                <w:szCs w:val="11"/>
                <w:color w:val="auto"/>
              </w:rPr>
              <w:t>Vesting of early exercised stock options</w:t>
            </w:r>
          </w:p>
        </w:tc>
        <w:tc>
          <w:tcPr>
            <w:tcW w:w="540" w:type="dxa"/>
            <w:vAlign w:val="bottom"/>
          </w:tcPr>
          <w:p>
            <w:pPr>
              <w:ind w:left="340"/>
              <w:spacing w:after="0" w:line="122" w:lineRule="exact"/>
              <w:rPr>
                <w:sz w:val="20"/>
                <w:szCs w:val="20"/>
                <w:color w:val="auto"/>
              </w:rPr>
            </w:pPr>
            <w:r>
              <w:rPr>
                <w:rFonts w:ascii="Arial" w:cs="Arial" w:eastAsia="Arial" w:hAnsi="Arial"/>
                <w:sz w:val="11"/>
                <w:szCs w:val="11"/>
                <w:color w:val="231F20"/>
              </w:rPr>
              <w:t>—</w:t>
            </w:r>
          </w:p>
        </w:tc>
        <w:tc>
          <w:tcPr>
            <w:tcW w:w="140" w:type="dxa"/>
            <w:vAlign w:val="bottom"/>
          </w:tcPr>
          <w:p>
            <w:pPr>
              <w:spacing w:after="0"/>
              <w:rPr>
                <w:sz w:val="10"/>
                <w:szCs w:val="10"/>
                <w:color w:val="auto"/>
              </w:rPr>
            </w:pPr>
          </w:p>
        </w:tc>
        <w:tc>
          <w:tcPr>
            <w:tcW w:w="620" w:type="dxa"/>
            <w:vAlign w:val="bottom"/>
            <w:gridSpan w:val="2"/>
          </w:tcPr>
          <w:p>
            <w:pPr>
              <w:ind w:left="340"/>
              <w:spacing w:after="0" w:line="122" w:lineRule="exact"/>
              <w:rPr>
                <w:sz w:val="20"/>
                <w:szCs w:val="20"/>
                <w:color w:val="auto"/>
              </w:rPr>
            </w:pPr>
            <w:r>
              <w:rPr>
                <w:rFonts w:ascii="Arial" w:cs="Arial" w:eastAsia="Arial" w:hAnsi="Arial"/>
                <w:sz w:val="11"/>
                <w:szCs w:val="11"/>
                <w:color w:val="231F20"/>
              </w:rPr>
              <w:t>—</w:t>
            </w: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58,639</w:t>
            </w:r>
          </w:p>
        </w:tc>
        <w:tc>
          <w:tcPr>
            <w:tcW w:w="1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280</w:t>
            </w:r>
          </w:p>
        </w:tc>
        <w:tc>
          <w:tcPr>
            <w:tcW w:w="120" w:type="dxa"/>
            <w:vAlign w:val="bottom"/>
          </w:tcPr>
          <w:p>
            <w:pPr>
              <w:spacing w:after="0"/>
              <w:rPr>
                <w:sz w:val="10"/>
                <w:szCs w:val="10"/>
                <w:color w:val="auto"/>
              </w:rPr>
            </w:pPr>
          </w:p>
        </w:tc>
        <w:tc>
          <w:tcPr>
            <w:tcW w:w="88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80" w:type="dxa"/>
            <w:vAlign w:val="bottom"/>
          </w:tcPr>
          <w:p>
            <w:pPr>
              <w:spacing w:after="0"/>
              <w:rPr>
                <w:sz w:val="10"/>
                <w:szCs w:val="10"/>
                <w:color w:val="auto"/>
              </w:rPr>
            </w:pPr>
          </w:p>
        </w:tc>
        <w:tc>
          <w:tcPr>
            <w:tcW w:w="62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231F20"/>
              </w:rPr>
              <w:t>280</w:t>
            </w:r>
          </w:p>
        </w:tc>
      </w:tr>
      <w:tr>
        <w:trPr>
          <w:trHeight w:val="121"/>
        </w:trPr>
        <w:tc>
          <w:tcPr>
            <w:tcW w:w="2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 awards</w:t>
            </w:r>
          </w:p>
        </w:tc>
        <w:tc>
          <w:tcPr>
            <w:tcW w:w="540" w:type="dxa"/>
            <w:vAlign w:val="bottom"/>
            <w:shd w:val="clear" w:color="auto" w:fill="CCEEFF"/>
          </w:tcPr>
          <w:p>
            <w:pPr>
              <w:ind w:left="340"/>
              <w:spacing w:after="0" w:line="122" w:lineRule="exact"/>
              <w:rPr>
                <w:sz w:val="20"/>
                <w:szCs w:val="20"/>
                <w:color w:val="auto"/>
              </w:rPr>
            </w:pPr>
            <w:r>
              <w:rPr>
                <w:rFonts w:ascii="Arial" w:cs="Arial" w:eastAsia="Arial" w:hAnsi="Arial"/>
                <w:sz w:val="11"/>
                <w:szCs w:val="11"/>
                <w:color w:val="231F20"/>
              </w:rPr>
              <w:t>—</w:t>
            </w:r>
          </w:p>
        </w:tc>
        <w:tc>
          <w:tcPr>
            <w:tcW w:w="14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231F20"/>
              </w:rPr>
              <w:t>—</w:t>
            </w:r>
          </w:p>
        </w:tc>
        <w:tc>
          <w:tcPr>
            <w:tcW w:w="64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231F20"/>
              </w:rPr>
              <w:t>49,318</w:t>
            </w: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231F20"/>
              </w:rPr>
              <w:t>—</w:t>
            </w: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231F20"/>
              </w:rPr>
              <w:t>—</w:t>
            </w:r>
          </w:p>
        </w:tc>
      </w:tr>
      <w:tr>
        <w:trPr>
          <w:trHeight w:val="122"/>
        </w:trPr>
        <w:tc>
          <w:tcPr>
            <w:tcW w:w="2980" w:type="dxa"/>
            <w:vAlign w:val="bottom"/>
          </w:tcPr>
          <w:p>
            <w:pPr>
              <w:spacing w:after="0" w:line="122" w:lineRule="exact"/>
              <w:rPr>
                <w:sz w:val="20"/>
                <w:szCs w:val="20"/>
                <w:color w:val="auto"/>
              </w:rPr>
            </w:pPr>
            <w:r>
              <w:rPr>
                <w:rFonts w:ascii="Arial" w:cs="Arial" w:eastAsia="Arial" w:hAnsi="Arial"/>
                <w:sz w:val="11"/>
                <w:szCs w:val="11"/>
                <w:color w:val="auto"/>
              </w:rPr>
              <w:t>Exercise of stock options</w:t>
            </w:r>
          </w:p>
        </w:tc>
        <w:tc>
          <w:tcPr>
            <w:tcW w:w="540" w:type="dxa"/>
            <w:vAlign w:val="bottom"/>
          </w:tcPr>
          <w:p>
            <w:pPr>
              <w:ind w:left="340"/>
              <w:spacing w:after="0" w:line="122" w:lineRule="exact"/>
              <w:rPr>
                <w:sz w:val="20"/>
                <w:szCs w:val="20"/>
                <w:color w:val="auto"/>
              </w:rPr>
            </w:pPr>
            <w:r>
              <w:rPr>
                <w:rFonts w:ascii="Arial" w:cs="Arial" w:eastAsia="Arial" w:hAnsi="Arial"/>
                <w:sz w:val="11"/>
                <w:szCs w:val="11"/>
                <w:color w:val="231F20"/>
              </w:rPr>
              <w:t>—</w:t>
            </w:r>
          </w:p>
        </w:tc>
        <w:tc>
          <w:tcPr>
            <w:tcW w:w="140" w:type="dxa"/>
            <w:vAlign w:val="bottom"/>
          </w:tcPr>
          <w:p>
            <w:pPr>
              <w:spacing w:after="0"/>
              <w:rPr>
                <w:sz w:val="10"/>
                <w:szCs w:val="10"/>
                <w:color w:val="auto"/>
              </w:rPr>
            </w:pPr>
          </w:p>
        </w:tc>
        <w:tc>
          <w:tcPr>
            <w:tcW w:w="620" w:type="dxa"/>
            <w:vAlign w:val="bottom"/>
            <w:gridSpan w:val="2"/>
          </w:tcPr>
          <w:p>
            <w:pPr>
              <w:ind w:left="340"/>
              <w:spacing w:after="0" w:line="122" w:lineRule="exact"/>
              <w:rPr>
                <w:sz w:val="20"/>
                <w:szCs w:val="20"/>
                <w:color w:val="auto"/>
              </w:rPr>
            </w:pPr>
            <w:r>
              <w:rPr>
                <w:rFonts w:ascii="Arial" w:cs="Arial" w:eastAsia="Arial" w:hAnsi="Arial"/>
                <w:sz w:val="11"/>
                <w:szCs w:val="11"/>
                <w:color w:val="231F20"/>
              </w:rPr>
              <w:t>—</w:t>
            </w: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20,753</w:t>
            </w:r>
          </w:p>
        </w:tc>
        <w:tc>
          <w:tcPr>
            <w:tcW w:w="1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57</w:t>
            </w:r>
          </w:p>
        </w:tc>
        <w:tc>
          <w:tcPr>
            <w:tcW w:w="120" w:type="dxa"/>
            <w:vAlign w:val="bottom"/>
          </w:tcPr>
          <w:p>
            <w:pPr>
              <w:spacing w:after="0"/>
              <w:rPr>
                <w:sz w:val="10"/>
                <w:szCs w:val="10"/>
                <w:color w:val="auto"/>
              </w:rPr>
            </w:pPr>
          </w:p>
        </w:tc>
        <w:tc>
          <w:tcPr>
            <w:tcW w:w="88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80" w:type="dxa"/>
            <w:vAlign w:val="bottom"/>
          </w:tcPr>
          <w:p>
            <w:pPr>
              <w:spacing w:after="0"/>
              <w:rPr>
                <w:sz w:val="10"/>
                <w:szCs w:val="10"/>
                <w:color w:val="auto"/>
              </w:rPr>
            </w:pPr>
          </w:p>
        </w:tc>
        <w:tc>
          <w:tcPr>
            <w:tcW w:w="62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231F20"/>
              </w:rPr>
              <w:t>57</w:t>
            </w:r>
          </w:p>
        </w:tc>
      </w:tr>
      <w:tr>
        <w:trPr>
          <w:trHeight w:val="118"/>
        </w:trPr>
        <w:tc>
          <w:tcPr>
            <w:tcW w:w="298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Issuance of shares under the employee stock purchase</w:t>
            </w: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25"/>
        </w:trPr>
        <w:tc>
          <w:tcPr>
            <w:tcW w:w="2980" w:type="dxa"/>
            <w:vAlign w:val="bottom"/>
            <w:shd w:val="clear" w:color="auto" w:fill="CCEEFF"/>
          </w:tcPr>
          <w:p>
            <w:pPr>
              <w:spacing w:after="0" w:line="125" w:lineRule="exact"/>
              <w:rPr>
                <w:sz w:val="20"/>
                <w:szCs w:val="20"/>
                <w:color w:val="auto"/>
              </w:rPr>
            </w:pPr>
            <w:r>
              <w:rPr>
                <w:rFonts w:ascii="Arial" w:cs="Arial" w:eastAsia="Arial" w:hAnsi="Arial"/>
                <w:sz w:val="11"/>
                <w:szCs w:val="11"/>
                <w:color w:val="auto"/>
              </w:rPr>
              <w:t>plan</w:t>
            </w:r>
          </w:p>
        </w:tc>
        <w:tc>
          <w:tcPr>
            <w:tcW w:w="540" w:type="dxa"/>
            <w:vAlign w:val="bottom"/>
            <w:shd w:val="clear" w:color="auto" w:fill="CCEEFF"/>
          </w:tcPr>
          <w:p>
            <w:pPr>
              <w:ind w:left="340"/>
              <w:spacing w:after="0" w:line="125" w:lineRule="exact"/>
              <w:rPr>
                <w:sz w:val="20"/>
                <w:szCs w:val="20"/>
                <w:color w:val="auto"/>
              </w:rPr>
            </w:pPr>
            <w:r>
              <w:rPr>
                <w:rFonts w:ascii="Arial" w:cs="Arial" w:eastAsia="Arial" w:hAnsi="Arial"/>
                <w:sz w:val="11"/>
                <w:szCs w:val="11"/>
                <w:color w:val="231F20"/>
              </w:rPr>
              <w:t>—</w:t>
            </w:r>
          </w:p>
        </w:tc>
        <w:tc>
          <w:tcPr>
            <w:tcW w:w="14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340"/>
              <w:spacing w:after="0" w:line="125" w:lineRule="exact"/>
              <w:rPr>
                <w:sz w:val="20"/>
                <w:szCs w:val="20"/>
                <w:color w:val="auto"/>
              </w:rPr>
            </w:pPr>
            <w:r>
              <w:rPr>
                <w:rFonts w:ascii="Arial" w:cs="Arial" w:eastAsia="Arial" w:hAnsi="Arial"/>
                <w:sz w:val="11"/>
                <w:szCs w:val="11"/>
                <w:color w:val="231F20"/>
              </w:rPr>
              <w:t>—</w:t>
            </w:r>
          </w:p>
        </w:tc>
        <w:tc>
          <w:tcPr>
            <w:tcW w:w="640" w:type="dxa"/>
            <w:vAlign w:val="bottom"/>
            <w:shd w:val="clear" w:color="auto" w:fill="CCEEFF"/>
          </w:tcPr>
          <w:p>
            <w:pPr>
              <w:jc w:val="right"/>
              <w:ind w:right="26"/>
              <w:spacing w:after="0" w:line="125" w:lineRule="exact"/>
              <w:rPr>
                <w:sz w:val="20"/>
                <w:szCs w:val="20"/>
                <w:color w:val="auto"/>
              </w:rPr>
            </w:pPr>
            <w:r>
              <w:rPr>
                <w:rFonts w:ascii="Arial" w:cs="Arial" w:eastAsia="Arial" w:hAnsi="Arial"/>
                <w:sz w:val="11"/>
                <w:szCs w:val="11"/>
                <w:color w:val="231F20"/>
              </w:rPr>
              <w:t>—</w:t>
            </w: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231F20"/>
              </w:rPr>
              <w:t>—</w:t>
            </w: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46"/>
              <w:spacing w:after="0" w:line="125" w:lineRule="exact"/>
              <w:rPr>
                <w:sz w:val="20"/>
                <w:szCs w:val="20"/>
                <w:color w:val="auto"/>
              </w:rPr>
            </w:pPr>
            <w:r>
              <w:rPr>
                <w:rFonts w:ascii="Arial" w:cs="Arial" w:eastAsia="Arial" w:hAnsi="Arial"/>
                <w:sz w:val="11"/>
                <w:szCs w:val="11"/>
                <w:color w:val="231F20"/>
              </w:rPr>
              <w:t>—</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26"/>
              <w:spacing w:after="0" w:line="125" w:lineRule="exact"/>
              <w:rPr>
                <w:sz w:val="20"/>
                <w:szCs w:val="20"/>
                <w:color w:val="auto"/>
              </w:rPr>
            </w:pPr>
            <w:r>
              <w:rPr>
                <w:rFonts w:ascii="Arial" w:cs="Arial" w:eastAsia="Arial" w:hAnsi="Arial"/>
                <w:sz w:val="11"/>
                <w:szCs w:val="11"/>
                <w:color w:val="231F20"/>
              </w:rPr>
              <w:t>—</w:t>
            </w: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46"/>
              <w:spacing w:after="0" w:line="125" w:lineRule="exact"/>
              <w:rPr>
                <w:sz w:val="20"/>
                <w:szCs w:val="20"/>
                <w:color w:val="auto"/>
              </w:rPr>
            </w:pPr>
            <w:r>
              <w:rPr>
                <w:rFonts w:ascii="Arial" w:cs="Arial" w:eastAsia="Arial" w:hAnsi="Arial"/>
                <w:sz w:val="11"/>
                <w:szCs w:val="11"/>
                <w:color w:val="231F20"/>
              </w:rPr>
              <w:t>—</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231F20"/>
              </w:rPr>
              <w:t>—</w:t>
            </w:r>
          </w:p>
        </w:tc>
      </w:tr>
      <w:tr>
        <w:trPr>
          <w:trHeight w:val="122"/>
        </w:trPr>
        <w:tc>
          <w:tcPr>
            <w:tcW w:w="2980" w:type="dxa"/>
            <w:vAlign w:val="bottom"/>
          </w:tcPr>
          <w:p>
            <w:pPr>
              <w:spacing w:after="0" w:line="122" w:lineRule="exact"/>
              <w:rPr>
                <w:sz w:val="20"/>
                <w:szCs w:val="20"/>
                <w:color w:val="auto"/>
              </w:rPr>
            </w:pPr>
            <w:r>
              <w:rPr>
                <w:rFonts w:ascii="Arial" w:cs="Arial" w:eastAsia="Arial" w:hAnsi="Arial"/>
                <w:sz w:val="11"/>
                <w:szCs w:val="11"/>
                <w:color w:val="auto"/>
              </w:rPr>
              <w:t>Stock-based compensation expense</w:t>
            </w:r>
          </w:p>
        </w:tc>
        <w:tc>
          <w:tcPr>
            <w:tcW w:w="540" w:type="dxa"/>
            <w:vAlign w:val="bottom"/>
          </w:tcPr>
          <w:p>
            <w:pPr>
              <w:ind w:left="340"/>
              <w:spacing w:after="0" w:line="122" w:lineRule="exact"/>
              <w:rPr>
                <w:sz w:val="20"/>
                <w:szCs w:val="20"/>
                <w:color w:val="auto"/>
              </w:rPr>
            </w:pPr>
            <w:r>
              <w:rPr>
                <w:rFonts w:ascii="Arial" w:cs="Arial" w:eastAsia="Arial" w:hAnsi="Arial"/>
                <w:sz w:val="11"/>
                <w:szCs w:val="11"/>
                <w:color w:val="231F20"/>
              </w:rPr>
              <w:t>—</w:t>
            </w:r>
          </w:p>
        </w:tc>
        <w:tc>
          <w:tcPr>
            <w:tcW w:w="140" w:type="dxa"/>
            <w:vAlign w:val="bottom"/>
          </w:tcPr>
          <w:p>
            <w:pPr>
              <w:spacing w:after="0"/>
              <w:rPr>
                <w:sz w:val="10"/>
                <w:szCs w:val="10"/>
                <w:color w:val="auto"/>
              </w:rPr>
            </w:pPr>
          </w:p>
        </w:tc>
        <w:tc>
          <w:tcPr>
            <w:tcW w:w="620" w:type="dxa"/>
            <w:vAlign w:val="bottom"/>
            <w:gridSpan w:val="2"/>
          </w:tcPr>
          <w:p>
            <w:pPr>
              <w:ind w:left="340"/>
              <w:spacing w:after="0" w:line="122" w:lineRule="exact"/>
              <w:rPr>
                <w:sz w:val="20"/>
                <w:szCs w:val="20"/>
                <w:color w:val="auto"/>
              </w:rPr>
            </w:pPr>
            <w:r>
              <w:rPr>
                <w:rFonts w:ascii="Arial" w:cs="Arial" w:eastAsia="Arial" w:hAnsi="Arial"/>
                <w:sz w:val="11"/>
                <w:szCs w:val="11"/>
                <w:color w:val="231F20"/>
              </w:rPr>
              <w:t>—</w:t>
            </w: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4,125</w:t>
            </w:r>
          </w:p>
        </w:tc>
        <w:tc>
          <w:tcPr>
            <w:tcW w:w="120" w:type="dxa"/>
            <w:vAlign w:val="bottom"/>
          </w:tcPr>
          <w:p>
            <w:pPr>
              <w:spacing w:after="0"/>
              <w:rPr>
                <w:sz w:val="10"/>
                <w:szCs w:val="10"/>
                <w:color w:val="auto"/>
              </w:rPr>
            </w:pPr>
          </w:p>
        </w:tc>
        <w:tc>
          <w:tcPr>
            <w:tcW w:w="88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80" w:type="dxa"/>
            <w:vAlign w:val="bottom"/>
          </w:tcPr>
          <w:p>
            <w:pPr>
              <w:spacing w:after="0"/>
              <w:rPr>
                <w:sz w:val="10"/>
                <w:szCs w:val="10"/>
                <w:color w:val="auto"/>
              </w:rPr>
            </w:pPr>
          </w:p>
        </w:tc>
        <w:tc>
          <w:tcPr>
            <w:tcW w:w="62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231F20"/>
              </w:rPr>
              <w:t>4,125</w:t>
            </w:r>
          </w:p>
        </w:tc>
      </w:tr>
      <w:tr>
        <w:trPr>
          <w:trHeight w:val="121"/>
        </w:trPr>
        <w:tc>
          <w:tcPr>
            <w:tcW w:w="2980" w:type="dxa"/>
            <w:vAlign w:val="bottom"/>
            <w:shd w:val="clear" w:color="auto" w:fill="CCEEFF"/>
          </w:tcPr>
          <w:p>
            <w:pPr>
              <w:spacing w:after="0" w:line="122" w:lineRule="exact"/>
              <w:rPr>
                <w:sz w:val="20"/>
                <w:szCs w:val="20"/>
                <w:color w:val="auto"/>
              </w:rPr>
            </w:pPr>
            <w:r>
              <w:rPr>
                <w:rFonts w:ascii="Arial" w:cs="Arial" w:eastAsia="Arial" w:hAnsi="Arial"/>
                <w:sz w:val="11"/>
                <w:szCs w:val="11"/>
                <w:color w:val="231F20"/>
              </w:rPr>
              <w:t>Employee stock purchase plan expense</w:t>
            </w:r>
          </w:p>
        </w:tc>
        <w:tc>
          <w:tcPr>
            <w:tcW w:w="540" w:type="dxa"/>
            <w:vAlign w:val="bottom"/>
            <w:shd w:val="clear" w:color="auto" w:fill="CCEEFF"/>
          </w:tcPr>
          <w:p>
            <w:pPr>
              <w:ind w:left="340"/>
              <w:spacing w:after="0" w:line="122" w:lineRule="exact"/>
              <w:rPr>
                <w:sz w:val="20"/>
                <w:szCs w:val="20"/>
                <w:color w:val="auto"/>
              </w:rPr>
            </w:pPr>
            <w:r>
              <w:rPr>
                <w:rFonts w:ascii="Arial" w:cs="Arial" w:eastAsia="Arial" w:hAnsi="Arial"/>
                <w:sz w:val="11"/>
                <w:szCs w:val="11"/>
                <w:color w:val="231F20"/>
              </w:rPr>
              <w:t>—</w:t>
            </w:r>
          </w:p>
        </w:tc>
        <w:tc>
          <w:tcPr>
            <w:tcW w:w="14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231F20"/>
              </w:rPr>
              <w:t>—</w:t>
            </w:r>
          </w:p>
        </w:tc>
        <w:tc>
          <w:tcPr>
            <w:tcW w:w="64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231F20"/>
              </w:rPr>
              <w:t>—</w:t>
            </w: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231F20"/>
              </w:rPr>
              <w:t>32</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231F20"/>
              </w:rPr>
              <w:t>32</w:t>
            </w:r>
          </w:p>
        </w:tc>
      </w:tr>
      <w:tr>
        <w:trPr>
          <w:trHeight w:val="122"/>
        </w:trPr>
        <w:tc>
          <w:tcPr>
            <w:tcW w:w="2980" w:type="dxa"/>
            <w:vAlign w:val="bottom"/>
          </w:tcPr>
          <w:p>
            <w:pPr>
              <w:spacing w:after="0" w:line="122" w:lineRule="exact"/>
              <w:rPr>
                <w:sz w:val="20"/>
                <w:szCs w:val="20"/>
                <w:color w:val="auto"/>
              </w:rPr>
            </w:pPr>
            <w:r>
              <w:rPr>
                <w:rFonts w:ascii="Arial" w:cs="Arial" w:eastAsia="Arial" w:hAnsi="Arial"/>
                <w:sz w:val="11"/>
                <w:szCs w:val="11"/>
                <w:color w:val="231F20"/>
              </w:rPr>
              <w:t>Net unrealized gain on marketable securities</w:t>
            </w:r>
          </w:p>
        </w:tc>
        <w:tc>
          <w:tcPr>
            <w:tcW w:w="540" w:type="dxa"/>
            <w:vAlign w:val="bottom"/>
          </w:tcPr>
          <w:p>
            <w:pPr>
              <w:ind w:left="340"/>
              <w:spacing w:after="0" w:line="122" w:lineRule="exact"/>
              <w:rPr>
                <w:sz w:val="20"/>
                <w:szCs w:val="20"/>
                <w:color w:val="auto"/>
              </w:rPr>
            </w:pPr>
            <w:r>
              <w:rPr>
                <w:rFonts w:ascii="Arial" w:cs="Arial" w:eastAsia="Arial" w:hAnsi="Arial"/>
                <w:sz w:val="11"/>
                <w:szCs w:val="11"/>
                <w:color w:val="231F20"/>
              </w:rPr>
              <w:t>—</w:t>
            </w:r>
          </w:p>
        </w:tc>
        <w:tc>
          <w:tcPr>
            <w:tcW w:w="140" w:type="dxa"/>
            <w:vAlign w:val="bottom"/>
          </w:tcPr>
          <w:p>
            <w:pPr>
              <w:spacing w:after="0"/>
              <w:rPr>
                <w:sz w:val="10"/>
                <w:szCs w:val="10"/>
                <w:color w:val="auto"/>
              </w:rPr>
            </w:pPr>
          </w:p>
        </w:tc>
        <w:tc>
          <w:tcPr>
            <w:tcW w:w="620" w:type="dxa"/>
            <w:vAlign w:val="bottom"/>
            <w:gridSpan w:val="2"/>
          </w:tcPr>
          <w:p>
            <w:pPr>
              <w:ind w:left="340"/>
              <w:spacing w:after="0" w:line="122" w:lineRule="exact"/>
              <w:rPr>
                <w:sz w:val="20"/>
                <w:szCs w:val="20"/>
                <w:color w:val="auto"/>
              </w:rPr>
            </w:pPr>
            <w:r>
              <w:rPr>
                <w:rFonts w:ascii="Arial" w:cs="Arial" w:eastAsia="Arial" w:hAnsi="Arial"/>
                <w:sz w:val="11"/>
                <w:szCs w:val="11"/>
                <w:color w:val="231F20"/>
              </w:rPr>
              <w:t>—</w:t>
            </w: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120" w:type="dxa"/>
            <w:vAlign w:val="bottom"/>
          </w:tcPr>
          <w:p>
            <w:pPr>
              <w:spacing w:after="0"/>
              <w:rPr>
                <w:sz w:val="10"/>
                <w:szCs w:val="10"/>
                <w:color w:val="auto"/>
              </w:rPr>
            </w:pPr>
          </w:p>
        </w:tc>
        <w:tc>
          <w:tcPr>
            <w:tcW w:w="88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29</w:t>
            </w:r>
          </w:p>
        </w:tc>
        <w:tc>
          <w:tcPr>
            <w:tcW w:w="180" w:type="dxa"/>
            <w:vAlign w:val="bottom"/>
          </w:tcPr>
          <w:p>
            <w:pPr>
              <w:spacing w:after="0"/>
              <w:rPr>
                <w:sz w:val="10"/>
                <w:szCs w:val="10"/>
                <w:color w:val="auto"/>
              </w:rPr>
            </w:pPr>
          </w:p>
        </w:tc>
        <w:tc>
          <w:tcPr>
            <w:tcW w:w="62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231F20"/>
              </w:rPr>
              <w:t>29</w:t>
            </w:r>
          </w:p>
        </w:tc>
      </w:tr>
      <w:tr>
        <w:trPr>
          <w:trHeight w:val="122"/>
        </w:trPr>
        <w:tc>
          <w:tcPr>
            <w:tcW w:w="2980" w:type="dxa"/>
            <w:vAlign w:val="bottom"/>
            <w:shd w:val="clear" w:color="auto" w:fill="CCEEFF"/>
          </w:tcPr>
          <w:p>
            <w:pPr>
              <w:spacing w:after="0" w:line="122" w:lineRule="exact"/>
              <w:rPr>
                <w:sz w:val="20"/>
                <w:szCs w:val="20"/>
                <w:color w:val="auto"/>
              </w:rPr>
            </w:pPr>
            <w:r>
              <w:rPr>
                <w:rFonts w:ascii="Arial" w:cs="Arial" w:eastAsia="Arial" w:hAnsi="Arial"/>
                <w:sz w:val="11"/>
                <w:szCs w:val="11"/>
                <w:color w:val="231F20"/>
              </w:rPr>
              <w:t>Net loss</w:t>
            </w:r>
          </w:p>
        </w:tc>
        <w:tc>
          <w:tcPr>
            <w:tcW w:w="540" w:type="dxa"/>
            <w:vAlign w:val="bottom"/>
            <w:tcBorders>
              <w:bottom w:val="single" w:sz="8" w:color="auto"/>
            </w:tcBorders>
            <w:shd w:val="clear" w:color="auto" w:fill="CCEEFF"/>
          </w:tcPr>
          <w:p>
            <w:pPr>
              <w:ind w:left="340"/>
              <w:spacing w:after="0" w:line="122" w:lineRule="exact"/>
              <w:rPr>
                <w:sz w:val="20"/>
                <w:szCs w:val="20"/>
                <w:color w:val="auto"/>
              </w:rPr>
            </w:pPr>
            <w:r>
              <w:rPr>
                <w:rFonts w:ascii="Arial" w:cs="Arial" w:eastAsia="Arial" w:hAnsi="Arial"/>
                <w:sz w:val="11"/>
                <w:szCs w:val="11"/>
                <w:color w:val="231F20"/>
              </w:rPr>
              <w:t>—</w:t>
            </w:r>
          </w:p>
        </w:tc>
        <w:tc>
          <w:tcPr>
            <w:tcW w:w="14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gridSpan w:val="2"/>
            <w:shd w:val="clear" w:color="auto" w:fill="CCEEFF"/>
          </w:tcPr>
          <w:p>
            <w:pPr>
              <w:ind w:left="340"/>
              <w:spacing w:after="0" w:line="122" w:lineRule="exact"/>
              <w:rPr>
                <w:sz w:val="20"/>
                <w:szCs w:val="20"/>
                <w:color w:val="auto"/>
              </w:rPr>
            </w:pPr>
            <w:r>
              <w:rPr>
                <w:rFonts w:ascii="Arial" w:cs="Arial" w:eastAsia="Arial" w:hAnsi="Arial"/>
                <w:sz w:val="11"/>
                <w:szCs w:val="11"/>
                <w:color w:val="231F20"/>
              </w:rPr>
              <w:t>—</w:t>
            </w:r>
          </w:p>
        </w:tc>
        <w:tc>
          <w:tcPr>
            <w:tcW w:w="640" w:type="dxa"/>
            <w:vAlign w:val="bottom"/>
            <w:tcBorders>
              <w:bottom w:val="single" w:sz="8" w:color="auto"/>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6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231F20"/>
              </w:rPr>
              <w:t>—</w:t>
            </w:r>
          </w:p>
        </w:tc>
        <w:tc>
          <w:tcPr>
            <w:tcW w:w="20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12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8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231F20"/>
              </w:rPr>
              <w:t>(17,713)</w:t>
            </w:r>
          </w:p>
        </w:tc>
        <w:tc>
          <w:tcPr>
            <w:tcW w:w="22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231F20"/>
              </w:rPr>
              <w:t>(17,713)</w:t>
            </w:r>
          </w:p>
        </w:tc>
      </w:tr>
      <w:tr>
        <w:trPr>
          <w:trHeight w:val="115"/>
        </w:trPr>
        <w:tc>
          <w:tcPr>
            <w:tcW w:w="2980" w:type="dxa"/>
            <w:vAlign w:val="bottom"/>
          </w:tcPr>
          <w:p>
            <w:pPr>
              <w:spacing w:after="0" w:line="115" w:lineRule="exact"/>
              <w:rPr>
                <w:sz w:val="20"/>
                <w:szCs w:val="20"/>
                <w:color w:val="auto"/>
              </w:rPr>
            </w:pPr>
            <w:r>
              <w:rPr>
                <w:rFonts w:ascii="Arial" w:cs="Arial" w:eastAsia="Arial" w:hAnsi="Arial"/>
                <w:sz w:val="11"/>
                <w:szCs w:val="11"/>
                <w:color w:val="231F20"/>
              </w:rPr>
              <w:t>Balances at September 30, 2021</w:t>
            </w:r>
          </w:p>
        </w:tc>
        <w:tc>
          <w:tcPr>
            <w:tcW w:w="540" w:type="dxa"/>
            <w:vAlign w:val="bottom"/>
            <w:tcBorders>
              <w:bottom w:val="single" w:sz="8" w:color="auto"/>
            </w:tcBorders>
          </w:tcPr>
          <w:p>
            <w:pPr>
              <w:ind w:left="340"/>
              <w:spacing w:after="0" w:line="115" w:lineRule="exact"/>
              <w:rPr>
                <w:sz w:val="20"/>
                <w:szCs w:val="20"/>
                <w:color w:val="auto"/>
              </w:rPr>
            </w:pPr>
            <w:r>
              <w:rPr>
                <w:rFonts w:ascii="Arial" w:cs="Arial" w:eastAsia="Arial" w:hAnsi="Arial"/>
                <w:sz w:val="11"/>
                <w:szCs w:val="11"/>
                <w:color w:val="231F20"/>
              </w:rPr>
              <w:t>—</w:t>
            </w:r>
          </w:p>
        </w:tc>
        <w:tc>
          <w:tcPr>
            <w:tcW w:w="1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620" w:type="dxa"/>
            <w:vAlign w:val="bottom"/>
            <w:tcBorders>
              <w:bottom w:val="single" w:sz="8" w:color="auto"/>
            </w:tcBorders>
            <w:gridSpan w:val="2"/>
          </w:tcPr>
          <w:p>
            <w:pPr>
              <w:ind w:left="340"/>
              <w:spacing w:after="0" w:line="115" w:lineRule="exact"/>
              <w:rPr>
                <w:sz w:val="20"/>
                <w:szCs w:val="20"/>
                <w:color w:val="auto"/>
              </w:rPr>
            </w:pPr>
            <w:r>
              <w:rPr>
                <w:rFonts w:ascii="Arial" w:cs="Arial" w:eastAsia="Arial" w:hAnsi="Arial"/>
                <w:sz w:val="11"/>
                <w:szCs w:val="11"/>
                <w:color w:val="231F20"/>
              </w:rPr>
              <w:t>—</w:t>
            </w:r>
          </w:p>
        </w:tc>
        <w:tc>
          <w:tcPr>
            <w:tcW w:w="640" w:type="dxa"/>
            <w:vAlign w:val="bottom"/>
            <w:tcBorders>
              <w:bottom w:val="single" w:sz="8" w:color="auto"/>
            </w:tcBorders>
          </w:tcPr>
          <w:p>
            <w:pPr>
              <w:jc w:val="right"/>
              <w:ind w:right="26"/>
              <w:spacing w:after="0" w:line="115" w:lineRule="exact"/>
              <w:rPr>
                <w:sz w:val="20"/>
                <w:szCs w:val="20"/>
                <w:color w:val="auto"/>
              </w:rPr>
            </w:pPr>
            <w:r>
              <w:rPr>
                <w:rFonts w:ascii="Arial" w:cs="Arial" w:eastAsia="Arial" w:hAnsi="Arial"/>
                <w:sz w:val="11"/>
                <w:szCs w:val="11"/>
                <w:color w:val="231F20"/>
                <w:w w:val="98"/>
              </w:rPr>
              <w:t>39,681,298</w:t>
            </w:r>
          </w:p>
        </w:tc>
        <w:tc>
          <w:tcPr>
            <w:tcW w:w="1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4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3</w:t>
            </w:r>
          </w:p>
        </w:tc>
        <w:tc>
          <w:tcPr>
            <w:tcW w:w="200" w:type="dxa"/>
            <w:vAlign w:val="bottom"/>
            <w:tcBorders>
              <w:bottom w:val="single" w:sz="8" w:color="auto"/>
            </w:tcBorders>
          </w:tcPr>
          <w:p>
            <w:pPr>
              <w:ind w:left="120"/>
              <w:spacing w:after="0" w:line="115" w:lineRule="exact"/>
              <w:rPr>
                <w:sz w:val="20"/>
                <w:szCs w:val="20"/>
                <w:color w:val="auto"/>
              </w:rPr>
            </w:pPr>
            <w:r>
              <w:rPr>
                <w:rFonts w:ascii="Arial" w:cs="Arial" w:eastAsia="Arial" w:hAnsi="Arial"/>
                <w:sz w:val="11"/>
                <w:szCs w:val="11"/>
                <w:color w:val="231F20"/>
                <w:w w:val="97"/>
              </w:rPr>
              <w:t>$</w:t>
            </w:r>
          </w:p>
        </w:tc>
        <w:tc>
          <w:tcPr>
            <w:tcW w:w="54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1"/>
                <w:szCs w:val="11"/>
                <w:color w:val="231F20"/>
              </w:rPr>
              <w:t>383,428</w:t>
            </w:r>
          </w:p>
        </w:tc>
        <w:tc>
          <w:tcPr>
            <w:tcW w:w="1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880" w:type="dxa"/>
            <w:vAlign w:val="bottom"/>
            <w:tcBorders>
              <w:bottom w:val="single" w:sz="8" w:color="auto"/>
            </w:tcBorders>
          </w:tcPr>
          <w:p>
            <w:pPr>
              <w:jc w:val="right"/>
              <w:ind w:right="26"/>
              <w:spacing w:after="0" w:line="115" w:lineRule="exact"/>
              <w:rPr>
                <w:sz w:val="20"/>
                <w:szCs w:val="20"/>
                <w:color w:val="auto"/>
              </w:rPr>
            </w:pPr>
            <w:r>
              <w:rPr>
                <w:rFonts w:ascii="Arial" w:cs="Arial" w:eastAsia="Arial" w:hAnsi="Arial"/>
                <w:sz w:val="11"/>
                <w:szCs w:val="11"/>
                <w:color w:val="231F20"/>
              </w:rPr>
              <w:t>15</w:t>
            </w:r>
          </w:p>
        </w:tc>
        <w:tc>
          <w:tcPr>
            <w:tcW w:w="1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620" w:type="dxa"/>
            <w:vAlign w:val="bottom"/>
            <w:tcBorders>
              <w:bottom w:val="single" w:sz="8" w:color="auto"/>
            </w:tcBorders>
          </w:tcPr>
          <w:p>
            <w:pPr>
              <w:jc w:val="right"/>
              <w:ind w:right="6"/>
              <w:spacing w:after="0" w:line="115" w:lineRule="exact"/>
              <w:rPr>
                <w:sz w:val="20"/>
                <w:szCs w:val="20"/>
                <w:color w:val="auto"/>
              </w:rPr>
            </w:pPr>
            <w:r>
              <w:rPr>
                <w:rFonts w:ascii="Arial" w:cs="Arial" w:eastAsia="Arial" w:hAnsi="Arial"/>
                <w:sz w:val="11"/>
                <w:szCs w:val="11"/>
                <w:color w:val="231F20"/>
              </w:rPr>
              <w:t>(82,552)</w:t>
            </w:r>
          </w:p>
        </w:tc>
        <w:tc>
          <w:tcPr>
            <w:tcW w:w="220" w:type="dxa"/>
            <w:vAlign w:val="bottom"/>
            <w:tcBorders>
              <w:bottom w:val="single" w:sz="8" w:color="auto"/>
            </w:tcBorders>
          </w:tcPr>
          <w:p>
            <w:pPr>
              <w:jc w:val="right"/>
              <w:ind w:right="6"/>
              <w:spacing w:after="0" w:line="115" w:lineRule="exact"/>
              <w:rPr>
                <w:sz w:val="20"/>
                <w:szCs w:val="20"/>
                <w:color w:val="auto"/>
              </w:rPr>
            </w:pPr>
            <w:r>
              <w:rPr>
                <w:rFonts w:ascii="Arial" w:cs="Arial" w:eastAsia="Arial" w:hAnsi="Arial"/>
                <w:sz w:val="11"/>
                <w:szCs w:val="11"/>
                <w:color w:val="231F20"/>
              </w:rPr>
              <w:t>$</w:t>
            </w:r>
          </w:p>
        </w:tc>
        <w:tc>
          <w:tcPr>
            <w:tcW w:w="5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300,894</w:t>
            </w:r>
          </w:p>
        </w:tc>
      </w:tr>
      <w:tr>
        <w:trPr>
          <w:trHeight w:val="20"/>
        </w:trPr>
        <w:tc>
          <w:tcPr>
            <w:tcW w:w="29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154305</wp:posOffset>
            </wp:positionV>
            <wp:extent cx="56489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4896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760"/>
        <w:spacing w:after="0" w:line="230" w:lineRule="auto"/>
        <w:rPr>
          <w:sz w:val="20"/>
          <w:szCs w:val="20"/>
          <w:color w:val="auto"/>
        </w:rPr>
      </w:pPr>
      <w:r>
        <w:rPr>
          <w:rFonts w:ascii="Arial" w:cs="Arial" w:eastAsia="Arial" w:hAnsi="Arial"/>
          <w:sz w:val="11"/>
          <w:szCs w:val="11"/>
          <w:color w:val="231F20"/>
        </w:rPr>
        <w:t xml:space="preserve">Balances at December 31, 2020 </w:t>
      </w:r>
      <w:r>
        <w:rPr>
          <w:rFonts w:ascii="Arial" w:cs="Arial" w:eastAsia="Arial" w:hAnsi="Arial"/>
          <w:sz w:val="11"/>
          <w:szCs w:val="11"/>
          <w:color w:val="000000"/>
        </w:rPr>
        <w:t>Vesting of early exercised stock options Vesting of restricted stock awards Exercise of stock options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0"/>
          <w:szCs w:val="10"/>
          <w:color w:val="auto"/>
        </w:rPr>
        <w:t>Issuance of shares under the employee stock purchase</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1"/>
          <w:szCs w:val="11"/>
          <w:color w:val="auto"/>
        </w:rPr>
        <w:t>plan</w:t>
      </w:r>
    </w:p>
    <w:p>
      <w:pPr>
        <w:ind w:left="60"/>
        <w:spacing w:after="0" w:line="230" w:lineRule="auto"/>
        <w:rPr>
          <w:sz w:val="20"/>
          <w:szCs w:val="20"/>
          <w:color w:val="auto"/>
        </w:rPr>
      </w:pPr>
      <w:r>
        <w:rPr>
          <w:rFonts w:ascii="Arial" w:cs="Arial" w:eastAsia="Arial" w:hAnsi="Arial"/>
          <w:sz w:val="11"/>
          <w:szCs w:val="11"/>
          <w:color w:val="auto"/>
        </w:rPr>
        <w:t>Stock-based compensation expense</w:t>
      </w:r>
    </w:p>
    <w:p>
      <w:pPr>
        <w:ind w:left="60"/>
        <w:spacing w:after="0" w:line="231" w:lineRule="auto"/>
        <w:rPr>
          <w:sz w:val="20"/>
          <w:szCs w:val="20"/>
          <w:color w:val="auto"/>
        </w:rPr>
      </w:pPr>
      <w:r>
        <w:rPr>
          <w:rFonts w:ascii="Arial" w:cs="Arial" w:eastAsia="Arial" w:hAnsi="Arial"/>
          <w:sz w:val="11"/>
          <w:szCs w:val="11"/>
          <w:color w:val="231F20"/>
        </w:rPr>
        <w:t>Employee stock purchase plan expense</w:t>
      </w:r>
    </w:p>
    <w:p>
      <w:pPr>
        <w:ind w:left="60"/>
        <w:spacing w:after="0" w:line="230" w:lineRule="auto"/>
        <w:rPr>
          <w:sz w:val="20"/>
          <w:szCs w:val="20"/>
          <w:color w:val="auto"/>
        </w:rPr>
      </w:pPr>
      <w:r>
        <w:rPr>
          <w:rFonts w:ascii="Arial" w:cs="Arial" w:eastAsia="Arial" w:hAnsi="Arial"/>
          <w:sz w:val="11"/>
          <w:szCs w:val="11"/>
          <w:color w:val="231F20"/>
        </w:rPr>
        <w:t>Net unrealized gain on marketable securities</w:t>
      </w:r>
    </w:p>
    <w:p>
      <w:pPr>
        <w:ind w:left="60"/>
        <w:spacing w:after="0"/>
        <w:rPr>
          <w:sz w:val="20"/>
          <w:szCs w:val="20"/>
          <w:color w:val="auto"/>
        </w:rPr>
      </w:pPr>
      <w:r>
        <w:rPr>
          <w:rFonts w:ascii="Arial" w:cs="Arial" w:eastAsia="Arial" w:hAnsi="Arial"/>
          <w:sz w:val="11"/>
          <w:szCs w:val="11"/>
          <w:color w:val="231F20"/>
        </w:rPr>
        <w:t>Net loss</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1"/>
          <w:szCs w:val="11"/>
          <w:color w:val="231F20"/>
        </w:rPr>
        <w:t>Balances at September 30, 2021</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8"/>
              </w:rPr>
              <w:t>Accumulated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55"/>
        </w:trPr>
        <w:tc>
          <w:tcPr>
            <w:tcW w:w="1300" w:type="dxa"/>
            <w:vAlign w:val="bottom"/>
            <w:gridSpan w:val="4"/>
          </w:tcPr>
          <w:p>
            <w:pPr>
              <w:ind w:left="280"/>
              <w:spacing w:after="0"/>
              <w:rPr>
                <w:sz w:val="20"/>
                <w:szCs w:val="20"/>
                <w:color w:val="auto"/>
              </w:rPr>
            </w:pPr>
            <w:r>
              <w:rPr>
                <w:rFonts w:ascii="Arial" w:cs="Arial" w:eastAsia="Arial" w:hAnsi="Arial"/>
                <w:sz w:val="11"/>
                <w:szCs w:val="11"/>
                <w:b w:val="1"/>
                <w:bCs w:val="1"/>
                <w:color w:val="auto"/>
              </w:rPr>
              <w:t>Convertible</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5"/>
              </w:rPr>
              <w:t>Other</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ind w:right="186"/>
              <w:spacing w:after="0"/>
              <w:rPr>
                <w:sz w:val="20"/>
                <w:szCs w:val="20"/>
                <w:color w:val="auto"/>
              </w:rPr>
            </w:pPr>
            <w:r>
              <w:rPr>
                <w:rFonts w:ascii="Arial" w:cs="Arial" w:eastAsia="Arial" w:hAnsi="Arial"/>
                <w:sz w:val="11"/>
                <w:szCs w:val="11"/>
                <w:b w:val="1"/>
                <w:bCs w:val="1"/>
                <w:color w:val="auto"/>
              </w:rPr>
              <w:t>Total</w:t>
            </w:r>
          </w:p>
        </w:tc>
      </w:tr>
      <w:tr>
        <w:trPr>
          <w:trHeight w:val="130"/>
        </w:trPr>
        <w:tc>
          <w:tcPr>
            <w:tcW w:w="1300" w:type="dxa"/>
            <w:vAlign w:val="bottom"/>
            <w:gridSpan w:val="4"/>
          </w:tcPr>
          <w:p>
            <w:pPr>
              <w:ind w:left="180"/>
              <w:spacing w:after="0" w:line="122" w:lineRule="exact"/>
              <w:rPr>
                <w:sz w:val="20"/>
                <w:szCs w:val="20"/>
                <w:color w:val="auto"/>
              </w:rPr>
            </w:pPr>
            <w:r>
              <w:rPr>
                <w:rFonts w:ascii="Arial" w:cs="Arial" w:eastAsia="Arial" w:hAnsi="Arial"/>
                <w:sz w:val="11"/>
                <w:szCs w:val="11"/>
                <w:b w:val="1"/>
                <w:bCs w:val="1"/>
                <w:color w:val="auto"/>
              </w:rPr>
              <w:t>Preferred Stock</w:t>
            </w:r>
          </w:p>
        </w:tc>
        <w:tc>
          <w:tcPr>
            <w:tcW w:w="1280" w:type="dxa"/>
            <w:vAlign w:val="bottom"/>
            <w:gridSpan w:val="3"/>
          </w:tcPr>
          <w:p>
            <w:pPr>
              <w:jc w:val="right"/>
              <w:ind w:right="186"/>
              <w:spacing w:after="0" w:line="122" w:lineRule="exact"/>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1"/>
                <w:szCs w:val="11"/>
                <w:color w:val="auto"/>
              </w:rPr>
            </w:pPr>
          </w:p>
        </w:tc>
        <w:tc>
          <w:tcPr>
            <w:tcW w:w="54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w w:val="98"/>
              </w:rPr>
              <w:t>Paid-in</w:t>
            </w:r>
          </w:p>
        </w:tc>
        <w:tc>
          <w:tcPr>
            <w:tcW w:w="120" w:type="dxa"/>
            <w:vAlign w:val="bottom"/>
          </w:tcPr>
          <w:p>
            <w:pPr>
              <w:spacing w:after="0"/>
              <w:rPr>
                <w:sz w:val="11"/>
                <w:szCs w:val="11"/>
                <w:color w:val="auto"/>
              </w:rPr>
            </w:pP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Comprehensive</w:t>
            </w:r>
          </w:p>
        </w:tc>
        <w:tc>
          <w:tcPr>
            <w:tcW w:w="8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Accumulated</w:t>
            </w:r>
          </w:p>
        </w:tc>
        <w:tc>
          <w:tcPr>
            <w:tcW w:w="8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w w:val="96"/>
              </w:rPr>
              <w:t>Stockholders'</w:t>
            </w:r>
          </w:p>
        </w:tc>
      </w:tr>
      <w:tr>
        <w:trPr>
          <w:trHeight w:val="121"/>
        </w:trPr>
        <w:tc>
          <w:tcPr>
            <w:tcW w:w="540" w:type="dxa"/>
            <w:vAlign w:val="bottom"/>
            <w:tcBorders>
              <w:top w:val="single" w:sz="8" w:color="auto"/>
              <w:bottom w:val="single" w:sz="8" w:color="auto"/>
            </w:tcBorders>
          </w:tcPr>
          <w:p>
            <w:pPr>
              <w:ind w:left="60"/>
              <w:spacing w:after="0" w:line="122" w:lineRule="exact"/>
              <w:rPr>
                <w:sz w:val="20"/>
                <w:szCs w:val="20"/>
                <w:color w:val="auto"/>
              </w:rPr>
            </w:pPr>
            <w:r>
              <w:rPr>
                <w:rFonts w:ascii="Arial" w:cs="Arial" w:eastAsia="Arial" w:hAnsi="Arial"/>
                <w:sz w:val="11"/>
                <w:szCs w:val="11"/>
                <w:b w:val="1"/>
                <w:bCs w:val="1"/>
                <w:color w:val="231F20"/>
              </w:rPr>
              <w:t>Shares</w:t>
            </w:r>
          </w:p>
        </w:tc>
        <w:tc>
          <w:tcPr>
            <w:tcW w:w="14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1"/>
                <w:szCs w:val="11"/>
                <w:b w:val="1"/>
                <w:bCs w:val="1"/>
                <w:color w:val="231F20"/>
              </w:rPr>
              <w:t>Amount</w:t>
            </w:r>
          </w:p>
        </w:tc>
        <w:tc>
          <w:tcPr>
            <w:tcW w:w="12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ind w:right="106"/>
              <w:spacing w:after="0" w:line="122" w:lineRule="exact"/>
              <w:rPr>
                <w:sz w:val="20"/>
                <w:szCs w:val="20"/>
                <w:color w:val="auto"/>
              </w:rPr>
            </w:pPr>
            <w:r>
              <w:rPr>
                <w:rFonts w:ascii="Arial" w:cs="Arial" w:eastAsia="Arial" w:hAnsi="Arial"/>
                <w:sz w:val="11"/>
                <w:szCs w:val="11"/>
                <w:b w:val="1"/>
                <w:bCs w:val="1"/>
                <w:color w:val="231F20"/>
              </w:rPr>
              <w:t>Shares</w:t>
            </w:r>
          </w:p>
        </w:tc>
        <w:tc>
          <w:tcPr>
            <w:tcW w:w="16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26"/>
              <w:spacing w:after="0" w:line="122" w:lineRule="exact"/>
              <w:rPr>
                <w:sz w:val="20"/>
                <w:szCs w:val="20"/>
                <w:color w:val="auto"/>
              </w:rPr>
            </w:pPr>
            <w:r>
              <w:rPr>
                <w:rFonts w:ascii="Arial" w:cs="Arial" w:eastAsia="Arial" w:hAnsi="Arial"/>
                <w:sz w:val="11"/>
                <w:szCs w:val="11"/>
                <w:b w:val="1"/>
                <w:bCs w:val="1"/>
                <w:color w:val="231F20"/>
                <w:w w:val="91"/>
              </w:rPr>
              <w:t>Amount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06"/>
              <w:spacing w:after="0" w:line="122" w:lineRule="exact"/>
              <w:rPr>
                <w:sz w:val="20"/>
                <w:szCs w:val="20"/>
                <w:color w:val="auto"/>
              </w:rPr>
            </w:pPr>
            <w:r>
              <w:rPr>
                <w:rFonts w:ascii="Arial" w:cs="Arial" w:eastAsia="Arial" w:hAnsi="Arial"/>
                <w:sz w:val="11"/>
                <w:szCs w:val="11"/>
                <w:b w:val="1"/>
                <w:bCs w:val="1"/>
                <w:color w:val="231F20"/>
                <w:w w:val="98"/>
              </w:rPr>
              <w:t>Capital</w:t>
            </w: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spacing w:after="0" w:line="113" w:lineRule="exact"/>
              <w:rPr>
                <w:sz w:val="20"/>
                <w:szCs w:val="20"/>
                <w:color w:val="auto"/>
              </w:rPr>
            </w:pPr>
            <w:r>
              <w:rPr>
                <w:rFonts w:ascii="Arial" w:cs="Arial" w:eastAsia="Arial" w:hAnsi="Arial"/>
                <w:sz w:val="11"/>
                <w:szCs w:val="11"/>
                <w:b w:val="1"/>
                <w:bCs w:val="1"/>
                <w:color w:val="231F20"/>
                <w:w w:val="93"/>
              </w:rPr>
              <w:t>Income</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86"/>
              <w:spacing w:after="0" w:line="122" w:lineRule="exact"/>
              <w:rPr>
                <w:sz w:val="20"/>
                <w:szCs w:val="20"/>
                <w:color w:val="auto"/>
              </w:rPr>
            </w:pPr>
            <w:r>
              <w:rPr>
                <w:rFonts w:ascii="Arial" w:cs="Arial" w:eastAsia="Arial" w:hAnsi="Arial"/>
                <w:sz w:val="11"/>
                <w:szCs w:val="11"/>
                <w:b w:val="1"/>
                <w:bCs w:val="1"/>
                <w:color w:val="231F20"/>
              </w:rPr>
              <w:t>Deficit</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46"/>
              <w:spacing w:after="0" w:line="122" w:lineRule="exact"/>
              <w:rPr>
                <w:sz w:val="20"/>
                <w:szCs w:val="20"/>
                <w:color w:val="auto"/>
              </w:rPr>
            </w:pPr>
            <w:r>
              <w:rPr>
                <w:rFonts w:ascii="Arial" w:cs="Arial" w:eastAsia="Arial" w:hAnsi="Arial"/>
                <w:sz w:val="11"/>
                <w:szCs w:val="11"/>
                <w:b w:val="1"/>
                <w:bCs w:val="1"/>
                <w:color w:val="231F20"/>
              </w:rPr>
              <w:t>Equity</w:t>
            </w:r>
          </w:p>
        </w:tc>
      </w:tr>
      <w:tr>
        <w:trPr>
          <w:trHeight w:val="112"/>
        </w:trPr>
        <w:tc>
          <w:tcPr>
            <w:tcW w:w="540" w:type="dxa"/>
            <w:vAlign w:val="bottom"/>
          </w:tcPr>
          <w:p>
            <w:pPr>
              <w:ind w:left="340"/>
              <w:spacing w:after="0" w:line="112" w:lineRule="exact"/>
              <w:rPr>
                <w:sz w:val="20"/>
                <w:szCs w:val="20"/>
                <w:color w:val="auto"/>
              </w:rPr>
            </w:pPr>
            <w:r>
              <w:rPr>
                <w:rFonts w:ascii="Arial" w:cs="Arial" w:eastAsia="Arial" w:hAnsi="Arial"/>
                <w:sz w:val="11"/>
                <w:szCs w:val="11"/>
                <w:color w:val="231F20"/>
              </w:rPr>
              <w:t>—</w:t>
            </w:r>
          </w:p>
        </w:tc>
        <w:tc>
          <w:tcPr>
            <w:tcW w:w="140" w:type="dxa"/>
            <w:vAlign w:val="bottom"/>
          </w:tcPr>
          <w:p>
            <w:pPr>
              <w:jc w:val="right"/>
              <w:spacing w:after="0" w:line="112" w:lineRule="exact"/>
              <w:rPr>
                <w:sz w:val="20"/>
                <w:szCs w:val="20"/>
                <w:color w:val="auto"/>
              </w:rPr>
            </w:pPr>
            <w:r>
              <w:rPr>
                <w:rFonts w:ascii="Arial" w:cs="Arial" w:eastAsia="Arial" w:hAnsi="Arial"/>
                <w:sz w:val="11"/>
                <w:szCs w:val="11"/>
                <w:color w:val="231F20"/>
              </w:rPr>
              <w:t>$</w:t>
            </w:r>
          </w:p>
        </w:tc>
        <w:tc>
          <w:tcPr>
            <w:tcW w:w="500" w:type="dxa"/>
            <w:vAlign w:val="bottom"/>
          </w:tcPr>
          <w:p>
            <w:pPr>
              <w:ind w:left="340"/>
              <w:spacing w:after="0" w:line="112" w:lineRule="exact"/>
              <w:rPr>
                <w:sz w:val="20"/>
                <w:szCs w:val="20"/>
                <w:color w:val="auto"/>
              </w:rPr>
            </w:pPr>
            <w:r>
              <w:rPr>
                <w:rFonts w:ascii="Arial" w:cs="Arial" w:eastAsia="Arial" w:hAnsi="Arial"/>
                <w:sz w:val="11"/>
                <w:szCs w:val="11"/>
                <w:color w:val="231F20"/>
              </w:rPr>
              <w:t>—</w:t>
            </w:r>
          </w:p>
        </w:tc>
        <w:tc>
          <w:tcPr>
            <w:tcW w:w="120" w:type="dxa"/>
            <w:vAlign w:val="bottom"/>
          </w:tcPr>
          <w:p>
            <w:pPr>
              <w:spacing w:after="0"/>
              <w:rPr>
                <w:sz w:val="9"/>
                <w:szCs w:val="9"/>
                <w:color w:val="auto"/>
              </w:rPr>
            </w:pPr>
          </w:p>
        </w:tc>
        <w:tc>
          <w:tcPr>
            <w:tcW w:w="640" w:type="dxa"/>
            <w:vAlign w:val="bottom"/>
          </w:tcPr>
          <w:p>
            <w:pPr>
              <w:jc w:val="right"/>
              <w:ind w:right="26"/>
              <w:spacing w:after="0" w:line="112" w:lineRule="exact"/>
              <w:rPr>
                <w:sz w:val="20"/>
                <w:szCs w:val="20"/>
                <w:color w:val="auto"/>
              </w:rPr>
            </w:pPr>
            <w:r>
              <w:rPr>
                <w:rFonts w:ascii="Arial" w:cs="Arial" w:eastAsia="Arial" w:hAnsi="Arial"/>
                <w:sz w:val="11"/>
                <w:szCs w:val="11"/>
                <w:color w:val="231F20"/>
                <w:w w:val="98"/>
              </w:rPr>
              <w:t>39,308,238</w:t>
            </w:r>
          </w:p>
        </w:tc>
        <w:tc>
          <w:tcPr>
            <w:tcW w:w="160" w:type="dxa"/>
            <w:vAlign w:val="bottom"/>
          </w:tcPr>
          <w:p>
            <w:pPr>
              <w:jc w:val="right"/>
              <w:spacing w:after="0" w:line="112" w:lineRule="exact"/>
              <w:rPr>
                <w:sz w:val="20"/>
                <w:szCs w:val="20"/>
                <w:color w:val="auto"/>
              </w:rPr>
            </w:pPr>
            <w:r>
              <w:rPr>
                <w:rFonts w:ascii="Arial" w:cs="Arial" w:eastAsia="Arial" w:hAnsi="Arial"/>
                <w:sz w:val="11"/>
                <w:szCs w:val="11"/>
                <w:color w:val="231F20"/>
              </w:rPr>
              <w:t>$</w:t>
            </w:r>
          </w:p>
        </w:tc>
        <w:tc>
          <w:tcPr>
            <w:tcW w:w="480" w:type="dxa"/>
            <w:vAlign w:val="bottom"/>
          </w:tcPr>
          <w:p>
            <w:pPr>
              <w:jc w:val="right"/>
              <w:spacing w:after="0" w:line="112" w:lineRule="exact"/>
              <w:rPr>
                <w:sz w:val="20"/>
                <w:szCs w:val="20"/>
                <w:color w:val="auto"/>
              </w:rPr>
            </w:pPr>
            <w:r>
              <w:rPr>
                <w:rFonts w:ascii="Arial" w:cs="Arial" w:eastAsia="Arial" w:hAnsi="Arial"/>
                <w:sz w:val="11"/>
                <w:szCs w:val="11"/>
                <w:color w:val="231F20"/>
              </w:rPr>
              <w:t>3</w:t>
            </w:r>
          </w:p>
        </w:tc>
        <w:tc>
          <w:tcPr>
            <w:tcW w:w="200" w:type="dxa"/>
            <w:vAlign w:val="bottom"/>
          </w:tcPr>
          <w:p>
            <w:pPr>
              <w:ind w:left="120"/>
              <w:spacing w:after="0" w:line="112" w:lineRule="exact"/>
              <w:rPr>
                <w:sz w:val="20"/>
                <w:szCs w:val="20"/>
                <w:color w:val="auto"/>
              </w:rPr>
            </w:pPr>
            <w:r>
              <w:rPr>
                <w:rFonts w:ascii="Arial" w:cs="Arial" w:eastAsia="Arial" w:hAnsi="Arial"/>
                <w:sz w:val="11"/>
                <w:szCs w:val="11"/>
                <w:color w:val="231F20"/>
                <w:w w:val="97"/>
              </w:rPr>
              <w:t>$</w:t>
            </w:r>
          </w:p>
        </w:tc>
        <w:tc>
          <w:tcPr>
            <w:tcW w:w="540" w:type="dxa"/>
            <w:vAlign w:val="bottom"/>
          </w:tcPr>
          <w:p>
            <w:pPr>
              <w:jc w:val="right"/>
              <w:ind w:right="46"/>
              <w:spacing w:after="0" w:line="112" w:lineRule="exact"/>
              <w:rPr>
                <w:sz w:val="20"/>
                <w:szCs w:val="20"/>
                <w:color w:val="auto"/>
              </w:rPr>
            </w:pPr>
            <w:r>
              <w:rPr>
                <w:rFonts w:ascii="Arial" w:cs="Arial" w:eastAsia="Arial" w:hAnsi="Arial"/>
                <w:sz w:val="11"/>
                <w:szCs w:val="11"/>
                <w:color w:val="231F20"/>
              </w:rPr>
              <w:t>371,228</w:t>
            </w:r>
          </w:p>
        </w:tc>
        <w:tc>
          <w:tcPr>
            <w:tcW w:w="120" w:type="dxa"/>
            <w:vAlign w:val="bottom"/>
          </w:tcPr>
          <w:p>
            <w:pPr>
              <w:jc w:val="right"/>
              <w:spacing w:after="0" w:line="112" w:lineRule="exact"/>
              <w:rPr>
                <w:sz w:val="20"/>
                <w:szCs w:val="20"/>
                <w:color w:val="auto"/>
              </w:rPr>
            </w:pPr>
            <w:r>
              <w:rPr>
                <w:rFonts w:ascii="Arial" w:cs="Arial" w:eastAsia="Arial" w:hAnsi="Arial"/>
                <w:sz w:val="11"/>
                <w:szCs w:val="11"/>
                <w:color w:val="231F20"/>
              </w:rPr>
              <w:t>$</w:t>
            </w:r>
          </w:p>
        </w:tc>
        <w:tc>
          <w:tcPr>
            <w:tcW w:w="880" w:type="dxa"/>
            <w:vAlign w:val="bottom"/>
          </w:tcPr>
          <w:p>
            <w:pPr>
              <w:jc w:val="right"/>
              <w:ind w:right="26"/>
              <w:spacing w:after="0" w:line="112" w:lineRule="exact"/>
              <w:rPr>
                <w:sz w:val="20"/>
                <w:szCs w:val="20"/>
                <w:color w:val="auto"/>
              </w:rPr>
            </w:pPr>
            <w:r>
              <w:rPr>
                <w:rFonts w:ascii="Arial" w:cs="Arial" w:eastAsia="Arial" w:hAnsi="Arial"/>
                <w:sz w:val="11"/>
                <w:szCs w:val="11"/>
                <w:color w:val="231F20"/>
              </w:rPr>
              <w:t>—</w:t>
            </w:r>
          </w:p>
        </w:tc>
        <w:tc>
          <w:tcPr>
            <w:tcW w:w="180" w:type="dxa"/>
            <w:vAlign w:val="bottom"/>
          </w:tcPr>
          <w:p>
            <w:pPr>
              <w:ind w:left="80"/>
              <w:spacing w:after="0" w:line="112" w:lineRule="exact"/>
              <w:rPr>
                <w:sz w:val="20"/>
                <w:szCs w:val="20"/>
                <w:color w:val="auto"/>
              </w:rPr>
            </w:pPr>
            <w:r>
              <w:rPr>
                <w:rFonts w:ascii="Arial" w:cs="Arial" w:eastAsia="Arial" w:hAnsi="Arial"/>
                <w:sz w:val="11"/>
                <w:szCs w:val="11"/>
                <w:color w:val="231F20"/>
              </w:rPr>
              <w:t>$</w:t>
            </w:r>
          </w:p>
        </w:tc>
        <w:tc>
          <w:tcPr>
            <w:tcW w:w="620" w:type="dxa"/>
            <w:vAlign w:val="bottom"/>
          </w:tcPr>
          <w:p>
            <w:pPr>
              <w:jc w:val="right"/>
              <w:ind w:right="6"/>
              <w:spacing w:after="0" w:line="112" w:lineRule="exact"/>
              <w:rPr>
                <w:sz w:val="20"/>
                <w:szCs w:val="20"/>
                <w:color w:val="auto"/>
              </w:rPr>
            </w:pPr>
            <w:r>
              <w:rPr>
                <w:rFonts w:ascii="Arial" w:cs="Arial" w:eastAsia="Arial" w:hAnsi="Arial"/>
                <w:sz w:val="11"/>
                <w:szCs w:val="11"/>
                <w:color w:val="231F20"/>
              </w:rPr>
              <w:t>(33,094)</w:t>
            </w:r>
          </w:p>
        </w:tc>
        <w:tc>
          <w:tcPr>
            <w:tcW w:w="220" w:type="dxa"/>
            <w:vAlign w:val="bottom"/>
          </w:tcPr>
          <w:p>
            <w:pPr>
              <w:ind w:left="100"/>
              <w:spacing w:after="0" w:line="112" w:lineRule="exact"/>
              <w:rPr>
                <w:sz w:val="20"/>
                <w:szCs w:val="20"/>
                <w:color w:val="auto"/>
              </w:rPr>
            </w:pPr>
            <w:r>
              <w:rPr>
                <w:rFonts w:ascii="Arial" w:cs="Arial" w:eastAsia="Arial" w:hAnsi="Arial"/>
                <w:sz w:val="11"/>
                <w:szCs w:val="11"/>
                <w:color w:val="231F20"/>
              </w:rPr>
              <w:t>$</w:t>
            </w:r>
          </w:p>
        </w:tc>
        <w:tc>
          <w:tcPr>
            <w:tcW w:w="580" w:type="dxa"/>
            <w:vAlign w:val="bottom"/>
          </w:tcPr>
          <w:p>
            <w:pPr>
              <w:jc w:val="right"/>
              <w:spacing w:after="0" w:line="112" w:lineRule="exact"/>
              <w:rPr>
                <w:sz w:val="20"/>
                <w:szCs w:val="20"/>
                <w:color w:val="auto"/>
              </w:rPr>
            </w:pPr>
            <w:r>
              <w:rPr>
                <w:rFonts w:ascii="Arial" w:cs="Arial" w:eastAsia="Arial" w:hAnsi="Arial"/>
                <w:sz w:val="11"/>
                <w:szCs w:val="11"/>
                <w:color w:val="231F20"/>
              </w:rPr>
              <w:t>338,137</w:t>
            </w:r>
          </w:p>
        </w:tc>
      </w:tr>
      <w:tr>
        <w:trPr>
          <w:trHeight w:val="122"/>
        </w:trPr>
        <w:tc>
          <w:tcPr>
            <w:tcW w:w="540" w:type="dxa"/>
            <w:vAlign w:val="bottom"/>
          </w:tcPr>
          <w:p>
            <w:pPr>
              <w:ind w:left="340"/>
              <w:spacing w:after="0" w:line="122" w:lineRule="exact"/>
              <w:rPr>
                <w:sz w:val="20"/>
                <w:szCs w:val="20"/>
                <w:color w:val="auto"/>
              </w:rPr>
            </w:pPr>
            <w:r>
              <w:rPr>
                <w:rFonts w:ascii="Arial" w:cs="Arial" w:eastAsia="Arial" w:hAnsi="Arial"/>
                <w:sz w:val="11"/>
                <w:szCs w:val="11"/>
                <w:color w:val="231F20"/>
              </w:rPr>
              <w:t>—</w:t>
            </w:r>
          </w:p>
        </w:tc>
        <w:tc>
          <w:tcPr>
            <w:tcW w:w="140" w:type="dxa"/>
            <w:vAlign w:val="bottom"/>
          </w:tcPr>
          <w:p>
            <w:pPr>
              <w:spacing w:after="0"/>
              <w:rPr>
                <w:sz w:val="10"/>
                <w:szCs w:val="10"/>
                <w:color w:val="auto"/>
              </w:rPr>
            </w:pPr>
          </w:p>
        </w:tc>
        <w:tc>
          <w:tcPr>
            <w:tcW w:w="620" w:type="dxa"/>
            <w:vAlign w:val="bottom"/>
            <w:gridSpan w:val="2"/>
          </w:tcPr>
          <w:p>
            <w:pPr>
              <w:ind w:left="340"/>
              <w:spacing w:after="0" w:line="122" w:lineRule="exact"/>
              <w:rPr>
                <w:sz w:val="20"/>
                <w:szCs w:val="20"/>
                <w:color w:val="auto"/>
              </w:rPr>
            </w:pPr>
            <w:r>
              <w:rPr>
                <w:rFonts w:ascii="Arial" w:cs="Arial" w:eastAsia="Arial" w:hAnsi="Arial"/>
                <w:sz w:val="11"/>
                <w:szCs w:val="11"/>
                <w:color w:val="231F20"/>
              </w:rPr>
              <w:t>—</w:t>
            </w: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72,618</w:t>
            </w:r>
          </w:p>
        </w:tc>
        <w:tc>
          <w:tcPr>
            <w:tcW w:w="1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341</w:t>
            </w:r>
          </w:p>
        </w:tc>
        <w:tc>
          <w:tcPr>
            <w:tcW w:w="120" w:type="dxa"/>
            <w:vAlign w:val="bottom"/>
          </w:tcPr>
          <w:p>
            <w:pPr>
              <w:spacing w:after="0"/>
              <w:rPr>
                <w:sz w:val="10"/>
                <w:szCs w:val="10"/>
                <w:color w:val="auto"/>
              </w:rPr>
            </w:pPr>
          </w:p>
        </w:tc>
        <w:tc>
          <w:tcPr>
            <w:tcW w:w="88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80" w:type="dxa"/>
            <w:vAlign w:val="bottom"/>
          </w:tcPr>
          <w:p>
            <w:pPr>
              <w:spacing w:after="0"/>
              <w:rPr>
                <w:sz w:val="10"/>
                <w:szCs w:val="10"/>
                <w:color w:val="auto"/>
              </w:rPr>
            </w:pPr>
          </w:p>
        </w:tc>
        <w:tc>
          <w:tcPr>
            <w:tcW w:w="62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231F20"/>
              </w:rPr>
              <w:t>341</w:t>
            </w:r>
          </w:p>
        </w:tc>
      </w:tr>
      <w:tr>
        <w:trPr>
          <w:trHeight w:val="122"/>
        </w:trPr>
        <w:tc>
          <w:tcPr>
            <w:tcW w:w="540" w:type="dxa"/>
            <w:vAlign w:val="bottom"/>
          </w:tcPr>
          <w:p>
            <w:pPr>
              <w:ind w:left="340"/>
              <w:spacing w:after="0" w:line="122" w:lineRule="exact"/>
              <w:rPr>
                <w:sz w:val="20"/>
                <w:szCs w:val="20"/>
                <w:color w:val="auto"/>
              </w:rPr>
            </w:pPr>
            <w:r>
              <w:rPr>
                <w:rFonts w:ascii="Arial" w:cs="Arial" w:eastAsia="Arial" w:hAnsi="Arial"/>
                <w:sz w:val="11"/>
                <w:szCs w:val="11"/>
                <w:color w:val="231F20"/>
              </w:rPr>
              <w:t>—</w:t>
            </w:r>
          </w:p>
        </w:tc>
        <w:tc>
          <w:tcPr>
            <w:tcW w:w="140" w:type="dxa"/>
            <w:vAlign w:val="bottom"/>
          </w:tcPr>
          <w:p>
            <w:pPr>
              <w:spacing w:after="0"/>
              <w:rPr>
                <w:sz w:val="10"/>
                <w:szCs w:val="10"/>
                <w:color w:val="auto"/>
              </w:rPr>
            </w:pPr>
          </w:p>
        </w:tc>
        <w:tc>
          <w:tcPr>
            <w:tcW w:w="620" w:type="dxa"/>
            <w:vAlign w:val="bottom"/>
            <w:gridSpan w:val="2"/>
          </w:tcPr>
          <w:p>
            <w:pPr>
              <w:ind w:left="340"/>
              <w:spacing w:after="0" w:line="122" w:lineRule="exact"/>
              <w:rPr>
                <w:sz w:val="20"/>
                <w:szCs w:val="20"/>
                <w:color w:val="auto"/>
              </w:rPr>
            </w:pPr>
            <w:r>
              <w:rPr>
                <w:rFonts w:ascii="Arial" w:cs="Arial" w:eastAsia="Arial" w:hAnsi="Arial"/>
                <w:sz w:val="11"/>
                <w:szCs w:val="11"/>
                <w:color w:val="231F20"/>
              </w:rPr>
              <w:t>—</w:t>
            </w: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192,790</w:t>
            </w:r>
          </w:p>
        </w:tc>
        <w:tc>
          <w:tcPr>
            <w:tcW w:w="1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120" w:type="dxa"/>
            <w:vAlign w:val="bottom"/>
          </w:tcPr>
          <w:p>
            <w:pPr>
              <w:spacing w:after="0"/>
              <w:rPr>
                <w:sz w:val="10"/>
                <w:szCs w:val="10"/>
                <w:color w:val="auto"/>
              </w:rPr>
            </w:pPr>
          </w:p>
        </w:tc>
        <w:tc>
          <w:tcPr>
            <w:tcW w:w="88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80" w:type="dxa"/>
            <w:vAlign w:val="bottom"/>
          </w:tcPr>
          <w:p>
            <w:pPr>
              <w:spacing w:after="0"/>
              <w:rPr>
                <w:sz w:val="10"/>
                <w:szCs w:val="10"/>
                <w:color w:val="auto"/>
              </w:rPr>
            </w:pPr>
          </w:p>
        </w:tc>
        <w:tc>
          <w:tcPr>
            <w:tcW w:w="62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r>
      <w:tr>
        <w:trPr>
          <w:trHeight w:val="130"/>
        </w:trPr>
        <w:tc>
          <w:tcPr>
            <w:tcW w:w="540" w:type="dxa"/>
            <w:vAlign w:val="bottom"/>
          </w:tcPr>
          <w:p>
            <w:pPr>
              <w:ind w:left="340"/>
              <w:spacing w:after="0"/>
              <w:rPr>
                <w:sz w:val="20"/>
                <w:szCs w:val="20"/>
                <w:color w:val="auto"/>
              </w:rPr>
            </w:pPr>
            <w:r>
              <w:rPr>
                <w:rFonts w:ascii="Arial" w:cs="Arial" w:eastAsia="Arial" w:hAnsi="Arial"/>
                <w:sz w:val="11"/>
                <w:szCs w:val="11"/>
                <w:color w:val="231F20"/>
              </w:rPr>
              <w:t>—</w:t>
            </w:r>
          </w:p>
        </w:tc>
        <w:tc>
          <w:tcPr>
            <w:tcW w:w="140" w:type="dxa"/>
            <w:vAlign w:val="bottom"/>
          </w:tcPr>
          <w:p>
            <w:pPr>
              <w:spacing w:after="0"/>
              <w:rPr>
                <w:sz w:val="11"/>
                <w:szCs w:val="11"/>
                <w:color w:val="auto"/>
              </w:rPr>
            </w:pPr>
          </w:p>
        </w:tc>
        <w:tc>
          <w:tcPr>
            <w:tcW w:w="620" w:type="dxa"/>
            <w:vAlign w:val="bottom"/>
            <w:gridSpan w:val="2"/>
          </w:tcPr>
          <w:p>
            <w:pPr>
              <w:ind w:left="340"/>
              <w:spacing w:after="0"/>
              <w:rPr>
                <w:sz w:val="20"/>
                <w:szCs w:val="20"/>
                <w:color w:val="auto"/>
              </w:rPr>
            </w:pPr>
            <w:r>
              <w:rPr>
                <w:rFonts w:ascii="Arial" w:cs="Arial" w:eastAsia="Arial" w:hAnsi="Arial"/>
                <w:sz w:val="11"/>
                <w:szCs w:val="11"/>
                <w:color w:val="231F20"/>
              </w:rPr>
              <w:t>—</w:t>
            </w:r>
          </w:p>
        </w:tc>
        <w:tc>
          <w:tcPr>
            <w:tcW w:w="640" w:type="dxa"/>
            <w:vAlign w:val="bottom"/>
          </w:tcPr>
          <w:p>
            <w:pPr>
              <w:jc w:val="right"/>
              <w:ind w:right="26"/>
              <w:spacing w:after="0"/>
              <w:rPr>
                <w:sz w:val="20"/>
                <w:szCs w:val="20"/>
                <w:color w:val="auto"/>
              </w:rPr>
            </w:pPr>
            <w:r>
              <w:rPr>
                <w:rFonts w:ascii="Arial" w:cs="Arial" w:eastAsia="Arial" w:hAnsi="Arial"/>
                <w:sz w:val="11"/>
                <w:szCs w:val="11"/>
                <w:color w:val="231F20"/>
              </w:rPr>
              <w:t>83,767</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231F20"/>
              </w:rPr>
              <w:t>—</w:t>
            </w:r>
          </w:p>
        </w:tc>
        <w:tc>
          <w:tcPr>
            <w:tcW w:w="20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231F20"/>
              </w:rPr>
              <w:t>187</w:t>
            </w:r>
          </w:p>
        </w:tc>
        <w:tc>
          <w:tcPr>
            <w:tcW w:w="120" w:type="dxa"/>
            <w:vAlign w:val="bottom"/>
          </w:tcPr>
          <w:p>
            <w:pPr>
              <w:spacing w:after="0"/>
              <w:rPr>
                <w:sz w:val="11"/>
                <w:szCs w:val="11"/>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231F20"/>
              </w:rPr>
              <w:t>—</w:t>
            </w:r>
          </w:p>
        </w:tc>
        <w:tc>
          <w:tcPr>
            <w:tcW w:w="180" w:type="dxa"/>
            <w:vAlign w:val="bottom"/>
          </w:tcPr>
          <w:p>
            <w:pPr>
              <w:spacing w:after="0"/>
              <w:rPr>
                <w:sz w:val="11"/>
                <w:szCs w:val="11"/>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231F20"/>
              </w:rPr>
              <w:t>—</w:t>
            </w:r>
          </w:p>
        </w:tc>
        <w:tc>
          <w:tcPr>
            <w:tcW w:w="2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231F20"/>
              </w:rPr>
              <w:t>187</w:t>
            </w:r>
          </w:p>
        </w:tc>
      </w:tr>
      <w:tr>
        <w:trPr>
          <w:trHeight w:val="235"/>
        </w:trPr>
        <w:tc>
          <w:tcPr>
            <w:tcW w:w="540" w:type="dxa"/>
            <w:vAlign w:val="bottom"/>
          </w:tcPr>
          <w:p>
            <w:pPr>
              <w:ind w:left="340"/>
              <w:spacing w:after="0"/>
              <w:rPr>
                <w:sz w:val="20"/>
                <w:szCs w:val="20"/>
                <w:color w:val="auto"/>
              </w:rPr>
            </w:pPr>
            <w:r>
              <w:rPr>
                <w:rFonts w:ascii="Arial" w:cs="Arial" w:eastAsia="Arial" w:hAnsi="Arial"/>
                <w:sz w:val="11"/>
                <w:szCs w:val="11"/>
                <w:color w:val="231F20"/>
              </w:rPr>
              <w:t>—</w:t>
            </w:r>
          </w:p>
        </w:tc>
        <w:tc>
          <w:tcPr>
            <w:tcW w:w="140" w:type="dxa"/>
            <w:vAlign w:val="bottom"/>
          </w:tcPr>
          <w:p>
            <w:pPr>
              <w:spacing w:after="0"/>
              <w:rPr>
                <w:sz w:val="20"/>
                <w:szCs w:val="20"/>
                <w:color w:val="auto"/>
              </w:rPr>
            </w:pPr>
          </w:p>
        </w:tc>
        <w:tc>
          <w:tcPr>
            <w:tcW w:w="620" w:type="dxa"/>
            <w:vAlign w:val="bottom"/>
            <w:gridSpan w:val="2"/>
          </w:tcPr>
          <w:p>
            <w:pPr>
              <w:ind w:left="340"/>
              <w:spacing w:after="0"/>
              <w:rPr>
                <w:sz w:val="20"/>
                <w:szCs w:val="20"/>
                <w:color w:val="auto"/>
              </w:rPr>
            </w:pPr>
            <w:r>
              <w:rPr>
                <w:rFonts w:ascii="Arial" w:cs="Arial" w:eastAsia="Arial" w:hAnsi="Arial"/>
                <w:sz w:val="11"/>
                <w:szCs w:val="11"/>
                <w:color w:val="231F20"/>
              </w:rPr>
              <w:t>—</w:t>
            </w:r>
          </w:p>
        </w:tc>
        <w:tc>
          <w:tcPr>
            <w:tcW w:w="640" w:type="dxa"/>
            <w:vAlign w:val="bottom"/>
          </w:tcPr>
          <w:p>
            <w:pPr>
              <w:jc w:val="right"/>
              <w:ind w:right="26"/>
              <w:spacing w:after="0"/>
              <w:rPr>
                <w:sz w:val="20"/>
                <w:szCs w:val="20"/>
                <w:color w:val="auto"/>
              </w:rPr>
            </w:pPr>
            <w:r>
              <w:rPr>
                <w:rFonts w:ascii="Arial" w:cs="Arial" w:eastAsia="Arial" w:hAnsi="Arial"/>
                <w:sz w:val="11"/>
                <w:szCs w:val="11"/>
                <w:color w:val="231F20"/>
              </w:rPr>
              <w:t>23,885</w:t>
            </w: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231F20"/>
              </w:rPr>
              <w:t>—</w:t>
            </w:r>
          </w:p>
        </w:tc>
        <w:tc>
          <w:tcPr>
            <w:tcW w:w="200" w:type="dxa"/>
            <w:vAlign w:val="bottom"/>
          </w:tcPr>
          <w:p>
            <w:pPr>
              <w:spacing w:after="0"/>
              <w:rPr>
                <w:sz w:val="20"/>
                <w:szCs w:val="20"/>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231F20"/>
              </w:rPr>
              <w:t>386</w:t>
            </w:r>
          </w:p>
        </w:tc>
        <w:tc>
          <w:tcPr>
            <w:tcW w:w="120" w:type="dxa"/>
            <w:vAlign w:val="bottom"/>
          </w:tcPr>
          <w:p>
            <w:pPr>
              <w:spacing w:after="0"/>
              <w:rPr>
                <w:sz w:val="20"/>
                <w:szCs w:val="20"/>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231F20"/>
              </w:rPr>
              <w:t>—</w:t>
            </w:r>
          </w:p>
        </w:tc>
        <w:tc>
          <w:tcPr>
            <w:tcW w:w="180" w:type="dxa"/>
            <w:vAlign w:val="bottom"/>
          </w:tcPr>
          <w:p>
            <w:pPr>
              <w:spacing w:after="0"/>
              <w:rPr>
                <w:sz w:val="20"/>
                <w:szCs w:val="20"/>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231F20"/>
              </w:rPr>
              <w:t>—</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231F20"/>
              </w:rPr>
              <w:t>386</w:t>
            </w:r>
          </w:p>
        </w:tc>
      </w:tr>
      <w:tr>
        <w:trPr>
          <w:trHeight w:val="122"/>
        </w:trPr>
        <w:tc>
          <w:tcPr>
            <w:tcW w:w="540" w:type="dxa"/>
            <w:vAlign w:val="bottom"/>
          </w:tcPr>
          <w:p>
            <w:pPr>
              <w:ind w:left="340"/>
              <w:spacing w:after="0" w:line="122" w:lineRule="exact"/>
              <w:rPr>
                <w:sz w:val="20"/>
                <w:szCs w:val="20"/>
                <w:color w:val="auto"/>
              </w:rPr>
            </w:pPr>
            <w:r>
              <w:rPr>
                <w:rFonts w:ascii="Arial" w:cs="Arial" w:eastAsia="Arial" w:hAnsi="Arial"/>
                <w:sz w:val="11"/>
                <w:szCs w:val="11"/>
                <w:color w:val="231F20"/>
              </w:rPr>
              <w:t>—</w:t>
            </w:r>
          </w:p>
        </w:tc>
        <w:tc>
          <w:tcPr>
            <w:tcW w:w="140" w:type="dxa"/>
            <w:vAlign w:val="bottom"/>
          </w:tcPr>
          <w:p>
            <w:pPr>
              <w:spacing w:after="0"/>
              <w:rPr>
                <w:sz w:val="10"/>
                <w:szCs w:val="10"/>
                <w:color w:val="auto"/>
              </w:rPr>
            </w:pPr>
          </w:p>
        </w:tc>
        <w:tc>
          <w:tcPr>
            <w:tcW w:w="620" w:type="dxa"/>
            <w:vAlign w:val="bottom"/>
            <w:gridSpan w:val="2"/>
          </w:tcPr>
          <w:p>
            <w:pPr>
              <w:ind w:left="340"/>
              <w:spacing w:after="0" w:line="122" w:lineRule="exact"/>
              <w:rPr>
                <w:sz w:val="20"/>
                <w:szCs w:val="20"/>
                <w:color w:val="auto"/>
              </w:rPr>
            </w:pPr>
            <w:r>
              <w:rPr>
                <w:rFonts w:ascii="Arial" w:cs="Arial" w:eastAsia="Arial" w:hAnsi="Arial"/>
                <w:sz w:val="11"/>
                <w:szCs w:val="11"/>
                <w:color w:val="231F20"/>
              </w:rPr>
              <w:t>—</w:t>
            </w: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11,140</w:t>
            </w:r>
          </w:p>
        </w:tc>
        <w:tc>
          <w:tcPr>
            <w:tcW w:w="120" w:type="dxa"/>
            <w:vAlign w:val="bottom"/>
          </w:tcPr>
          <w:p>
            <w:pPr>
              <w:spacing w:after="0"/>
              <w:rPr>
                <w:sz w:val="10"/>
                <w:szCs w:val="10"/>
                <w:color w:val="auto"/>
              </w:rPr>
            </w:pPr>
          </w:p>
        </w:tc>
        <w:tc>
          <w:tcPr>
            <w:tcW w:w="88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80" w:type="dxa"/>
            <w:vAlign w:val="bottom"/>
          </w:tcPr>
          <w:p>
            <w:pPr>
              <w:spacing w:after="0"/>
              <w:rPr>
                <w:sz w:val="10"/>
                <w:szCs w:val="10"/>
                <w:color w:val="auto"/>
              </w:rPr>
            </w:pPr>
          </w:p>
        </w:tc>
        <w:tc>
          <w:tcPr>
            <w:tcW w:w="62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231F20"/>
              </w:rPr>
              <w:t>11,140</w:t>
            </w:r>
          </w:p>
        </w:tc>
      </w:tr>
      <w:tr>
        <w:trPr>
          <w:trHeight w:val="121"/>
        </w:trPr>
        <w:tc>
          <w:tcPr>
            <w:tcW w:w="540" w:type="dxa"/>
            <w:vAlign w:val="bottom"/>
          </w:tcPr>
          <w:p>
            <w:pPr>
              <w:ind w:left="340"/>
              <w:spacing w:after="0" w:line="122" w:lineRule="exact"/>
              <w:rPr>
                <w:sz w:val="20"/>
                <w:szCs w:val="20"/>
                <w:color w:val="auto"/>
              </w:rPr>
            </w:pPr>
            <w:r>
              <w:rPr>
                <w:rFonts w:ascii="Arial" w:cs="Arial" w:eastAsia="Arial" w:hAnsi="Arial"/>
                <w:sz w:val="11"/>
                <w:szCs w:val="11"/>
                <w:color w:val="231F20"/>
              </w:rPr>
              <w:t>—</w:t>
            </w:r>
          </w:p>
        </w:tc>
        <w:tc>
          <w:tcPr>
            <w:tcW w:w="140" w:type="dxa"/>
            <w:vAlign w:val="bottom"/>
          </w:tcPr>
          <w:p>
            <w:pPr>
              <w:spacing w:after="0"/>
              <w:rPr>
                <w:sz w:val="10"/>
                <w:szCs w:val="10"/>
                <w:color w:val="auto"/>
              </w:rPr>
            </w:pPr>
          </w:p>
        </w:tc>
        <w:tc>
          <w:tcPr>
            <w:tcW w:w="620" w:type="dxa"/>
            <w:vAlign w:val="bottom"/>
            <w:gridSpan w:val="2"/>
          </w:tcPr>
          <w:p>
            <w:pPr>
              <w:ind w:left="340"/>
              <w:spacing w:after="0" w:line="122" w:lineRule="exact"/>
              <w:rPr>
                <w:sz w:val="20"/>
                <w:szCs w:val="20"/>
                <w:color w:val="auto"/>
              </w:rPr>
            </w:pPr>
            <w:r>
              <w:rPr>
                <w:rFonts w:ascii="Arial" w:cs="Arial" w:eastAsia="Arial" w:hAnsi="Arial"/>
                <w:sz w:val="11"/>
                <w:szCs w:val="11"/>
                <w:color w:val="231F20"/>
              </w:rPr>
              <w:t>—</w:t>
            </w: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146</w:t>
            </w:r>
          </w:p>
        </w:tc>
        <w:tc>
          <w:tcPr>
            <w:tcW w:w="120" w:type="dxa"/>
            <w:vAlign w:val="bottom"/>
          </w:tcPr>
          <w:p>
            <w:pPr>
              <w:spacing w:after="0"/>
              <w:rPr>
                <w:sz w:val="10"/>
                <w:szCs w:val="10"/>
                <w:color w:val="auto"/>
              </w:rPr>
            </w:pPr>
          </w:p>
        </w:tc>
        <w:tc>
          <w:tcPr>
            <w:tcW w:w="88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80" w:type="dxa"/>
            <w:vAlign w:val="bottom"/>
          </w:tcPr>
          <w:p>
            <w:pPr>
              <w:spacing w:after="0"/>
              <w:rPr>
                <w:sz w:val="10"/>
                <w:szCs w:val="10"/>
                <w:color w:val="auto"/>
              </w:rPr>
            </w:pPr>
          </w:p>
        </w:tc>
        <w:tc>
          <w:tcPr>
            <w:tcW w:w="62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231F20"/>
              </w:rPr>
              <w:t>146</w:t>
            </w:r>
          </w:p>
        </w:tc>
      </w:tr>
      <w:tr>
        <w:trPr>
          <w:trHeight w:val="122"/>
        </w:trPr>
        <w:tc>
          <w:tcPr>
            <w:tcW w:w="540" w:type="dxa"/>
            <w:vAlign w:val="bottom"/>
          </w:tcPr>
          <w:p>
            <w:pPr>
              <w:ind w:left="340"/>
              <w:spacing w:after="0" w:line="122" w:lineRule="exact"/>
              <w:rPr>
                <w:sz w:val="20"/>
                <w:szCs w:val="20"/>
                <w:color w:val="auto"/>
              </w:rPr>
            </w:pPr>
            <w:r>
              <w:rPr>
                <w:rFonts w:ascii="Arial" w:cs="Arial" w:eastAsia="Arial" w:hAnsi="Arial"/>
                <w:sz w:val="11"/>
                <w:szCs w:val="11"/>
                <w:color w:val="231F20"/>
              </w:rPr>
              <w:t>—</w:t>
            </w:r>
          </w:p>
        </w:tc>
        <w:tc>
          <w:tcPr>
            <w:tcW w:w="140" w:type="dxa"/>
            <w:vAlign w:val="bottom"/>
          </w:tcPr>
          <w:p>
            <w:pPr>
              <w:spacing w:after="0"/>
              <w:rPr>
                <w:sz w:val="10"/>
                <w:szCs w:val="10"/>
                <w:color w:val="auto"/>
              </w:rPr>
            </w:pPr>
          </w:p>
        </w:tc>
        <w:tc>
          <w:tcPr>
            <w:tcW w:w="620" w:type="dxa"/>
            <w:vAlign w:val="bottom"/>
            <w:gridSpan w:val="2"/>
          </w:tcPr>
          <w:p>
            <w:pPr>
              <w:ind w:left="340"/>
              <w:spacing w:after="0" w:line="122" w:lineRule="exact"/>
              <w:rPr>
                <w:sz w:val="20"/>
                <w:szCs w:val="20"/>
                <w:color w:val="auto"/>
              </w:rPr>
            </w:pPr>
            <w:r>
              <w:rPr>
                <w:rFonts w:ascii="Arial" w:cs="Arial" w:eastAsia="Arial" w:hAnsi="Arial"/>
                <w:sz w:val="11"/>
                <w:szCs w:val="11"/>
                <w:color w:val="231F20"/>
              </w:rPr>
              <w:t>—</w:t>
            </w: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120" w:type="dxa"/>
            <w:vAlign w:val="bottom"/>
          </w:tcPr>
          <w:p>
            <w:pPr>
              <w:spacing w:after="0"/>
              <w:rPr>
                <w:sz w:val="10"/>
                <w:szCs w:val="10"/>
                <w:color w:val="auto"/>
              </w:rPr>
            </w:pPr>
          </w:p>
        </w:tc>
        <w:tc>
          <w:tcPr>
            <w:tcW w:w="88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15</w:t>
            </w:r>
          </w:p>
        </w:tc>
        <w:tc>
          <w:tcPr>
            <w:tcW w:w="180" w:type="dxa"/>
            <w:vAlign w:val="bottom"/>
          </w:tcPr>
          <w:p>
            <w:pPr>
              <w:spacing w:after="0"/>
              <w:rPr>
                <w:sz w:val="10"/>
                <w:szCs w:val="10"/>
                <w:color w:val="auto"/>
              </w:rPr>
            </w:pPr>
          </w:p>
        </w:tc>
        <w:tc>
          <w:tcPr>
            <w:tcW w:w="62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231F20"/>
              </w:rPr>
              <w:t>15</w:t>
            </w:r>
          </w:p>
        </w:tc>
      </w:tr>
      <w:tr>
        <w:trPr>
          <w:trHeight w:val="125"/>
        </w:trPr>
        <w:tc>
          <w:tcPr>
            <w:tcW w:w="540" w:type="dxa"/>
            <w:vAlign w:val="bottom"/>
            <w:tcBorders>
              <w:bottom w:val="single" w:sz="8" w:color="auto"/>
            </w:tcBorders>
          </w:tcPr>
          <w:p>
            <w:pPr>
              <w:ind w:left="340"/>
              <w:spacing w:after="0" w:line="125" w:lineRule="exact"/>
              <w:rPr>
                <w:sz w:val="20"/>
                <w:szCs w:val="20"/>
                <w:color w:val="auto"/>
              </w:rPr>
            </w:pPr>
            <w:r>
              <w:rPr>
                <w:rFonts w:ascii="Arial" w:cs="Arial" w:eastAsia="Arial" w:hAnsi="Arial"/>
                <w:sz w:val="11"/>
                <w:szCs w:val="11"/>
                <w:color w:val="231F20"/>
              </w:rPr>
              <w:t>—</w:t>
            </w: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2"/>
          </w:tcPr>
          <w:p>
            <w:pPr>
              <w:ind w:left="340"/>
              <w:spacing w:after="0" w:line="125" w:lineRule="exact"/>
              <w:rPr>
                <w:sz w:val="20"/>
                <w:szCs w:val="20"/>
                <w:color w:val="auto"/>
              </w:rPr>
            </w:pPr>
            <w:r>
              <w:rPr>
                <w:rFonts w:ascii="Arial" w:cs="Arial" w:eastAsia="Arial" w:hAnsi="Arial"/>
                <w:sz w:val="11"/>
                <w:szCs w:val="11"/>
                <w:color w:val="231F20"/>
              </w:rPr>
              <w:t>—</w:t>
            </w:r>
          </w:p>
        </w:tc>
        <w:tc>
          <w:tcPr>
            <w:tcW w:w="640" w:type="dxa"/>
            <w:vAlign w:val="bottom"/>
            <w:tcBorders>
              <w:bottom w:val="single" w:sz="8" w:color="auto"/>
            </w:tcBorders>
          </w:tcPr>
          <w:p>
            <w:pPr>
              <w:jc w:val="right"/>
              <w:ind w:right="26"/>
              <w:spacing w:after="0" w:line="125" w:lineRule="exact"/>
              <w:rPr>
                <w:sz w:val="20"/>
                <w:szCs w:val="20"/>
                <w:color w:val="auto"/>
              </w:rPr>
            </w:pPr>
            <w:r>
              <w:rPr>
                <w:rFonts w:ascii="Arial" w:cs="Arial" w:eastAsia="Arial" w:hAnsi="Arial"/>
                <w:sz w:val="11"/>
                <w:szCs w:val="11"/>
                <w:color w:val="231F20"/>
              </w:rPr>
              <w:t>—</w:t>
            </w: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231F20"/>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46"/>
              <w:spacing w:after="0" w:line="125" w:lineRule="exact"/>
              <w:rPr>
                <w:sz w:val="20"/>
                <w:szCs w:val="20"/>
                <w:color w:val="auto"/>
              </w:rPr>
            </w:pPr>
            <w:r>
              <w:rPr>
                <w:rFonts w:ascii="Arial" w:cs="Arial" w:eastAsia="Arial" w:hAnsi="Arial"/>
                <w:sz w:val="11"/>
                <w:szCs w:val="11"/>
                <w:color w:val="231F20"/>
              </w:rPr>
              <w:t>—</w:t>
            </w: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26"/>
              <w:spacing w:after="0" w:line="125" w:lineRule="exact"/>
              <w:rPr>
                <w:sz w:val="20"/>
                <w:szCs w:val="20"/>
                <w:color w:val="auto"/>
              </w:rPr>
            </w:pPr>
            <w:r>
              <w:rPr>
                <w:rFonts w:ascii="Arial" w:cs="Arial" w:eastAsia="Arial" w:hAnsi="Arial"/>
                <w:sz w:val="11"/>
                <w:szCs w:val="11"/>
                <w:color w:val="231F20"/>
              </w:rPr>
              <w:t>—</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6"/>
              <w:spacing w:after="0" w:line="125" w:lineRule="exact"/>
              <w:rPr>
                <w:sz w:val="20"/>
                <w:szCs w:val="20"/>
                <w:color w:val="auto"/>
              </w:rPr>
            </w:pPr>
            <w:r>
              <w:rPr>
                <w:rFonts w:ascii="Arial" w:cs="Arial" w:eastAsia="Arial" w:hAnsi="Arial"/>
                <w:sz w:val="11"/>
                <w:szCs w:val="11"/>
                <w:color w:val="231F20"/>
              </w:rPr>
              <w:t>(49,458)</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231F20"/>
              </w:rPr>
              <w:t>(49,458)</w:t>
            </w:r>
          </w:p>
        </w:tc>
      </w:tr>
      <w:tr>
        <w:trPr>
          <w:trHeight w:val="115"/>
        </w:trPr>
        <w:tc>
          <w:tcPr>
            <w:tcW w:w="540" w:type="dxa"/>
            <w:vAlign w:val="bottom"/>
            <w:tcBorders>
              <w:bottom w:val="single" w:sz="8" w:color="auto"/>
            </w:tcBorders>
          </w:tcPr>
          <w:p>
            <w:pPr>
              <w:ind w:left="340"/>
              <w:spacing w:after="0" w:line="115" w:lineRule="exact"/>
              <w:rPr>
                <w:sz w:val="20"/>
                <w:szCs w:val="20"/>
                <w:color w:val="auto"/>
              </w:rPr>
            </w:pPr>
            <w:r>
              <w:rPr>
                <w:rFonts w:ascii="Arial" w:cs="Arial" w:eastAsia="Arial" w:hAnsi="Arial"/>
                <w:sz w:val="11"/>
                <w:szCs w:val="11"/>
                <w:color w:val="231F20"/>
              </w:rPr>
              <w:t>—</w:t>
            </w:r>
          </w:p>
        </w:tc>
        <w:tc>
          <w:tcPr>
            <w:tcW w:w="1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620" w:type="dxa"/>
            <w:vAlign w:val="bottom"/>
            <w:tcBorders>
              <w:bottom w:val="single" w:sz="8" w:color="auto"/>
            </w:tcBorders>
            <w:gridSpan w:val="2"/>
          </w:tcPr>
          <w:p>
            <w:pPr>
              <w:ind w:left="340"/>
              <w:spacing w:after="0" w:line="115" w:lineRule="exact"/>
              <w:rPr>
                <w:sz w:val="20"/>
                <w:szCs w:val="20"/>
                <w:color w:val="auto"/>
              </w:rPr>
            </w:pPr>
            <w:r>
              <w:rPr>
                <w:rFonts w:ascii="Arial" w:cs="Arial" w:eastAsia="Arial" w:hAnsi="Arial"/>
                <w:sz w:val="11"/>
                <w:szCs w:val="11"/>
                <w:color w:val="231F20"/>
              </w:rPr>
              <w:t>—</w:t>
            </w:r>
          </w:p>
        </w:tc>
        <w:tc>
          <w:tcPr>
            <w:tcW w:w="640" w:type="dxa"/>
            <w:vAlign w:val="bottom"/>
            <w:tcBorders>
              <w:bottom w:val="single" w:sz="8" w:color="auto"/>
            </w:tcBorders>
          </w:tcPr>
          <w:p>
            <w:pPr>
              <w:jc w:val="right"/>
              <w:ind w:right="26"/>
              <w:spacing w:after="0" w:line="115" w:lineRule="exact"/>
              <w:rPr>
                <w:sz w:val="20"/>
                <w:szCs w:val="20"/>
                <w:color w:val="auto"/>
              </w:rPr>
            </w:pPr>
            <w:r>
              <w:rPr>
                <w:rFonts w:ascii="Arial" w:cs="Arial" w:eastAsia="Arial" w:hAnsi="Arial"/>
                <w:sz w:val="11"/>
                <w:szCs w:val="11"/>
                <w:color w:val="231F20"/>
                <w:w w:val="98"/>
              </w:rPr>
              <w:t>39,681,298</w:t>
            </w:r>
          </w:p>
        </w:tc>
        <w:tc>
          <w:tcPr>
            <w:tcW w:w="1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4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3</w:t>
            </w:r>
          </w:p>
        </w:tc>
        <w:tc>
          <w:tcPr>
            <w:tcW w:w="200" w:type="dxa"/>
            <w:vAlign w:val="bottom"/>
            <w:tcBorders>
              <w:bottom w:val="single" w:sz="8" w:color="auto"/>
            </w:tcBorders>
          </w:tcPr>
          <w:p>
            <w:pPr>
              <w:ind w:left="120"/>
              <w:spacing w:after="0" w:line="115" w:lineRule="exact"/>
              <w:rPr>
                <w:sz w:val="20"/>
                <w:szCs w:val="20"/>
                <w:color w:val="auto"/>
              </w:rPr>
            </w:pPr>
            <w:r>
              <w:rPr>
                <w:rFonts w:ascii="Arial" w:cs="Arial" w:eastAsia="Arial" w:hAnsi="Arial"/>
                <w:sz w:val="11"/>
                <w:szCs w:val="11"/>
                <w:color w:val="231F20"/>
                <w:w w:val="97"/>
              </w:rPr>
              <w:t>$</w:t>
            </w:r>
          </w:p>
        </w:tc>
        <w:tc>
          <w:tcPr>
            <w:tcW w:w="54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1"/>
                <w:szCs w:val="11"/>
                <w:color w:val="231F20"/>
              </w:rPr>
              <w:t>383,428</w:t>
            </w:r>
          </w:p>
        </w:tc>
        <w:tc>
          <w:tcPr>
            <w:tcW w:w="1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880" w:type="dxa"/>
            <w:vAlign w:val="bottom"/>
            <w:tcBorders>
              <w:bottom w:val="single" w:sz="8" w:color="auto"/>
            </w:tcBorders>
          </w:tcPr>
          <w:p>
            <w:pPr>
              <w:jc w:val="right"/>
              <w:ind w:right="26"/>
              <w:spacing w:after="0" w:line="115" w:lineRule="exact"/>
              <w:rPr>
                <w:sz w:val="20"/>
                <w:szCs w:val="20"/>
                <w:color w:val="auto"/>
              </w:rPr>
            </w:pPr>
            <w:r>
              <w:rPr>
                <w:rFonts w:ascii="Arial" w:cs="Arial" w:eastAsia="Arial" w:hAnsi="Arial"/>
                <w:sz w:val="11"/>
                <w:szCs w:val="11"/>
                <w:color w:val="231F20"/>
              </w:rPr>
              <w:t>15</w:t>
            </w:r>
          </w:p>
        </w:tc>
        <w:tc>
          <w:tcPr>
            <w:tcW w:w="180" w:type="dxa"/>
            <w:vAlign w:val="bottom"/>
            <w:tcBorders>
              <w:bottom w:val="single" w:sz="8" w:color="auto"/>
            </w:tcBorders>
          </w:tcPr>
          <w:p>
            <w:pPr>
              <w:ind w:left="80"/>
              <w:spacing w:after="0" w:line="115" w:lineRule="exact"/>
              <w:rPr>
                <w:sz w:val="20"/>
                <w:szCs w:val="20"/>
                <w:color w:val="auto"/>
              </w:rPr>
            </w:pPr>
            <w:r>
              <w:rPr>
                <w:rFonts w:ascii="Arial" w:cs="Arial" w:eastAsia="Arial" w:hAnsi="Arial"/>
                <w:sz w:val="11"/>
                <w:szCs w:val="11"/>
                <w:color w:val="231F20"/>
              </w:rPr>
              <w:t>$</w:t>
            </w:r>
          </w:p>
        </w:tc>
        <w:tc>
          <w:tcPr>
            <w:tcW w:w="620" w:type="dxa"/>
            <w:vAlign w:val="bottom"/>
            <w:tcBorders>
              <w:bottom w:val="single" w:sz="8" w:color="auto"/>
            </w:tcBorders>
          </w:tcPr>
          <w:p>
            <w:pPr>
              <w:jc w:val="right"/>
              <w:ind w:right="6"/>
              <w:spacing w:after="0" w:line="115" w:lineRule="exact"/>
              <w:rPr>
                <w:sz w:val="20"/>
                <w:szCs w:val="20"/>
                <w:color w:val="auto"/>
              </w:rPr>
            </w:pPr>
            <w:r>
              <w:rPr>
                <w:rFonts w:ascii="Arial" w:cs="Arial" w:eastAsia="Arial" w:hAnsi="Arial"/>
                <w:sz w:val="11"/>
                <w:szCs w:val="11"/>
                <w:color w:val="231F20"/>
              </w:rPr>
              <w:t>(82,552)</w:t>
            </w:r>
          </w:p>
        </w:tc>
        <w:tc>
          <w:tcPr>
            <w:tcW w:w="220" w:type="dxa"/>
            <w:vAlign w:val="bottom"/>
            <w:tcBorders>
              <w:bottom w:val="single" w:sz="8" w:color="auto"/>
            </w:tcBorders>
          </w:tcPr>
          <w:p>
            <w:pPr>
              <w:ind w:left="100"/>
              <w:spacing w:after="0" w:line="115" w:lineRule="exact"/>
              <w:rPr>
                <w:sz w:val="20"/>
                <w:szCs w:val="20"/>
                <w:color w:val="auto"/>
              </w:rPr>
            </w:pPr>
            <w:r>
              <w:rPr>
                <w:rFonts w:ascii="Arial" w:cs="Arial" w:eastAsia="Arial" w:hAnsi="Arial"/>
                <w:sz w:val="11"/>
                <w:szCs w:val="11"/>
                <w:color w:val="231F20"/>
              </w:rPr>
              <w:t>$</w:t>
            </w:r>
          </w:p>
        </w:tc>
        <w:tc>
          <w:tcPr>
            <w:tcW w:w="5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300,894</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-1890395</wp:posOffset>
            </wp:positionH>
            <wp:positionV relativeFrom="paragraph">
              <wp:posOffset>-890905</wp:posOffset>
            </wp:positionV>
            <wp:extent cx="5648960" cy="8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-728345</wp:posOffset>
            </wp:positionV>
            <wp:extent cx="5648960" cy="774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-573405</wp:posOffset>
            </wp:positionV>
            <wp:extent cx="564896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-342265</wp:posOffset>
            </wp:positionV>
            <wp:extent cx="5648960" cy="774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-187960</wp:posOffset>
            </wp:positionV>
            <wp:extent cx="5648960" cy="774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-1898650</wp:posOffset>
            </wp:positionH>
            <wp:positionV relativeFrom="paragraph">
              <wp:posOffset>137160</wp:posOffset>
            </wp:positionV>
            <wp:extent cx="56489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340"/>
            <w:col w:w="5979"/>
          </w:cols>
          <w:pgMar w:left="1440" w:top="517" w:right="1440" w:bottom="1440" w:gutter="0" w:footer="0" w:header="0"/>
          <w:type w:val="continuous"/>
        </w:sect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3320" w:type="dxa"/>
            <w:vAlign w:val="bottom"/>
          </w:tcPr>
          <w:p>
            <w:pPr>
              <w:spacing w:after="0"/>
              <w:rPr>
                <w:sz w:val="10"/>
                <w:szCs w:val="10"/>
                <w:color w:val="auto"/>
              </w:rPr>
            </w:pPr>
          </w:p>
        </w:tc>
        <w:tc>
          <w:tcPr>
            <w:tcW w:w="1580" w:type="dxa"/>
            <w:vAlign w:val="bottom"/>
            <w:gridSpan w:val="4"/>
          </w:tcPr>
          <w:p>
            <w:pPr>
              <w:jc w:val="right"/>
              <w:ind w:right="560"/>
              <w:spacing w:after="0"/>
              <w:rPr>
                <w:sz w:val="20"/>
                <w:szCs w:val="20"/>
                <w:color w:val="auto"/>
              </w:rPr>
            </w:pPr>
            <w:r>
              <w:rPr>
                <w:rFonts w:ascii="Arial" w:cs="Arial" w:eastAsia="Arial" w:hAnsi="Arial"/>
                <w:sz w:val="11"/>
                <w:szCs w:val="11"/>
                <w:b w:val="1"/>
                <w:bCs w:val="1"/>
                <w:color w:val="auto"/>
              </w:rPr>
              <w:t>Convertible</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20" w:type="dxa"/>
            <w:vAlign w:val="bottom"/>
            <w:gridSpan w:val="2"/>
          </w:tcPr>
          <w:p>
            <w:pPr>
              <w:jc w:val="right"/>
              <w:ind w:right="106"/>
              <w:spacing w:after="0"/>
              <w:rPr>
                <w:sz w:val="20"/>
                <w:szCs w:val="20"/>
                <w:color w:val="auto"/>
              </w:rPr>
            </w:pPr>
            <w:r>
              <w:rPr>
                <w:rFonts w:ascii="Arial" w:cs="Arial" w:eastAsia="Arial" w:hAnsi="Arial"/>
                <w:sz w:val="11"/>
                <w:szCs w:val="11"/>
                <w:b w:val="1"/>
                <w:bCs w:val="1"/>
                <w:color w:val="auto"/>
              </w:rPr>
              <w:t>Additional</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jc w:val="center"/>
              <w:ind w:right="86"/>
              <w:spacing w:after="0"/>
              <w:rPr>
                <w:sz w:val="20"/>
                <w:szCs w:val="20"/>
                <w:color w:val="auto"/>
              </w:rPr>
            </w:pPr>
            <w:r>
              <w:rPr>
                <w:rFonts w:ascii="Arial" w:cs="Arial" w:eastAsia="Arial" w:hAnsi="Arial"/>
                <w:sz w:val="11"/>
                <w:szCs w:val="11"/>
                <w:b w:val="1"/>
                <w:bCs w:val="1"/>
                <w:color w:val="auto"/>
                <w:w w:val="91"/>
              </w:rPr>
              <w:t>Total</w:t>
            </w:r>
          </w:p>
        </w:tc>
      </w:tr>
      <w:tr>
        <w:trPr>
          <w:trHeight w:val="137"/>
        </w:trPr>
        <w:tc>
          <w:tcPr>
            <w:tcW w:w="3320" w:type="dxa"/>
            <w:vAlign w:val="bottom"/>
          </w:tcPr>
          <w:p>
            <w:pPr>
              <w:spacing w:after="0"/>
              <w:rPr>
                <w:sz w:val="11"/>
                <w:szCs w:val="11"/>
                <w:color w:val="auto"/>
              </w:rPr>
            </w:pPr>
          </w:p>
        </w:tc>
        <w:tc>
          <w:tcPr>
            <w:tcW w:w="1580" w:type="dxa"/>
            <w:vAlign w:val="bottom"/>
            <w:gridSpan w:val="4"/>
          </w:tcPr>
          <w:p>
            <w:pPr>
              <w:jc w:val="right"/>
              <w:ind w:right="460"/>
              <w:spacing w:after="0"/>
              <w:rPr>
                <w:sz w:val="20"/>
                <w:szCs w:val="20"/>
                <w:color w:val="auto"/>
              </w:rPr>
            </w:pPr>
            <w:r>
              <w:rPr>
                <w:rFonts w:ascii="Arial" w:cs="Arial" w:eastAsia="Arial" w:hAnsi="Arial"/>
                <w:sz w:val="11"/>
                <w:szCs w:val="11"/>
                <w:b w:val="1"/>
                <w:bCs w:val="1"/>
                <w:color w:val="auto"/>
              </w:rPr>
              <w:t>Preferred Stock</w:t>
            </w:r>
          </w:p>
        </w:tc>
        <w:tc>
          <w:tcPr>
            <w:tcW w:w="1440" w:type="dxa"/>
            <w:vAlign w:val="bottom"/>
            <w:gridSpan w:val="3"/>
          </w:tcPr>
          <w:p>
            <w:pPr>
              <w:ind w:left="340"/>
              <w:spacing w:after="0"/>
              <w:rPr>
                <w:sz w:val="20"/>
                <w:szCs w:val="20"/>
                <w:color w:val="auto"/>
              </w:rPr>
            </w:pPr>
            <w:r>
              <w:rPr>
                <w:rFonts w:ascii="Arial" w:cs="Arial" w:eastAsia="Arial" w:hAnsi="Arial"/>
                <w:sz w:val="11"/>
                <w:szCs w:val="11"/>
                <w:b w:val="1"/>
                <w:bCs w:val="1"/>
                <w:color w:val="auto"/>
              </w:rPr>
              <w:t>Common Stock</w:t>
            </w:r>
          </w:p>
        </w:tc>
        <w:tc>
          <w:tcPr>
            <w:tcW w:w="280" w:type="dxa"/>
            <w:vAlign w:val="bottom"/>
          </w:tcPr>
          <w:p>
            <w:pPr>
              <w:spacing w:after="0"/>
              <w:rPr>
                <w:sz w:val="11"/>
                <w:szCs w:val="11"/>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rPr>
              <w:t>Paid-in</w:t>
            </w:r>
          </w:p>
        </w:tc>
        <w:tc>
          <w:tcPr>
            <w:tcW w:w="840" w:type="dxa"/>
            <w:vAlign w:val="bottom"/>
            <w:gridSpan w:val="2"/>
          </w:tcPr>
          <w:p>
            <w:pPr>
              <w:jc w:val="right"/>
              <w:ind w:right="26"/>
              <w:spacing w:after="0"/>
              <w:rPr>
                <w:sz w:val="20"/>
                <w:szCs w:val="20"/>
                <w:color w:val="auto"/>
              </w:rPr>
            </w:pPr>
            <w:r>
              <w:rPr>
                <w:rFonts w:ascii="Arial" w:cs="Arial" w:eastAsia="Arial" w:hAnsi="Arial"/>
                <w:sz w:val="11"/>
                <w:szCs w:val="11"/>
                <w:b w:val="1"/>
                <w:bCs w:val="1"/>
                <w:color w:val="auto"/>
              </w:rPr>
              <w:t>Accumulated</w:t>
            </w:r>
          </w:p>
        </w:tc>
        <w:tc>
          <w:tcPr>
            <w:tcW w:w="800" w:type="dxa"/>
            <w:vAlign w:val="bottom"/>
            <w:gridSpan w:val="2"/>
          </w:tcPr>
          <w:p>
            <w:pPr>
              <w:jc w:val="center"/>
              <w:ind w:left="26"/>
              <w:spacing w:after="0"/>
              <w:rPr>
                <w:sz w:val="20"/>
                <w:szCs w:val="20"/>
                <w:color w:val="auto"/>
              </w:rPr>
            </w:pPr>
            <w:r>
              <w:rPr>
                <w:rFonts w:ascii="Arial" w:cs="Arial" w:eastAsia="Arial" w:hAnsi="Arial"/>
                <w:sz w:val="11"/>
                <w:szCs w:val="11"/>
                <w:b w:val="1"/>
                <w:bCs w:val="1"/>
                <w:color w:val="auto"/>
                <w:w w:val="99"/>
              </w:rPr>
              <w:t>Stockholders'</w:t>
            </w:r>
          </w:p>
        </w:tc>
      </w:tr>
      <w:tr>
        <w:trPr>
          <w:trHeight w:val="115"/>
        </w:trPr>
        <w:tc>
          <w:tcPr>
            <w:tcW w:w="332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166"/>
              <w:spacing w:after="0" w:line="115" w:lineRule="exact"/>
              <w:rPr>
                <w:sz w:val="20"/>
                <w:szCs w:val="20"/>
                <w:color w:val="auto"/>
              </w:rPr>
            </w:pPr>
            <w:r>
              <w:rPr>
                <w:rFonts w:ascii="Arial" w:cs="Arial" w:eastAsia="Arial" w:hAnsi="Arial"/>
                <w:sz w:val="11"/>
                <w:szCs w:val="11"/>
                <w:b w:val="1"/>
                <w:bCs w:val="1"/>
                <w:color w:val="231F20"/>
              </w:rPr>
              <w:t>Shares</w:t>
            </w:r>
          </w:p>
        </w:tc>
        <w:tc>
          <w:tcPr>
            <w:tcW w:w="18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231F20"/>
                <w:w w:val="96"/>
              </w:rPr>
              <w:t>Amount</w:t>
            </w:r>
          </w:p>
        </w:tc>
        <w:tc>
          <w:tcPr>
            <w:tcW w:w="14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146"/>
              <w:spacing w:after="0" w:line="115" w:lineRule="exact"/>
              <w:rPr>
                <w:sz w:val="20"/>
                <w:szCs w:val="20"/>
                <w:color w:val="auto"/>
              </w:rPr>
            </w:pPr>
            <w:r>
              <w:rPr>
                <w:rFonts w:ascii="Arial" w:cs="Arial" w:eastAsia="Arial" w:hAnsi="Arial"/>
                <w:sz w:val="11"/>
                <w:szCs w:val="11"/>
                <w:b w:val="1"/>
                <w:bCs w:val="1"/>
                <w:color w:val="231F20"/>
              </w:rPr>
              <w:t>Shares</w:t>
            </w:r>
          </w:p>
        </w:tc>
        <w:tc>
          <w:tcPr>
            <w:tcW w:w="20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ind w:left="20"/>
              <w:spacing w:after="0" w:line="115" w:lineRule="exact"/>
              <w:rPr>
                <w:sz w:val="20"/>
                <w:szCs w:val="20"/>
                <w:color w:val="auto"/>
              </w:rPr>
            </w:pPr>
            <w:r>
              <w:rPr>
                <w:rFonts w:ascii="Arial" w:cs="Arial" w:eastAsia="Arial" w:hAnsi="Arial"/>
                <w:sz w:val="11"/>
                <w:szCs w:val="11"/>
                <w:b w:val="1"/>
                <w:bCs w:val="1"/>
                <w:color w:val="231F20"/>
              </w:rPr>
              <w:t>Amount</w:t>
            </w:r>
          </w:p>
        </w:tc>
        <w:tc>
          <w:tcPr>
            <w:tcW w:w="2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231F20"/>
              </w:rPr>
              <w:t>Capital</w:t>
            </w: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231F20"/>
              </w:rPr>
              <w:t>Deficit</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86"/>
              <w:spacing w:after="0" w:line="115" w:lineRule="exact"/>
              <w:rPr>
                <w:sz w:val="20"/>
                <w:szCs w:val="20"/>
                <w:color w:val="auto"/>
              </w:rPr>
            </w:pPr>
            <w:r>
              <w:rPr>
                <w:rFonts w:ascii="Arial" w:cs="Arial" w:eastAsia="Arial" w:hAnsi="Arial"/>
                <w:sz w:val="11"/>
                <w:szCs w:val="11"/>
                <w:b w:val="1"/>
                <w:bCs w:val="1"/>
                <w:color w:val="231F20"/>
                <w:w w:val="95"/>
              </w:rPr>
              <w:t>Deficit</w:t>
            </w:r>
          </w:p>
        </w:tc>
      </w:tr>
      <w:tr>
        <w:trPr>
          <w:trHeight w:val="115"/>
        </w:trPr>
        <w:tc>
          <w:tcPr>
            <w:tcW w:w="3320" w:type="dxa"/>
            <w:vAlign w:val="bottom"/>
            <w:shd w:val="clear" w:color="auto" w:fill="CCEEFF"/>
          </w:tcPr>
          <w:p>
            <w:pPr>
              <w:ind w:left="20"/>
              <w:spacing w:after="0" w:line="115" w:lineRule="exact"/>
              <w:rPr>
                <w:sz w:val="20"/>
                <w:szCs w:val="20"/>
                <w:color w:val="auto"/>
              </w:rPr>
            </w:pPr>
            <w:r>
              <w:rPr>
                <w:rFonts w:ascii="Arial" w:cs="Arial" w:eastAsia="Arial" w:hAnsi="Arial"/>
                <w:sz w:val="11"/>
                <w:szCs w:val="11"/>
                <w:color w:val="231F20"/>
              </w:rPr>
              <w:t>Balances at June 30, 2020</w:t>
            </w:r>
          </w:p>
        </w:tc>
        <w:tc>
          <w:tcPr>
            <w:tcW w:w="700" w:type="dxa"/>
            <w:vAlign w:val="bottom"/>
            <w:shd w:val="clear" w:color="auto" w:fill="CCEEFF"/>
          </w:tcPr>
          <w:p>
            <w:pPr>
              <w:jc w:val="right"/>
              <w:ind w:right="86"/>
              <w:spacing w:after="0" w:line="115" w:lineRule="exact"/>
              <w:rPr>
                <w:sz w:val="20"/>
                <w:szCs w:val="20"/>
                <w:color w:val="auto"/>
              </w:rPr>
            </w:pPr>
            <w:r>
              <w:rPr>
                <w:rFonts w:ascii="Arial" w:cs="Arial" w:eastAsia="Arial" w:hAnsi="Arial"/>
                <w:sz w:val="11"/>
                <w:szCs w:val="11"/>
                <w:color w:val="231F20"/>
                <w:w w:val="98"/>
              </w:rPr>
              <w:t>16,067,762</w:t>
            </w:r>
          </w:p>
        </w:tc>
        <w:tc>
          <w:tcPr>
            <w:tcW w:w="1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5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63,004</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66"/>
              <w:spacing w:after="0" w:line="115" w:lineRule="exact"/>
              <w:rPr>
                <w:sz w:val="20"/>
                <w:szCs w:val="20"/>
                <w:color w:val="auto"/>
              </w:rPr>
            </w:pPr>
            <w:r>
              <w:rPr>
                <w:rFonts w:ascii="Arial" w:cs="Arial" w:eastAsia="Arial" w:hAnsi="Arial"/>
                <w:sz w:val="11"/>
                <w:szCs w:val="11"/>
                <w:color w:val="231F20"/>
              </w:rPr>
              <w:t>2,593,316</w:t>
            </w:r>
          </w:p>
        </w:tc>
        <w:tc>
          <w:tcPr>
            <w:tcW w:w="2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560" w:type="dxa"/>
            <w:vAlign w:val="bottom"/>
            <w:shd w:val="clear" w:color="auto" w:fill="CCEEFF"/>
          </w:tcPr>
          <w:p>
            <w:pPr>
              <w:ind w:left="420"/>
              <w:spacing w:after="0" w:line="115" w:lineRule="exact"/>
              <w:rPr>
                <w:sz w:val="20"/>
                <w:szCs w:val="20"/>
                <w:color w:val="auto"/>
              </w:rPr>
            </w:pPr>
            <w:r>
              <w:rPr>
                <w:rFonts w:ascii="Arial" w:cs="Arial" w:eastAsia="Arial" w:hAnsi="Arial"/>
                <w:sz w:val="11"/>
                <w:szCs w:val="11"/>
                <w:color w:val="231F20"/>
              </w:rPr>
              <w:t>—</w:t>
            </w:r>
          </w:p>
        </w:tc>
        <w:tc>
          <w:tcPr>
            <w:tcW w:w="2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640" w:type="dxa"/>
            <w:vAlign w:val="bottom"/>
            <w:shd w:val="clear" w:color="auto" w:fill="CCEEFF"/>
          </w:tcPr>
          <w:p>
            <w:pPr>
              <w:jc w:val="right"/>
              <w:ind w:right="46"/>
              <w:spacing w:after="0" w:line="115" w:lineRule="exact"/>
              <w:rPr>
                <w:sz w:val="20"/>
                <w:szCs w:val="20"/>
                <w:color w:val="auto"/>
              </w:rPr>
            </w:pPr>
            <w:r>
              <w:rPr>
                <w:rFonts w:ascii="Arial" w:cs="Arial" w:eastAsia="Arial" w:hAnsi="Arial"/>
                <w:sz w:val="11"/>
                <w:szCs w:val="11"/>
                <w:color w:val="231F20"/>
              </w:rPr>
              <w:t>956</w:t>
            </w:r>
          </w:p>
        </w:tc>
        <w:tc>
          <w:tcPr>
            <w:tcW w:w="2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640" w:type="dxa"/>
            <w:vAlign w:val="bottom"/>
            <w:shd w:val="clear" w:color="auto" w:fill="CCEEFF"/>
          </w:tcPr>
          <w:p>
            <w:pPr>
              <w:jc w:val="right"/>
              <w:ind w:right="26"/>
              <w:spacing w:after="0" w:line="115" w:lineRule="exact"/>
              <w:rPr>
                <w:sz w:val="20"/>
                <w:szCs w:val="20"/>
                <w:color w:val="auto"/>
              </w:rPr>
            </w:pPr>
            <w:r>
              <w:rPr>
                <w:rFonts w:ascii="Arial" w:cs="Arial" w:eastAsia="Arial" w:hAnsi="Arial"/>
                <w:sz w:val="11"/>
                <w:szCs w:val="11"/>
                <w:color w:val="231F20"/>
              </w:rPr>
              <w:t>(14,908)</w:t>
            </w:r>
          </w:p>
        </w:tc>
        <w:tc>
          <w:tcPr>
            <w:tcW w:w="2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5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(13,952)</w:t>
            </w:r>
          </w:p>
        </w:tc>
      </w:tr>
      <w:tr>
        <w:trPr>
          <w:trHeight w:val="122"/>
        </w:trPr>
        <w:tc>
          <w:tcPr>
            <w:tcW w:w="3320" w:type="dxa"/>
            <w:vAlign w:val="bottom"/>
          </w:tcPr>
          <w:p>
            <w:pPr>
              <w:ind w:left="20"/>
              <w:spacing w:after="0" w:line="122" w:lineRule="exact"/>
              <w:rPr>
                <w:sz w:val="20"/>
                <w:szCs w:val="20"/>
                <w:color w:val="auto"/>
              </w:rPr>
            </w:pPr>
            <w:r>
              <w:rPr>
                <w:rFonts w:ascii="Arial" w:cs="Arial" w:eastAsia="Arial" w:hAnsi="Arial"/>
                <w:sz w:val="11"/>
                <w:szCs w:val="11"/>
                <w:color w:val="auto"/>
              </w:rPr>
              <w:t>Issuance costs of Series B convertible stock</w:t>
            </w:r>
          </w:p>
        </w:tc>
        <w:tc>
          <w:tcPr>
            <w:tcW w:w="700" w:type="dxa"/>
            <w:vAlign w:val="bottom"/>
          </w:tcPr>
          <w:p>
            <w:pPr>
              <w:jc w:val="right"/>
              <w:ind w:right="86"/>
              <w:spacing w:after="0" w:line="122" w:lineRule="exact"/>
              <w:rPr>
                <w:sz w:val="20"/>
                <w:szCs w:val="20"/>
                <w:color w:val="auto"/>
              </w:rPr>
            </w:pPr>
            <w:r>
              <w:rPr>
                <w:rFonts w:ascii="Arial" w:cs="Arial" w:eastAsia="Arial" w:hAnsi="Arial"/>
                <w:sz w:val="11"/>
                <w:szCs w:val="11"/>
                <w:color w:val="231F20"/>
              </w:rPr>
              <w:t>—</w:t>
            </w:r>
          </w:p>
        </w:tc>
        <w:tc>
          <w:tcPr>
            <w:tcW w:w="18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231F20"/>
              </w:rPr>
              <w:t>(12)</w:t>
            </w:r>
          </w:p>
        </w:tc>
        <w:tc>
          <w:tcPr>
            <w:tcW w:w="680" w:type="dxa"/>
            <w:vAlign w:val="bottom"/>
          </w:tcPr>
          <w:p>
            <w:pPr>
              <w:jc w:val="right"/>
              <w:ind w:right="6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560" w:type="dxa"/>
            <w:vAlign w:val="bottom"/>
          </w:tcPr>
          <w:p>
            <w:pPr>
              <w:ind w:left="420"/>
              <w:spacing w:after="0" w:line="122" w:lineRule="exact"/>
              <w:rPr>
                <w:sz w:val="20"/>
                <w:szCs w:val="20"/>
                <w:color w:val="auto"/>
              </w:rPr>
            </w:pPr>
            <w:r>
              <w:rPr>
                <w:rFonts w:ascii="Arial" w:cs="Arial" w:eastAsia="Arial" w:hAnsi="Arial"/>
                <w:sz w:val="11"/>
                <w:szCs w:val="11"/>
                <w:color w:val="231F20"/>
              </w:rPr>
              <w:t>—</w:t>
            </w:r>
          </w:p>
        </w:tc>
        <w:tc>
          <w:tcPr>
            <w:tcW w:w="280" w:type="dxa"/>
            <w:vAlign w:val="bottom"/>
          </w:tcPr>
          <w:p>
            <w:pPr>
              <w:spacing w:after="0"/>
              <w:rPr>
                <w:sz w:val="10"/>
                <w:szCs w:val="10"/>
                <w:color w:val="auto"/>
              </w:rPr>
            </w:pPr>
          </w:p>
        </w:tc>
        <w:tc>
          <w:tcPr>
            <w:tcW w:w="64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64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r>
      <w:tr>
        <w:trPr>
          <w:trHeight w:val="118"/>
        </w:trPr>
        <w:tc>
          <w:tcPr>
            <w:tcW w:w="332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Repurchase and retirement of Series A and Series A-1 convertible</w:t>
            </w: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25"/>
        </w:trPr>
        <w:tc>
          <w:tcPr>
            <w:tcW w:w="3320" w:type="dxa"/>
            <w:vAlign w:val="bottom"/>
            <w:shd w:val="clear" w:color="auto" w:fill="CCEEFF"/>
          </w:tcPr>
          <w:p>
            <w:pPr>
              <w:ind w:left="20"/>
              <w:spacing w:after="0" w:line="125" w:lineRule="exact"/>
              <w:rPr>
                <w:sz w:val="20"/>
                <w:szCs w:val="20"/>
                <w:color w:val="auto"/>
              </w:rPr>
            </w:pPr>
            <w:r>
              <w:rPr>
                <w:rFonts w:ascii="Arial" w:cs="Arial" w:eastAsia="Arial" w:hAnsi="Arial"/>
                <w:sz w:val="11"/>
                <w:szCs w:val="11"/>
                <w:color w:val="auto"/>
              </w:rPr>
              <w:t>preferred stock</w:t>
            </w:r>
          </w:p>
        </w:tc>
        <w:tc>
          <w:tcPr>
            <w:tcW w:w="700" w:type="dxa"/>
            <w:vAlign w:val="bottom"/>
            <w:shd w:val="clear" w:color="auto" w:fill="CCEEFF"/>
          </w:tcPr>
          <w:p>
            <w:pPr>
              <w:jc w:val="right"/>
              <w:ind w:right="46"/>
              <w:spacing w:after="0" w:line="125" w:lineRule="exact"/>
              <w:rPr>
                <w:sz w:val="20"/>
                <w:szCs w:val="20"/>
                <w:color w:val="auto"/>
              </w:rPr>
            </w:pPr>
            <w:r>
              <w:rPr>
                <w:rFonts w:ascii="Arial" w:cs="Arial" w:eastAsia="Arial" w:hAnsi="Arial"/>
                <w:sz w:val="11"/>
                <w:szCs w:val="11"/>
                <w:color w:val="231F20"/>
              </w:rPr>
              <w:t>(206,821)</w:t>
            </w:r>
          </w:p>
        </w:tc>
        <w:tc>
          <w:tcPr>
            <w:tcW w:w="1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231F20"/>
              </w:rPr>
              <w:t>(420)</w:t>
            </w:r>
          </w:p>
        </w:tc>
        <w:tc>
          <w:tcPr>
            <w:tcW w:w="680" w:type="dxa"/>
            <w:vAlign w:val="bottom"/>
            <w:shd w:val="clear" w:color="auto" w:fill="CCEEFF"/>
          </w:tcPr>
          <w:p>
            <w:pPr>
              <w:jc w:val="right"/>
              <w:ind w:right="66"/>
              <w:spacing w:after="0" w:line="125" w:lineRule="exact"/>
              <w:rPr>
                <w:sz w:val="20"/>
                <w:szCs w:val="20"/>
                <w:color w:val="auto"/>
              </w:rPr>
            </w:pPr>
            <w:r>
              <w:rPr>
                <w:rFonts w:ascii="Arial" w:cs="Arial" w:eastAsia="Arial" w:hAnsi="Arial"/>
                <w:sz w:val="11"/>
                <w:szCs w:val="11"/>
                <w:color w:val="231F20"/>
              </w:rPr>
              <w:t>—</w:t>
            </w: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ind w:left="420"/>
              <w:spacing w:after="0" w:line="125" w:lineRule="exact"/>
              <w:rPr>
                <w:sz w:val="20"/>
                <w:szCs w:val="20"/>
                <w:color w:val="auto"/>
              </w:rPr>
            </w:pPr>
            <w:r>
              <w:rPr>
                <w:rFonts w:ascii="Arial" w:cs="Arial" w:eastAsia="Arial" w:hAnsi="Arial"/>
                <w:sz w:val="11"/>
                <w:szCs w:val="11"/>
                <w:color w:val="231F20"/>
              </w:rPr>
              <w:t>—</w:t>
            </w: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
              <w:spacing w:after="0" w:line="125" w:lineRule="exact"/>
              <w:rPr>
                <w:sz w:val="20"/>
                <w:szCs w:val="20"/>
                <w:color w:val="auto"/>
              </w:rPr>
            </w:pPr>
            <w:r>
              <w:rPr>
                <w:rFonts w:ascii="Arial" w:cs="Arial" w:eastAsia="Arial" w:hAnsi="Arial"/>
                <w:sz w:val="11"/>
                <w:szCs w:val="11"/>
                <w:color w:val="231F20"/>
              </w:rPr>
              <w:t>(1,658)</w:t>
            </w: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26"/>
              <w:spacing w:after="0" w:line="125" w:lineRule="exact"/>
              <w:rPr>
                <w:sz w:val="20"/>
                <w:szCs w:val="20"/>
                <w:color w:val="auto"/>
              </w:rPr>
            </w:pPr>
            <w:r>
              <w:rPr>
                <w:rFonts w:ascii="Arial" w:cs="Arial" w:eastAsia="Arial" w:hAnsi="Arial"/>
                <w:sz w:val="11"/>
                <w:szCs w:val="11"/>
                <w:color w:val="231F20"/>
              </w:rPr>
              <w:t>(211)</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231F20"/>
              </w:rPr>
              <w:t>(1,869)</w:t>
            </w:r>
          </w:p>
        </w:tc>
      </w:tr>
      <w:tr>
        <w:trPr>
          <w:trHeight w:val="118"/>
        </w:trPr>
        <w:tc>
          <w:tcPr>
            <w:tcW w:w="3320" w:type="dxa"/>
            <w:vAlign w:val="bottom"/>
          </w:tcPr>
          <w:p>
            <w:pPr>
              <w:ind w:left="20"/>
              <w:spacing w:after="0" w:line="119" w:lineRule="exact"/>
              <w:rPr>
                <w:sz w:val="20"/>
                <w:szCs w:val="20"/>
                <w:color w:val="auto"/>
              </w:rPr>
            </w:pPr>
            <w:r>
              <w:rPr>
                <w:rFonts w:ascii="Arial" w:cs="Arial" w:eastAsia="Arial" w:hAnsi="Arial"/>
                <w:sz w:val="11"/>
                <w:szCs w:val="11"/>
                <w:color w:val="auto"/>
              </w:rPr>
              <w:t>Issuance of Series C convertible preferred stock, net of issuance</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25"/>
        </w:trPr>
        <w:tc>
          <w:tcPr>
            <w:tcW w:w="3320" w:type="dxa"/>
            <w:vAlign w:val="bottom"/>
          </w:tcPr>
          <w:p>
            <w:pPr>
              <w:ind w:left="20"/>
              <w:spacing w:after="0" w:line="125" w:lineRule="exact"/>
              <w:rPr>
                <w:sz w:val="20"/>
                <w:szCs w:val="20"/>
                <w:color w:val="auto"/>
              </w:rPr>
            </w:pPr>
            <w:r>
              <w:rPr>
                <w:rFonts w:ascii="Arial" w:cs="Arial" w:eastAsia="Arial" w:hAnsi="Arial"/>
                <w:sz w:val="11"/>
                <w:szCs w:val="11"/>
                <w:color w:val="auto"/>
              </w:rPr>
              <w:t>costs of $1,637</w:t>
            </w:r>
          </w:p>
        </w:tc>
        <w:tc>
          <w:tcPr>
            <w:tcW w:w="700" w:type="dxa"/>
            <w:vAlign w:val="bottom"/>
          </w:tcPr>
          <w:p>
            <w:pPr>
              <w:jc w:val="right"/>
              <w:ind w:right="86"/>
              <w:spacing w:after="0" w:line="125" w:lineRule="exact"/>
              <w:rPr>
                <w:sz w:val="20"/>
                <w:szCs w:val="20"/>
                <w:color w:val="auto"/>
              </w:rPr>
            </w:pPr>
            <w:r>
              <w:rPr>
                <w:rFonts w:ascii="Arial" w:cs="Arial" w:eastAsia="Arial" w:hAnsi="Arial"/>
                <w:sz w:val="11"/>
                <w:szCs w:val="11"/>
                <w:color w:val="231F20"/>
              </w:rPr>
              <w:t>7,904,135</w:t>
            </w:r>
          </w:p>
        </w:tc>
        <w:tc>
          <w:tcPr>
            <w:tcW w:w="18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231F20"/>
              </w:rPr>
              <w:t>85,801</w:t>
            </w:r>
          </w:p>
        </w:tc>
        <w:tc>
          <w:tcPr>
            <w:tcW w:w="140" w:type="dxa"/>
            <w:vAlign w:val="bottom"/>
          </w:tcPr>
          <w:p>
            <w:pPr>
              <w:spacing w:after="0"/>
              <w:rPr>
                <w:sz w:val="10"/>
                <w:szCs w:val="10"/>
                <w:color w:val="auto"/>
              </w:rPr>
            </w:pPr>
          </w:p>
        </w:tc>
        <w:tc>
          <w:tcPr>
            <w:tcW w:w="680" w:type="dxa"/>
            <w:vAlign w:val="bottom"/>
          </w:tcPr>
          <w:p>
            <w:pPr>
              <w:jc w:val="right"/>
              <w:ind w:right="66"/>
              <w:spacing w:after="0" w:line="125"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560" w:type="dxa"/>
            <w:vAlign w:val="bottom"/>
          </w:tcPr>
          <w:p>
            <w:pPr>
              <w:ind w:left="420"/>
              <w:spacing w:after="0" w:line="125" w:lineRule="exact"/>
              <w:rPr>
                <w:sz w:val="20"/>
                <w:szCs w:val="20"/>
                <w:color w:val="auto"/>
              </w:rPr>
            </w:pPr>
            <w:r>
              <w:rPr>
                <w:rFonts w:ascii="Arial" w:cs="Arial" w:eastAsia="Arial" w:hAnsi="Arial"/>
                <w:sz w:val="11"/>
                <w:szCs w:val="11"/>
                <w:color w:val="231F20"/>
              </w:rPr>
              <w:t>—</w:t>
            </w:r>
          </w:p>
        </w:tc>
        <w:tc>
          <w:tcPr>
            <w:tcW w:w="280" w:type="dxa"/>
            <w:vAlign w:val="bottom"/>
          </w:tcPr>
          <w:p>
            <w:pPr>
              <w:spacing w:after="0"/>
              <w:rPr>
                <w:sz w:val="10"/>
                <w:szCs w:val="10"/>
                <w:color w:val="auto"/>
              </w:rPr>
            </w:pPr>
          </w:p>
        </w:tc>
        <w:tc>
          <w:tcPr>
            <w:tcW w:w="640" w:type="dxa"/>
            <w:vAlign w:val="bottom"/>
          </w:tcPr>
          <w:p>
            <w:pPr>
              <w:jc w:val="right"/>
              <w:ind w:right="46"/>
              <w:spacing w:after="0" w:line="125"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640" w:type="dxa"/>
            <w:vAlign w:val="bottom"/>
          </w:tcPr>
          <w:p>
            <w:pPr>
              <w:jc w:val="right"/>
              <w:ind w:right="46"/>
              <w:spacing w:after="0" w:line="125"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r>
      <w:tr>
        <w:trPr>
          <w:trHeight w:val="122"/>
        </w:trPr>
        <w:tc>
          <w:tcPr>
            <w:tcW w:w="33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Exercise of stock options</w:t>
            </w:r>
          </w:p>
        </w:tc>
        <w:tc>
          <w:tcPr>
            <w:tcW w:w="700" w:type="dxa"/>
            <w:vAlign w:val="bottom"/>
            <w:shd w:val="clear" w:color="auto" w:fill="CCEEFF"/>
          </w:tcPr>
          <w:p>
            <w:pPr>
              <w:jc w:val="right"/>
              <w:ind w:right="86"/>
              <w:spacing w:after="0" w:line="122" w:lineRule="exact"/>
              <w:rPr>
                <w:sz w:val="20"/>
                <w:szCs w:val="20"/>
                <w:color w:val="auto"/>
              </w:rPr>
            </w:pPr>
            <w:r>
              <w:rPr>
                <w:rFonts w:ascii="Arial" w:cs="Arial" w:eastAsia="Arial" w:hAnsi="Arial"/>
                <w:sz w:val="11"/>
                <w:szCs w:val="11"/>
                <w:color w:val="231F20"/>
              </w:rPr>
              <w:t>—</w:t>
            </w:r>
          </w:p>
        </w:tc>
        <w:tc>
          <w:tcPr>
            <w:tcW w:w="1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231F20"/>
              </w:rPr>
              <w:t>—</w:t>
            </w:r>
          </w:p>
        </w:tc>
        <w:tc>
          <w:tcPr>
            <w:tcW w:w="68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231F20"/>
              </w:rPr>
              <w:t>239,055</w:t>
            </w: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231F20"/>
              </w:rPr>
              <w:t>—</w:t>
            </w: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231F20"/>
              </w:rPr>
              <w:t>120</w:t>
            </w: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231F20"/>
              </w:rPr>
              <w:t>120</w:t>
            </w:r>
          </w:p>
        </w:tc>
      </w:tr>
      <w:tr>
        <w:trPr>
          <w:trHeight w:val="121"/>
        </w:trPr>
        <w:tc>
          <w:tcPr>
            <w:tcW w:w="3320" w:type="dxa"/>
            <w:vAlign w:val="bottom"/>
          </w:tcPr>
          <w:p>
            <w:pPr>
              <w:ind w:left="20"/>
              <w:spacing w:after="0" w:line="122" w:lineRule="exact"/>
              <w:rPr>
                <w:sz w:val="20"/>
                <w:szCs w:val="20"/>
                <w:color w:val="auto"/>
              </w:rPr>
            </w:pPr>
            <w:r>
              <w:rPr>
                <w:rFonts w:ascii="Arial" w:cs="Arial" w:eastAsia="Arial" w:hAnsi="Arial"/>
                <w:sz w:val="11"/>
                <w:szCs w:val="11"/>
                <w:color w:val="auto"/>
              </w:rPr>
              <w:t>Vesting of restricted stock awards</w:t>
            </w:r>
          </w:p>
        </w:tc>
        <w:tc>
          <w:tcPr>
            <w:tcW w:w="700" w:type="dxa"/>
            <w:vAlign w:val="bottom"/>
          </w:tcPr>
          <w:p>
            <w:pPr>
              <w:jc w:val="right"/>
              <w:ind w:right="86"/>
              <w:spacing w:after="0" w:line="122" w:lineRule="exact"/>
              <w:rPr>
                <w:sz w:val="20"/>
                <w:szCs w:val="20"/>
                <w:color w:val="auto"/>
              </w:rPr>
            </w:pPr>
            <w:r>
              <w:rPr>
                <w:rFonts w:ascii="Arial" w:cs="Arial" w:eastAsia="Arial" w:hAnsi="Arial"/>
                <w:sz w:val="11"/>
                <w:szCs w:val="11"/>
                <w:color w:val="231F20"/>
              </w:rPr>
              <w:t>—</w:t>
            </w:r>
          </w:p>
        </w:tc>
        <w:tc>
          <w:tcPr>
            <w:tcW w:w="180" w:type="dxa"/>
            <w:vAlign w:val="bottom"/>
          </w:tcPr>
          <w:p>
            <w:pPr>
              <w:spacing w:after="0"/>
              <w:rPr>
                <w:sz w:val="10"/>
                <w:szCs w:val="10"/>
                <w:color w:val="auto"/>
              </w:rPr>
            </w:pPr>
          </w:p>
        </w:tc>
        <w:tc>
          <w:tcPr>
            <w:tcW w:w="7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231F20"/>
              </w:rPr>
              <w:t>—</w:t>
            </w:r>
          </w:p>
        </w:tc>
        <w:tc>
          <w:tcPr>
            <w:tcW w:w="680" w:type="dxa"/>
            <w:vAlign w:val="bottom"/>
          </w:tcPr>
          <w:p>
            <w:pPr>
              <w:jc w:val="right"/>
              <w:ind w:right="66"/>
              <w:spacing w:after="0" w:line="122" w:lineRule="exact"/>
              <w:rPr>
                <w:sz w:val="20"/>
                <w:szCs w:val="20"/>
                <w:color w:val="auto"/>
              </w:rPr>
            </w:pPr>
            <w:r>
              <w:rPr>
                <w:rFonts w:ascii="Arial" w:cs="Arial" w:eastAsia="Arial" w:hAnsi="Arial"/>
                <w:sz w:val="11"/>
                <w:szCs w:val="11"/>
                <w:color w:val="231F20"/>
              </w:rPr>
              <w:t>26,901</w:t>
            </w:r>
          </w:p>
        </w:tc>
        <w:tc>
          <w:tcPr>
            <w:tcW w:w="200" w:type="dxa"/>
            <w:vAlign w:val="bottom"/>
          </w:tcPr>
          <w:p>
            <w:pPr>
              <w:spacing w:after="0"/>
              <w:rPr>
                <w:sz w:val="10"/>
                <w:szCs w:val="10"/>
                <w:color w:val="auto"/>
              </w:rPr>
            </w:pPr>
          </w:p>
        </w:tc>
        <w:tc>
          <w:tcPr>
            <w:tcW w:w="560" w:type="dxa"/>
            <w:vAlign w:val="bottom"/>
          </w:tcPr>
          <w:p>
            <w:pPr>
              <w:ind w:left="420"/>
              <w:spacing w:after="0" w:line="122" w:lineRule="exact"/>
              <w:rPr>
                <w:sz w:val="20"/>
                <w:szCs w:val="20"/>
                <w:color w:val="auto"/>
              </w:rPr>
            </w:pPr>
            <w:r>
              <w:rPr>
                <w:rFonts w:ascii="Arial" w:cs="Arial" w:eastAsia="Arial" w:hAnsi="Arial"/>
                <w:sz w:val="11"/>
                <w:szCs w:val="11"/>
                <w:color w:val="231F20"/>
              </w:rPr>
              <w:t>—</w:t>
            </w:r>
          </w:p>
        </w:tc>
        <w:tc>
          <w:tcPr>
            <w:tcW w:w="280" w:type="dxa"/>
            <w:vAlign w:val="bottom"/>
          </w:tcPr>
          <w:p>
            <w:pPr>
              <w:spacing w:after="0"/>
              <w:rPr>
                <w:sz w:val="10"/>
                <w:szCs w:val="10"/>
                <w:color w:val="auto"/>
              </w:rPr>
            </w:pPr>
          </w:p>
        </w:tc>
        <w:tc>
          <w:tcPr>
            <w:tcW w:w="64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640" w:type="dxa"/>
            <w:vAlign w:val="bottom"/>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r>
      <w:tr>
        <w:trPr>
          <w:trHeight w:val="122"/>
        </w:trPr>
        <w:tc>
          <w:tcPr>
            <w:tcW w:w="33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Stock-based compensation expense</w:t>
            </w:r>
          </w:p>
        </w:tc>
        <w:tc>
          <w:tcPr>
            <w:tcW w:w="700" w:type="dxa"/>
            <w:vAlign w:val="bottom"/>
            <w:shd w:val="clear" w:color="auto" w:fill="CCEEFF"/>
          </w:tcPr>
          <w:p>
            <w:pPr>
              <w:jc w:val="right"/>
              <w:ind w:right="86"/>
              <w:spacing w:after="0" w:line="122" w:lineRule="exact"/>
              <w:rPr>
                <w:sz w:val="20"/>
                <w:szCs w:val="20"/>
                <w:color w:val="auto"/>
              </w:rPr>
            </w:pPr>
            <w:r>
              <w:rPr>
                <w:rFonts w:ascii="Arial" w:cs="Arial" w:eastAsia="Arial" w:hAnsi="Arial"/>
                <w:sz w:val="11"/>
                <w:szCs w:val="11"/>
                <w:color w:val="231F20"/>
              </w:rPr>
              <w:t>—</w:t>
            </w:r>
          </w:p>
        </w:tc>
        <w:tc>
          <w:tcPr>
            <w:tcW w:w="1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231F20"/>
              </w:rPr>
              <w:t>—</w:t>
            </w:r>
          </w:p>
        </w:tc>
        <w:tc>
          <w:tcPr>
            <w:tcW w:w="68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231F20"/>
              </w:rPr>
              <w:t>—</w:t>
            </w: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231F20"/>
              </w:rPr>
              <w:t>—</w:t>
            </w: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231F20"/>
              </w:rPr>
              <w:t>582</w:t>
            </w: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231F20"/>
              </w:rPr>
              <w:t>582</w:t>
            </w:r>
          </w:p>
        </w:tc>
      </w:tr>
      <w:tr>
        <w:trPr>
          <w:trHeight w:val="121"/>
        </w:trPr>
        <w:tc>
          <w:tcPr>
            <w:tcW w:w="3320" w:type="dxa"/>
            <w:vAlign w:val="bottom"/>
            <w:tcBorders>
              <w:bottom w:val="single" w:sz="8" w:color="CCEEFF"/>
            </w:tcBorders>
          </w:tcPr>
          <w:p>
            <w:pPr>
              <w:ind w:left="20"/>
              <w:spacing w:after="0" w:line="122" w:lineRule="exact"/>
              <w:rPr>
                <w:sz w:val="20"/>
                <w:szCs w:val="20"/>
                <w:color w:val="auto"/>
              </w:rPr>
            </w:pPr>
            <w:r>
              <w:rPr>
                <w:rFonts w:ascii="Arial" w:cs="Arial" w:eastAsia="Arial" w:hAnsi="Arial"/>
                <w:sz w:val="11"/>
                <w:szCs w:val="11"/>
                <w:color w:val="auto"/>
              </w:rPr>
              <w:t>Net loss</w:t>
            </w:r>
          </w:p>
        </w:tc>
        <w:tc>
          <w:tcPr>
            <w:tcW w:w="700" w:type="dxa"/>
            <w:vAlign w:val="bottom"/>
            <w:tcBorders>
              <w:bottom w:val="single" w:sz="8" w:color="auto"/>
            </w:tcBorders>
          </w:tcPr>
          <w:p>
            <w:pPr>
              <w:jc w:val="right"/>
              <w:ind w:right="86"/>
              <w:spacing w:after="0" w:line="122" w:lineRule="exact"/>
              <w:rPr>
                <w:sz w:val="20"/>
                <w:szCs w:val="20"/>
                <w:color w:val="auto"/>
              </w:rPr>
            </w:pPr>
            <w:r>
              <w:rPr>
                <w:rFonts w:ascii="Arial" w:cs="Arial" w:eastAsia="Arial" w:hAnsi="Arial"/>
                <w:sz w:val="11"/>
                <w:szCs w:val="11"/>
                <w:color w:val="231F20"/>
              </w:rPr>
              <w:t>—</w:t>
            </w: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jc w:val="right"/>
              <w:ind w:right="180"/>
              <w:spacing w:after="0" w:line="122" w:lineRule="exact"/>
              <w:rPr>
                <w:sz w:val="20"/>
                <w:szCs w:val="20"/>
                <w:color w:val="auto"/>
              </w:rPr>
            </w:pPr>
            <w:r>
              <w:rPr>
                <w:rFonts w:ascii="Arial" w:cs="Arial" w:eastAsia="Arial" w:hAnsi="Arial"/>
                <w:sz w:val="11"/>
                <w:szCs w:val="11"/>
                <w:color w:val="231F20"/>
              </w:rPr>
              <w:t>—</w:t>
            </w:r>
          </w:p>
        </w:tc>
        <w:tc>
          <w:tcPr>
            <w:tcW w:w="680" w:type="dxa"/>
            <w:vAlign w:val="bottom"/>
            <w:tcBorders>
              <w:bottom w:val="single" w:sz="8" w:color="auto"/>
            </w:tcBorders>
          </w:tcPr>
          <w:p>
            <w:pPr>
              <w:jc w:val="right"/>
              <w:ind w:right="66"/>
              <w:spacing w:after="0" w:line="122" w:lineRule="exact"/>
              <w:rPr>
                <w:sz w:val="20"/>
                <w:szCs w:val="20"/>
                <w:color w:val="auto"/>
              </w:rPr>
            </w:pPr>
            <w:r>
              <w:rPr>
                <w:rFonts w:ascii="Arial" w:cs="Arial" w:eastAsia="Arial" w:hAnsi="Arial"/>
                <w:sz w:val="11"/>
                <w:szCs w:val="11"/>
                <w:color w:val="231F20"/>
              </w:rPr>
              <w:t>—</w:t>
            </w: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ind w:left="420"/>
              <w:spacing w:after="0" w:line="122" w:lineRule="exact"/>
              <w:rPr>
                <w:sz w:val="20"/>
                <w:szCs w:val="20"/>
                <w:color w:val="auto"/>
              </w:rPr>
            </w:pPr>
            <w:r>
              <w:rPr>
                <w:rFonts w:ascii="Arial" w:cs="Arial" w:eastAsia="Arial" w:hAnsi="Arial"/>
                <w:sz w:val="11"/>
                <w:szCs w:val="11"/>
                <w:color w:val="231F20"/>
              </w:rPr>
              <w:t>—</w:t>
            </w:r>
          </w:p>
        </w:tc>
        <w:tc>
          <w:tcPr>
            <w:tcW w:w="2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46"/>
              <w:spacing w:after="0" w:line="122" w:lineRule="exact"/>
              <w:rPr>
                <w:sz w:val="20"/>
                <w:szCs w:val="20"/>
                <w:color w:val="auto"/>
              </w:rPr>
            </w:pPr>
            <w:r>
              <w:rPr>
                <w:rFonts w:ascii="Arial" w:cs="Arial" w:eastAsia="Arial" w:hAnsi="Arial"/>
                <w:sz w:val="11"/>
                <w:szCs w:val="11"/>
                <w:color w:val="231F20"/>
              </w:rPr>
              <w:t>—</w:t>
            </w: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6"/>
              <w:spacing w:after="0" w:line="122" w:lineRule="exact"/>
              <w:rPr>
                <w:sz w:val="20"/>
                <w:szCs w:val="20"/>
                <w:color w:val="auto"/>
              </w:rPr>
            </w:pPr>
            <w:r>
              <w:rPr>
                <w:rFonts w:ascii="Arial" w:cs="Arial" w:eastAsia="Arial" w:hAnsi="Arial"/>
                <w:sz w:val="11"/>
                <w:szCs w:val="11"/>
                <w:color w:val="231F20"/>
              </w:rPr>
              <w:t>(7,844)</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231F20"/>
              </w:rPr>
              <w:t>(7,844)</w:t>
            </w:r>
          </w:p>
        </w:tc>
      </w:tr>
      <w:tr>
        <w:trPr>
          <w:trHeight w:val="115"/>
        </w:trPr>
        <w:tc>
          <w:tcPr>
            <w:tcW w:w="3320" w:type="dxa"/>
            <w:vAlign w:val="bottom"/>
            <w:tcBorders>
              <w:bottom w:val="single" w:sz="8" w:color="CCEEFF"/>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Balances at September 30, 2020</w:t>
            </w:r>
          </w:p>
        </w:tc>
        <w:tc>
          <w:tcPr>
            <w:tcW w:w="700" w:type="dxa"/>
            <w:vAlign w:val="bottom"/>
            <w:tcBorders>
              <w:bottom w:val="single" w:sz="8" w:color="auto"/>
            </w:tcBorders>
            <w:shd w:val="clear" w:color="auto" w:fill="CCEEFF"/>
          </w:tcPr>
          <w:p>
            <w:pPr>
              <w:jc w:val="right"/>
              <w:ind w:right="86"/>
              <w:spacing w:after="0" w:line="115" w:lineRule="exact"/>
              <w:rPr>
                <w:sz w:val="20"/>
                <w:szCs w:val="20"/>
                <w:color w:val="auto"/>
              </w:rPr>
            </w:pPr>
            <w:r>
              <w:rPr>
                <w:rFonts w:ascii="Arial" w:cs="Arial" w:eastAsia="Arial" w:hAnsi="Arial"/>
                <w:sz w:val="11"/>
                <w:szCs w:val="11"/>
                <w:color w:val="auto"/>
                <w:w w:val="98"/>
              </w:rPr>
              <w:t>23,765,075</w:t>
            </w:r>
          </w:p>
        </w:tc>
        <w:tc>
          <w:tcPr>
            <w:tcW w:w="1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148,373</w:t>
            </w:r>
          </w:p>
        </w:tc>
        <w:tc>
          <w:tcPr>
            <w:tcW w:w="14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ind w:right="66"/>
              <w:spacing w:after="0" w:line="115" w:lineRule="exact"/>
              <w:rPr>
                <w:sz w:val="20"/>
                <w:szCs w:val="20"/>
                <w:color w:val="auto"/>
              </w:rPr>
            </w:pPr>
            <w:r>
              <w:rPr>
                <w:rFonts w:ascii="Arial" w:cs="Arial" w:eastAsia="Arial" w:hAnsi="Arial"/>
                <w:sz w:val="11"/>
                <w:szCs w:val="11"/>
                <w:color w:val="auto"/>
              </w:rPr>
              <w:t>2,859,272</w:t>
            </w:r>
          </w:p>
        </w:tc>
        <w:tc>
          <w:tcPr>
            <w:tcW w:w="2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CCEEFF"/>
          </w:tcPr>
          <w:p>
            <w:pPr>
              <w:ind w:left="420"/>
              <w:spacing w:after="0" w:line="115" w:lineRule="exact"/>
              <w:rPr>
                <w:sz w:val="20"/>
                <w:szCs w:val="20"/>
                <w:color w:val="auto"/>
              </w:rPr>
            </w:pPr>
            <w:r>
              <w:rPr>
                <w:rFonts w:ascii="Arial" w:cs="Arial" w:eastAsia="Arial" w:hAnsi="Arial"/>
                <w:sz w:val="11"/>
                <w:szCs w:val="11"/>
                <w:color w:val="auto"/>
              </w:rPr>
              <w:t>—</w:t>
            </w:r>
          </w:p>
        </w:tc>
        <w:tc>
          <w:tcPr>
            <w:tcW w:w="2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shd w:val="clear" w:color="auto" w:fill="CCEEFF"/>
          </w:tcPr>
          <w:p>
            <w:pPr>
              <w:jc w:val="right"/>
              <w:ind w:right="46"/>
              <w:spacing w:after="0" w:line="115" w:lineRule="exact"/>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shd w:val="clear" w:color="auto" w:fill="CCEEFF"/>
          </w:tcPr>
          <w:p>
            <w:pPr>
              <w:jc w:val="right"/>
              <w:ind w:right="26"/>
              <w:spacing w:after="0" w:line="115" w:lineRule="exact"/>
              <w:rPr>
                <w:sz w:val="20"/>
                <w:szCs w:val="20"/>
                <w:color w:val="auto"/>
              </w:rPr>
            </w:pPr>
            <w:r>
              <w:rPr>
                <w:rFonts w:ascii="Arial" w:cs="Arial" w:eastAsia="Arial" w:hAnsi="Arial"/>
                <w:sz w:val="11"/>
                <w:szCs w:val="11"/>
                <w:color w:val="auto"/>
              </w:rPr>
              <w:t>(22,963)</w:t>
            </w:r>
          </w:p>
        </w:tc>
        <w:tc>
          <w:tcPr>
            <w:tcW w:w="2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(22,963)</w:t>
            </w:r>
          </w:p>
        </w:tc>
      </w:tr>
      <w:tr>
        <w:trPr>
          <w:trHeight w:val="20"/>
        </w:trPr>
        <w:tc>
          <w:tcPr>
            <w:tcW w:w="3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154305</wp:posOffset>
            </wp:positionV>
            <wp:extent cx="56489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17145"/>
                    </a:xfrm>
                    <a:prstGeom prst="rect">
                      <a:avLst/>
                    </a:prstGeom>
                    <a:noFill/>
                  </pic:spPr>
                </pic:pic>
              </a:graphicData>
            </a:graphic>
          </wp:anchor>
        </w:drawing>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3320" w:type="dxa"/>
            <w:vAlign w:val="bottom"/>
          </w:tcPr>
          <w:p>
            <w:pPr>
              <w:spacing w:after="0"/>
              <w:rPr>
                <w:sz w:val="10"/>
                <w:szCs w:val="10"/>
                <w:color w:val="auto"/>
              </w:rPr>
            </w:pPr>
          </w:p>
        </w:tc>
        <w:tc>
          <w:tcPr>
            <w:tcW w:w="1580" w:type="dxa"/>
            <w:vAlign w:val="bottom"/>
            <w:gridSpan w:val="4"/>
          </w:tcPr>
          <w:p>
            <w:pPr>
              <w:jc w:val="right"/>
              <w:ind w:right="560"/>
              <w:spacing w:after="0"/>
              <w:rPr>
                <w:sz w:val="20"/>
                <w:szCs w:val="20"/>
                <w:color w:val="auto"/>
              </w:rPr>
            </w:pPr>
            <w:r>
              <w:rPr>
                <w:rFonts w:ascii="Arial" w:cs="Arial" w:eastAsia="Arial" w:hAnsi="Arial"/>
                <w:sz w:val="11"/>
                <w:szCs w:val="11"/>
                <w:b w:val="1"/>
                <w:bCs w:val="1"/>
                <w:color w:val="auto"/>
              </w:rPr>
              <w:t>Convertible</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20" w:type="dxa"/>
            <w:vAlign w:val="bottom"/>
            <w:gridSpan w:val="2"/>
          </w:tcPr>
          <w:p>
            <w:pPr>
              <w:jc w:val="right"/>
              <w:ind w:right="106"/>
              <w:spacing w:after="0"/>
              <w:rPr>
                <w:sz w:val="20"/>
                <w:szCs w:val="20"/>
                <w:color w:val="auto"/>
              </w:rPr>
            </w:pPr>
            <w:r>
              <w:rPr>
                <w:rFonts w:ascii="Arial" w:cs="Arial" w:eastAsia="Arial" w:hAnsi="Arial"/>
                <w:sz w:val="11"/>
                <w:szCs w:val="11"/>
                <w:b w:val="1"/>
                <w:bCs w:val="1"/>
                <w:color w:val="auto"/>
              </w:rPr>
              <w:t>Additional</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jc w:val="center"/>
              <w:ind w:right="86"/>
              <w:spacing w:after="0"/>
              <w:rPr>
                <w:sz w:val="20"/>
                <w:szCs w:val="20"/>
                <w:color w:val="auto"/>
              </w:rPr>
            </w:pPr>
            <w:r>
              <w:rPr>
                <w:rFonts w:ascii="Arial" w:cs="Arial" w:eastAsia="Arial" w:hAnsi="Arial"/>
                <w:sz w:val="11"/>
                <w:szCs w:val="11"/>
                <w:b w:val="1"/>
                <w:bCs w:val="1"/>
                <w:color w:val="auto"/>
                <w:w w:val="91"/>
              </w:rPr>
              <w:t>Total</w:t>
            </w:r>
          </w:p>
        </w:tc>
      </w:tr>
      <w:tr>
        <w:trPr>
          <w:trHeight w:val="137"/>
        </w:trPr>
        <w:tc>
          <w:tcPr>
            <w:tcW w:w="3320" w:type="dxa"/>
            <w:vAlign w:val="bottom"/>
          </w:tcPr>
          <w:p>
            <w:pPr>
              <w:spacing w:after="0"/>
              <w:rPr>
                <w:sz w:val="11"/>
                <w:szCs w:val="11"/>
                <w:color w:val="auto"/>
              </w:rPr>
            </w:pPr>
          </w:p>
        </w:tc>
        <w:tc>
          <w:tcPr>
            <w:tcW w:w="1580" w:type="dxa"/>
            <w:vAlign w:val="bottom"/>
            <w:gridSpan w:val="4"/>
          </w:tcPr>
          <w:p>
            <w:pPr>
              <w:jc w:val="right"/>
              <w:ind w:right="460"/>
              <w:spacing w:after="0"/>
              <w:rPr>
                <w:sz w:val="20"/>
                <w:szCs w:val="20"/>
                <w:color w:val="auto"/>
              </w:rPr>
            </w:pPr>
            <w:r>
              <w:rPr>
                <w:rFonts w:ascii="Arial" w:cs="Arial" w:eastAsia="Arial" w:hAnsi="Arial"/>
                <w:sz w:val="11"/>
                <w:szCs w:val="11"/>
                <w:b w:val="1"/>
                <w:bCs w:val="1"/>
                <w:color w:val="auto"/>
              </w:rPr>
              <w:t>Preferred Stock</w:t>
            </w:r>
          </w:p>
        </w:tc>
        <w:tc>
          <w:tcPr>
            <w:tcW w:w="1440" w:type="dxa"/>
            <w:vAlign w:val="bottom"/>
            <w:gridSpan w:val="3"/>
          </w:tcPr>
          <w:p>
            <w:pPr>
              <w:ind w:left="340"/>
              <w:spacing w:after="0"/>
              <w:rPr>
                <w:sz w:val="20"/>
                <w:szCs w:val="20"/>
                <w:color w:val="auto"/>
              </w:rPr>
            </w:pPr>
            <w:r>
              <w:rPr>
                <w:rFonts w:ascii="Arial" w:cs="Arial" w:eastAsia="Arial" w:hAnsi="Arial"/>
                <w:sz w:val="11"/>
                <w:szCs w:val="11"/>
                <w:b w:val="1"/>
                <w:bCs w:val="1"/>
                <w:color w:val="auto"/>
              </w:rPr>
              <w:t>Common Stock</w:t>
            </w:r>
          </w:p>
        </w:tc>
        <w:tc>
          <w:tcPr>
            <w:tcW w:w="280" w:type="dxa"/>
            <w:vAlign w:val="bottom"/>
          </w:tcPr>
          <w:p>
            <w:pPr>
              <w:spacing w:after="0"/>
              <w:rPr>
                <w:sz w:val="11"/>
                <w:szCs w:val="11"/>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rPr>
              <w:t>Paid-in</w:t>
            </w:r>
          </w:p>
        </w:tc>
        <w:tc>
          <w:tcPr>
            <w:tcW w:w="840" w:type="dxa"/>
            <w:vAlign w:val="bottom"/>
            <w:gridSpan w:val="2"/>
          </w:tcPr>
          <w:p>
            <w:pPr>
              <w:jc w:val="right"/>
              <w:ind w:right="26"/>
              <w:spacing w:after="0"/>
              <w:rPr>
                <w:sz w:val="20"/>
                <w:szCs w:val="20"/>
                <w:color w:val="auto"/>
              </w:rPr>
            </w:pPr>
            <w:r>
              <w:rPr>
                <w:rFonts w:ascii="Arial" w:cs="Arial" w:eastAsia="Arial" w:hAnsi="Arial"/>
                <w:sz w:val="11"/>
                <w:szCs w:val="11"/>
                <w:b w:val="1"/>
                <w:bCs w:val="1"/>
                <w:color w:val="auto"/>
              </w:rPr>
              <w:t>Accumulated</w:t>
            </w:r>
          </w:p>
        </w:tc>
        <w:tc>
          <w:tcPr>
            <w:tcW w:w="800" w:type="dxa"/>
            <w:vAlign w:val="bottom"/>
            <w:gridSpan w:val="2"/>
          </w:tcPr>
          <w:p>
            <w:pPr>
              <w:jc w:val="center"/>
              <w:ind w:left="26"/>
              <w:spacing w:after="0"/>
              <w:rPr>
                <w:sz w:val="20"/>
                <w:szCs w:val="20"/>
                <w:color w:val="auto"/>
              </w:rPr>
            </w:pPr>
            <w:r>
              <w:rPr>
                <w:rFonts w:ascii="Arial" w:cs="Arial" w:eastAsia="Arial" w:hAnsi="Arial"/>
                <w:sz w:val="11"/>
                <w:szCs w:val="11"/>
                <w:b w:val="1"/>
                <w:bCs w:val="1"/>
                <w:color w:val="auto"/>
                <w:w w:val="99"/>
              </w:rPr>
              <w:t>Stockholders'</w:t>
            </w:r>
          </w:p>
        </w:tc>
      </w:tr>
      <w:tr>
        <w:trPr>
          <w:trHeight w:val="115"/>
        </w:trPr>
        <w:tc>
          <w:tcPr>
            <w:tcW w:w="332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166"/>
              <w:spacing w:after="0" w:line="115" w:lineRule="exact"/>
              <w:rPr>
                <w:sz w:val="20"/>
                <w:szCs w:val="20"/>
                <w:color w:val="auto"/>
              </w:rPr>
            </w:pPr>
            <w:r>
              <w:rPr>
                <w:rFonts w:ascii="Arial" w:cs="Arial" w:eastAsia="Arial" w:hAnsi="Arial"/>
                <w:sz w:val="11"/>
                <w:szCs w:val="11"/>
                <w:b w:val="1"/>
                <w:bCs w:val="1"/>
                <w:color w:val="231F20"/>
              </w:rPr>
              <w:t>Shares</w:t>
            </w:r>
          </w:p>
        </w:tc>
        <w:tc>
          <w:tcPr>
            <w:tcW w:w="18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231F20"/>
                <w:w w:val="96"/>
              </w:rPr>
              <w:t>Amount</w:t>
            </w:r>
          </w:p>
        </w:tc>
        <w:tc>
          <w:tcPr>
            <w:tcW w:w="14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146"/>
              <w:spacing w:after="0" w:line="115" w:lineRule="exact"/>
              <w:rPr>
                <w:sz w:val="20"/>
                <w:szCs w:val="20"/>
                <w:color w:val="auto"/>
              </w:rPr>
            </w:pPr>
            <w:r>
              <w:rPr>
                <w:rFonts w:ascii="Arial" w:cs="Arial" w:eastAsia="Arial" w:hAnsi="Arial"/>
                <w:sz w:val="11"/>
                <w:szCs w:val="11"/>
                <w:b w:val="1"/>
                <w:bCs w:val="1"/>
                <w:color w:val="231F20"/>
              </w:rPr>
              <w:t>Shares</w:t>
            </w:r>
          </w:p>
        </w:tc>
        <w:tc>
          <w:tcPr>
            <w:tcW w:w="20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ind w:left="20"/>
              <w:spacing w:after="0" w:line="115" w:lineRule="exact"/>
              <w:rPr>
                <w:sz w:val="20"/>
                <w:szCs w:val="20"/>
                <w:color w:val="auto"/>
              </w:rPr>
            </w:pPr>
            <w:r>
              <w:rPr>
                <w:rFonts w:ascii="Arial" w:cs="Arial" w:eastAsia="Arial" w:hAnsi="Arial"/>
                <w:sz w:val="11"/>
                <w:szCs w:val="11"/>
                <w:b w:val="1"/>
                <w:bCs w:val="1"/>
                <w:color w:val="231F20"/>
              </w:rPr>
              <w:t>Amount</w:t>
            </w:r>
          </w:p>
        </w:tc>
        <w:tc>
          <w:tcPr>
            <w:tcW w:w="2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231F20"/>
              </w:rPr>
              <w:t>Capital</w:t>
            </w: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231F20"/>
              </w:rPr>
              <w:t>Deficit</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86"/>
              <w:spacing w:after="0" w:line="115" w:lineRule="exact"/>
              <w:rPr>
                <w:sz w:val="20"/>
                <w:szCs w:val="20"/>
                <w:color w:val="auto"/>
              </w:rPr>
            </w:pPr>
            <w:r>
              <w:rPr>
                <w:rFonts w:ascii="Arial" w:cs="Arial" w:eastAsia="Arial" w:hAnsi="Arial"/>
                <w:sz w:val="11"/>
                <w:szCs w:val="11"/>
                <w:b w:val="1"/>
                <w:bCs w:val="1"/>
                <w:color w:val="231F20"/>
                <w:w w:val="95"/>
              </w:rPr>
              <w:t>Deficit</w:t>
            </w:r>
          </w:p>
        </w:tc>
      </w:tr>
      <w:tr>
        <w:trPr>
          <w:trHeight w:val="115"/>
        </w:trPr>
        <w:tc>
          <w:tcPr>
            <w:tcW w:w="3320" w:type="dxa"/>
            <w:vAlign w:val="bottom"/>
            <w:shd w:val="clear" w:color="auto" w:fill="CCEEFF"/>
          </w:tcPr>
          <w:p>
            <w:pPr>
              <w:ind w:left="20"/>
              <w:spacing w:after="0" w:line="115" w:lineRule="exact"/>
              <w:rPr>
                <w:sz w:val="20"/>
                <w:szCs w:val="20"/>
                <w:color w:val="auto"/>
              </w:rPr>
            </w:pPr>
            <w:r>
              <w:rPr>
                <w:rFonts w:ascii="Arial" w:cs="Arial" w:eastAsia="Arial" w:hAnsi="Arial"/>
                <w:sz w:val="11"/>
                <w:szCs w:val="11"/>
                <w:color w:val="231F20"/>
              </w:rPr>
              <w:t>Balances at December 31, 2019</w:t>
            </w:r>
          </w:p>
        </w:tc>
        <w:tc>
          <w:tcPr>
            <w:tcW w:w="700" w:type="dxa"/>
            <w:vAlign w:val="bottom"/>
            <w:shd w:val="clear" w:color="auto" w:fill="CCEEFF"/>
          </w:tcPr>
          <w:p>
            <w:pPr>
              <w:jc w:val="right"/>
              <w:ind w:right="86"/>
              <w:spacing w:after="0" w:line="115" w:lineRule="exact"/>
              <w:rPr>
                <w:sz w:val="20"/>
                <w:szCs w:val="20"/>
                <w:color w:val="auto"/>
              </w:rPr>
            </w:pPr>
            <w:r>
              <w:rPr>
                <w:rFonts w:ascii="Arial" w:cs="Arial" w:eastAsia="Arial" w:hAnsi="Arial"/>
                <w:sz w:val="11"/>
                <w:szCs w:val="11"/>
                <w:color w:val="231F20"/>
              </w:rPr>
              <w:t>4,628,215</w:t>
            </w:r>
          </w:p>
        </w:tc>
        <w:tc>
          <w:tcPr>
            <w:tcW w:w="1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5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9,348</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66"/>
              <w:spacing w:after="0" w:line="115" w:lineRule="exact"/>
              <w:rPr>
                <w:sz w:val="20"/>
                <w:szCs w:val="20"/>
                <w:color w:val="auto"/>
              </w:rPr>
            </w:pPr>
            <w:r>
              <w:rPr>
                <w:rFonts w:ascii="Arial" w:cs="Arial" w:eastAsia="Arial" w:hAnsi="Arial"/>
                <w:sz w:val="11"/>
                <w:szCs w:val="11"/>
                <w:color w:val="231F20"/>
              </w:rPr>
              <w:t>2,593,316</w:t>
            </w:r>
          </w:p>
        </w:tc>
        <w:tc>
          <w:tcPr>
            <w:tcW w:w="2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560" w:type="dxa"/>
            <w:vAlign w:val="bottom"/>
            <w:shd w:val="clear" w:color="auto" w:fill="CCEEFF"/>
          </w:tcPr>
          <w:p>
            <w:pPr>
              <w:ind w:left="420"/>
              <w:spacing w:after="0" w:line="115" w:lineRule="exact"/>
              <w:rPr>
                <w:sz w:val="20"/>
                <w:szCs w:val="20"/>
                <w:color w:val="auto"/>
              </w:rPr>
            </w:pPr>
            <w:r>
              <w:rPr>
                <w:rFonts w:ascii="Arial" w:cs="Arial" w:eastAsia="Arial" w:hAnsi="Arial"/>
                <w:sz w:val="11"/>
                <w:szCs w:val="11"/>
                <w:color w:val="231F20"/>
              </w:rPr>
              <w:t>—</w:t>
            </w:r>
          </w:p>
        </w:tc>
        <w:tc>
          <w:tcPr>
            <w:tcW w:w="2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640" w:type="dxa"/>
            <w:vAlign w:val="bottom"/>
            <w:shd w:val="clear" w:color="auto" w:fill="CCEEFF"/>
          </w:tcPr>
          <w:p>
            <w:pPr>
              <w:jc w:val="right"/>
              <w:ind w:right="46"/>
              <w:spacing w:after="0" w:line="115" w:lineRule="exact"/>
              <w:rPr>
                <w:sz w:val="20"/>
                <w:szCs w:val="20"/>
                <w:color w:val="auto"/>
              </w:rPr>
            </w:pPr>
            <w:r>
              <w:rPr>
                <w:rFonts w:ascii="Arial" w:cs="Arial" w:eastAsia="Arial" w:hAnsi="Arial"/>
                <w:sz w:val="11"/>
                <w:szCs w:val="11"/>
                <w:color w:val="231F20"/>
              </w:rPr>
              <w:t>168</w:t>
            </w:r>
          </w:p>
        </w:tc>
        <w:tc>
          <w:tcPr>
            <w:tcW w:w="2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640" w:type="dxa"/>
            <w:vAlign w:val="bottom"/>
            <w:shd w:val="clear" w:color="auto" w:fill="CCEEFF"/>
          </w:tcPr>
          <w:p>
            <w:pPr>
              <w:jc w:val="right"/>
              <w:ind w:right="26"/>
              <w:spacing w:after="0" w:line="115" w:lineRule="exact"/>
              <w:rPr>
                <w:sz w:val="20"/>
                <w:szCs w:val="20"/>
                <w:color w:val="auto"/>
              </w:rPr>
            </w:pPr>
            <w:r>
              <w:rPr>
                <w:rFonts w:ascii="Arial" w:cs="Arial" w:eastAsia="Arial" w:hAnsi="Arial"/>
                <w:sz w:val="11"/>
                <w:szCs w:val="11"/>
                <w:color w:val="231F20"/>
              </w:rPr>
              <w:t>(10,762)</w:t>
            </w:r>
          </w:p>
        </w:tc>
        <w:tc>
          <w:tcPr>
            <w:tcW w:w="2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5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(10,594)</w:t>
            </w:r>
          </w:p>
        </w:tc>
      </w:tr>
      <w:tr>
        <w:trPr>
          <w:trHeight w:val="118"/>
        </w:trPr>
        <w:tc>
          <w:tcPr>
            <w:tcW w:w="3320" w:type="dxa"/>
            <w:vAlign w:val="bottom"/>
          </w:tcPr>
          <w:p>
            <w:pPr>
              <w:ind w:left="20"/>
              <w:spacing w:after="0" w:line="119" w:lineRule="exact"/>
              <w:rPr>
                <w:sz w:val="20"/>
                <w:szCs w:val="20"/>
                <w:color w:val="auto"/>
              </w:rPr>
            </w:pPr>
            <w:r>
              <w:rPr>
                <w:rFonts w:ascii="Arial" w:cs="Arial" w:eastAsia="Arial" w:hAnsi="Arial"/>
                <w:sz w:val="11"/>
                <w:szCs w:val="11"/>
                <w:color w:val="auto"/>
              </w:rPr>
              <w:t>Beneficial conversion option recognized upon issuance of 2020</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25"/>
        </w:trPr>
        <w:tc>
          <w:tcPr>
            <w:tcW w:w="3320" w:type="dxa"/>
            <w:vAlign w:val="bottom"/>
          </w:tcPr>
          <w:p>
            <w:pPr>
              <w:ind w:left="20"/>
              <w:spacing w:after="0" w:line="125" w:lineRule="exact"/>
              <w:rPr>
                <w:sz w:val="20"/>
                <w:szCs w:val="20"/>
                <w:color w:val="auto"/>
              </w:rPr>
            </w:pPr>
            <w:r>
              <w:rPr>
                <w:rFonts w:ascii="Arial" w:cs="Arial" w:eastAsia="Arial" w:hAnsi="Arial"/>
                <w:sz w:val="11"/>
                <w:szCs w:val="11"/>
                <w:color w:val="auto"/>
              </w:rPr>
              <w:t>convertible notes</w:t>
            </w:r>
          </w:p>
        </w:tc>
        <w:tc>
          <w:tcPr>
            <w:tcW w:w="700" w:type="dxa"/>
            <w:vAlign w:val="bottom"/>
          </w:tcPr>
          <w:p>
            <w:pPr>
              <w:jc w:val="right"/>
              <w:ind w:right="86"/>
              <w:spacing w:after="0" w:line="12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00" w:type="dxa"/>
            <w:vAlign w:val="bottom"/>
            <w:gridSpan w:val="2"/>
          </w:tcPr>
          <w:p>
            <w:pPr>
              <w:jc w:val="right"/>
              <w:ind w:right="180"/>
              <w:spacing w:after="0" w:line="125"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560" w:type="dxa"/>
            <w:vAlign w:val="bottom"/>
          </w:tcPr>
          <w:p>
            <w:pPr>
              <w:ind w:left="420"/>
              <w:spacing w:after="0" w:line="125"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640" w:type="dxa"/>
            <w:vAlign w:val="bottom"/>
          </w:tcPr>
          <w:p>
            <w:pPr>
              <w:jc w:val="right"/>
              <w:ind w:right="46"/>
              <w:spacing w:after="0" w:line="125" w:lineRule="exact"/>
              <w:rPr>
                <w:sz w:val="20"/>
                <w:szCs w:val="20"/>
                <w:color w:val="auto"/>
              </w:rPr>
            </w:pPr>
            <w:r>
              <w:rPr>
                <w:rFonts w:ascii="Arial" w:cs="Arial" w:eastAsia="Arial" w:hAnsi="Arial"/>
                <w:sz w:val="11"/>
                <w:szCs w:val="11"/>
                <w:color w:val="auto"/>
              </w:rPr>
              <w:t>1,054</w:t>
            </w:r>
          </w:p>
        </w:tc>
        <w:tc>
          <w:tcPr>
            <w:tcW w:w="200" w:type="dxa"/>
            <w:vAlign w:val="bottom"/>
          </w:tcPr>
          <w:p>
            <w:pPr>
              <w:spacing w:after="0"/>
              <w:rPr>
                <w:sz w:val="10"/>
                <w:szCs w:val="10"/>
                <w:color w:val="auto"/>
              </w:rPr>
            </w:pPr>
          </w:p>
        </w:tc>
        <w:tc>
          <w:tcPr>
            <w:tcW w:w="640" w:type="dxa"/>
            <w:vAlign w:val="bottom"/>
          </w:tcPr>
          <w:p>
            <w:pPr>
              <w:jc w:val="right"/>
              <w:ind w:right="46"/>
              <w:spacing w:after="0" w:line="12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1"/>
                <w:szCs w:val="11"/>
                <w:color w:val="231F20"/>
              </w:rPr>
              <w:t>1,054</w:t>
            </w:r>
          </w:p>
        </w:tc>
      </w:tr>
      <w:tr>
        <w:trPr>
          <w:trHeight w:val="118"/>
        </w:trPr>
        <w:tc>
          <w:tcPr>
            <w:tcW w:w="332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Beneficial conversion option recognized upon repurchase of 2020</w:t>
            </w: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25"/>
        </w:trPr>
        <w:tc>
          <w:tcPr>
            <w:tcW w:w="3320" w:type="dxa"/>
            <w:vAlign w:val="bottom"/>
            <w:shd w:val="clear" w:color="auto" w:fill="CCEEFF"/>
          </w:tcPr>
          <w:p>
            <w:pPr>
              <w:ind w:left="20"/>
              <w:spacing w:after="0" w:line="125" w:lineRule="exact"/>
              <w:rPr>
                <w:sz w:val="20"/>
                <w:szCs w:val="20"/>
                <w:color w:val="auto"/>
              </w:rPr>
            </w:pPr>
            <w:r>
              <w:rPr>
                <w:rFonts w:ascii="Arial" w:cs="Arial" w:eastAsia="Arial" w:hAnsi="Arial"/>
                <w:sz w:val="11"/>
                <w:szCs w:val="11"/>
                <w:color w:val="auto"/>
              </w:rPr>
              <w:t>convertible notes on settlement date</w:t>
            </w:r>
          </w:p>
        </w:tc>
        <w:tc>
          <w:tcPr>
            <w:tcW w:w="700" w:type="dxa"/>
            <w:vAlign w:val="bottom"/>
            <w:shd w:val="clear" w:color="auto" w:fill="CCEEFF"/>
          </w:tcPr>
          <w:p>
            <w:pPr>
              <w:jc w:val="right"/>
              <w:ind w:right="86"/>
              <w:spacing w:after="0" w:line="125"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line="125"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66"/>
              <w:spacing w:after="0" w:line="125"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ind w:left="420"/>
              <w:spacing w:after="0" w:line="125" w:lineRule="exact"/>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
              <w:spacing w:after="0" w:line="125" w:lineRule="exact"/>
              <w:rPr>
                <w:sz w:val="20"/>
                <w:szCs w:val="20"/>
                <w:color w:val="auto"/>
              </w:rPr>
            </w:pPr>
            <w:r>
              <w:rPr>
                <w:rFonts w:ascii="Arial" w:cs="Arial" w:eastAsia="Arial" w:hAnsi="Arial"/>
                <w:sz w:val="11"/>
                <w:szCs w:val="11"/>
                <w:color w:val="auto"/>
              </w:rPr>
              <w:t>(2,568)</w:t>
            </w: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46"/>
              <w:spacing w:after="0" w:line="125"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231F20"/>
              </w:rPr>
              <w:t>(2,568)</w:t>
            </w:r>
          </w:p>
        </w:tc>
      </w:tr>
      <w:tr>
        <w:trPr>
          <w:trHeight w:val="122"/>
        </w:trPr>
        <w:tc>
          <w:tcPr>
            <w:tcW w:w="3320" w:type="dxa"/>
            <w:vAlign w:val="bottom"/>
          </w:tcPr>
          <w:p>
            <w:pPr>
              <w:ind w:left="20"/>
              <w:spacing w:after="0" w:line="122" w:lineRule="exact"/>
              <w:rPr>
                <w:sz w:val="20"/>
                <w:szCs w:val="20"/>
                <w:color w:val="auto"/>
              </w:rPr>
            </w:pPr>
            <w:r>
              <w:rPr>
                <w:rFonts w:ascii="Arial" w:cs="Arial" w:eastAsia="Arial" w:hAnsi="Arial"/>
                <w:sz w:val="11"/>
                <w:szCs w:val="11"/>
                <w:color w:val="auto"/>
              </w:rPr>
              <w:t>Extinguishment of 2020 convertible notes</w:t>
            </w:r>
          </w:p>
        </w:tc>
        <w:tc>
          <w:tcPr>
            <w:tcW w:w="70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560" w:type="dxa"/>
            <w:vAlign w:val="bottom"/>
          </w:tcPr>
          <w:p>
            <w:pPr>
              <w:ind w:left="420"/>
              <w:spacing w:after="0" w:line="122"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64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2,148</w:t>
            </w:r>
          </w:p>
        </w:tc>
        <w:tc>
          <w:tcPr>
            <w:tcW w:w="200" w:type="dxa"/>
            <w:vAlign w:val="bottom"/>
          </w:tcPr>
          <w:p>
            <w:pPr>
              <w:spacing w:after="0"/>
              <w:rPr>
                <w:sz w:val="10"/>
                <w:szCs w:val="10"/>
                <w:color w:val="auto"/>
              </w:rPr>
            </w:pPr>
          </w:p>
        </w:tc>
        <w:tc>
          <w:tcPr>
            <w:tcW w:w="64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231F20"/>
              </w:rPr>
              <w:t>2,148</w:t>
            </w:r>
          </w:p>
        </w:tc>
      </w:tr>
      <w:tr>
        <w:trPr>
          <w:trHeight w:val="118"/>
        </w:trPr>
        <w:tc>
          <w:tcPr>
            <w:tcW w:w="332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Issuance of Series B convertible stock, net of issuance costs of</w:t>
            </w: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25"/>
        </w:trPr>
        <w:tc>
          <w:tcPr>
            <w:tcW w:w="3320" w:type="dxa"/>
            <w:vAlign w:val="bottom"/>
            <w:shd w:val="clear" w:color="auto" w:fill="CCEEFF"/>
          </w:tcPr>
          <w:p>
            <w:pPr>
              <w:ind w:left="20"/>
              <w:spacing w:after="0" w:line="125" w:lineRule="exact"/>
              <w:rPr>
                <w:sz w:val="20"/>
                <w:szCs w:val="20"/>
                <w:color w:val="auto"/>
              </w:rPr>
            </w:pPr>
            <w:r>
              <w:rPr>
                <w:rFonts w:ascii="Arial" w:cs="Arial" w:eastAsia="Arial" w:hAnsi="Arial"/>
                <w:sz w:val="11"/>
                <w:szCs w:val="11"/>
                <w:color w:val="auto"/>
              </w:rPr>
              <w:t>$256</w:t>
            </w:r>
          </w:p>
        </w:tc>
        <w:tc>
          <w:tcPr>
            <w:tcW w:w="700" w:type="dxa"/>
            <w:vAlign w:val="bottom"/>
            <w:shd w:val="clear" w:color="auto" w:fill="CCEEFF"/>
          </w:tcPr>
          <w:p>
            <w:pPr>
              <w:jc w:val="right"/>
              <w:ind w:right="86"/>
              <w:spacing w:after="0" w:line="125" w:lineRule="exact"/>
              <w:rPr>
                <w:sz w:val="20"/>
                <w:szCs w:val="20"/>
                <w:color w:val="auto"/>
              </w:rPr>
            </w:pPr>
            <w:r>
              <w:rPr>
                <w:rFonts w:ascii="Arial" w:cs="Arial" w:eastAsia="Arial" w:hAnsi="Arial"/>
                <w:sz w:val="11"/>
                <w:szCs w:val="11"/>
                <w:color w:val="auto"/>
                <w:w w:val="98"/>
              </w:rPr>
              <w:t>10,801,277</w:t>
            </w: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auto"/>
              </w:rPr>
              <w:t>50,637</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66"/>
              <w:spacing w:after="0" w:line="125"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ind w:left="420"/>
              <w:spacing w:after="0" w:line="125" w:lineRule="exact"/>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46"/>
              <w:spacing w:after="0" w:line="125"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46"/>
              <w:spacing w:after="0" w:line="125"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231F20"/>
              </w:rPr>
              <w:t>—</w:t>
            </w:r>
          </w:p>
        </w:tc>
      </w:tr>
      <w:tr>
        <w:trPr>
          <w:trHeight w:val="118"/>
        </w:trPr>
        <w:tc>
          <w:tcPr>
            <w:tcW w:w="3320" w:type="dxa"/>
            <w:vAlign w:val="bottom"/>
          </w:tcPr>
          <w:p>
            <w:pPr>
              <w:ind w:left="20"/>
              <w:spacing w:after="0" w:line="119" w:lineRule="exact"/>
              <w:rPr>
                <w:sz w:val="20"/>
                <w:szCs w:val="20"/>
                <w:color w:val="auto"/>
              </w:rPr>
            </w:pPr>
            <w:r>
              <w:rPr>
                <w:rFonts w:ascii="Arial" w:cs="Arial" w:eastAsia="Arial" w:hAnsi="Arial"/>
                <w:sz w:val="11"/>
                <w:szCs w:val="11"/>
                <w:color w:val="auto"/>
              </w:rPr>
              <w:t>Issuance of Series B convertible preferred stock in connection</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25"/>
        </w:trPr>
        <w:tc>
          <w:tcPr>
            <w:tcW w:w="3320" w:type="dxa"/>
            <w:vAlign w:val="bottom"/>
          </w:tcPr>
          <w:p>
            <w:pPr>
              <w:ind w:left="20"/>
              <w:spacing w:after="0" w:line="125" w:lineRule="exact"/>
              <w:rPr>
                <w:sz w:val="20"/>
                <w:szCs w:val="20"/>
                <w:color w:val="auto"/>
              </w:rPr>
            </w:pPr>
            <w:r>
              <w:rPr>
                <w:rFonts w:ascii="Arial" w:cs="Arial" w:eastAsia="Arial" w:hAnsi="Arial"/>
                <w:sz w:val="11"/>
                <w:szCs w:val="11"/>
                <w:color w:val="auto"/>
              </w:rPr>
              <w:t>with the conversion of convertible notes</w:t>
            </w:r>
          </w:p>
        </w:tc>
        <w:tc>
          <w:tcPr>
            <w:tcW w:w="700" w:type="dxa"/>
            <w:vAlign w:val="bottom"/>
          </w:tcPr>
          <w:p>
            <w:pPr>
              <w:jc w:val="right"/>
              <w:ind w:right="86"/>
              <w:spacing w:after="0" w:line="125" w:lineRule="exact"/>
              <w:rPr>
                <w:sz w:val="20"/>
                <w:szCs w:val="20"/>
                <w:color w:val="auto"/>
              </w:rPr>
            </w:pPr>
            <w:r>
              <w:rPr>
                <w:rFonts w:ascii="Arial" w:cs="Arial" w:eastAsia="Arial" w:hAnsi="Arial"/>
                <w:sz w:val="11"/>
                <w:szCs w:val="11"/>
                <w:color w:val="auto"/>
              </w:rPr>
              <w:t>638,270</w:t>
            </w:r>
          </w:p>
        </w:tc>
        <w:tc>
          <w:tcPr>
            <w:tcW w:w="18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3,007</w:t>
            </w:r>
          </w:p>
        </w:tc>
        <w:tc>
          <w:tcPr>
            <w:tcW w:w="140" w:type="dxa"/>
            <w:vAlign w:val="bottom"/>
          </w:tcPr>
          <w:p>
            <w:pPr>
              <w:spacing w:after="0"/>
              <w:rPr>
                <w:sz w:val="10"/>
                <w:szCs w:val="10"/>
                <w:color w:val="auto"/>
              </w:rPr>
            </w:pPr>
          </w:p>
        </w:tc>
        <w:tc>
          <w:tcPr>
            <w:tcW w:w="680" w:type="dxa"/>
            <w:vAlign w:val="bottom"/>
          </w:tcPr>
          <w:p>
            <w:pPr>
              <w:jc w:val="right"/>
              <w:ind w:right="66"/>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560" w:type="dxa"/>
            <w:vAlign w:val="bottom"/>
          </w:tcPr>
          <w:p>
            <w:pPr>
              <w:ind w:left="420"/>
              <w:spacing w:after="0" w:line="125"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640" w:type="dxa"/>
            <w:vAlign w:val="bottom"/>
          </w:tcPr>
          <w:p>
            <w:pPr>
              <w:jc w:val="right"/>
              <w:ind w:right="46"/>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640" w:type="dxa"/>
            <w:vAlign w:val="bottom"/>
          </w:tcPr>
          <w:p>
            <w:pPr>
              <w:jc w:val="right"/>
              <w:ind w:right="46"/>
              <w:spacing w:after="0" w:line="12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r>
      <w:tr>
        <w:trPr>
          <w:trHeight w:val="118"/>
        </w:trPr>
        <w:tc>
          <w:tcPr>
            <w:tcW w:w="332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Repurchase and retirement of Series A and Series A-1 convertible</w:t>
            </w: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25"/>
        </w:trPr>
        <w:tc>
          <w:tcPr>
            <w:tcW w:w="3320" w:type="dxa"/>
            <w:vAlign w:val="bottom"/>
            <w:shd w:val="clear" w:color="auto" w:fill="CCEEFF"/>
          </w:tcPr>
          <w:p>
            <w:pPr>
              <w:ind w:left="20"/>
              <w:spacing w:after="0" w:line="125" w:lineRule="exact"/>
              <w:rPr>
                <w:sz w:val="20"/>
                <w:szCs w:val="20"/>
                <w:color w:val="auto"/>
              </w:rPr>
            </w:pPr>
            <w:r>
              <w:rPr>
                <w:rFonts w:ascii="Arial" w:cs="Arial" w:eastAsia="Arial" w:hAnsi="Arial"/>
                <w:sz w:val="11"/>
                <w:szCs w:val="11"/>
                <w:color w:val="auto"/>
              </w:rPr>
              <w:t>preferred stock</w:t>
            </w:r>
          </w:p>
        </w:tc>
        <w:tc>
          <w:tcPr>
            <w:tcW w:w="700" w:type="dxa"/>
            <w:vAlign w:val="bottom"/>
            <w:shd w:val="clear" w:color="auto" w:fill="CCEEFF"/>
          </w:tcPr>
          <w:p>
            <w:pPr>
              <w:jc w:val="right"/>
              <w:ind w:right="46"/>
              <w:spacing w:after="0" w:line="125" w:lineRule="exact"/>
              <w:rPr>
                <w:sz w:val="20"/>
                <w:szCs w:val="20"/>
                <w:color w:val="auto"/>
              </w:rPr>
            </w:pPr>
            <w:r>
              <w:rPr>
                <w:rFonts w:ascii="Arial" w:cs="Arial" w:eastAsia="Arial" w:hAnsi="Arial"/>
                <w:sz w:val="11"/>
                <w:szCs w:val="11"/>
                <w:color w:val="auto"/>
              </w:rPr>
              <w:t>(206,821)</w:t>
            </w:r>
          </w:p>
        </w:tc>
        <w:tc>
          <w:tcPr>
            <w:tcW w:w="1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auto"/>
              </w:rPr>
              <w:t>(420)</w:t>
            </w:r>
          </w:p>
        </w:tc>
        <w:tc>
          <w:tcPr>
            <w:tcW w:w="680" w:type="dxa"/>
            <w:vAlign w:val="bottom"/>
            <w:shd w:val="clear" w:color="auto" w:fill="CCEEFF"/>
          </w:tcPr>
          <w:p>
            <w:pPr>
              <w:jc w:val="right"/>
              <w:ind w:right="66"/>
              <w:spacing w:after="0" w:line="125"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ind w:left="420"/>
              <w:spacing w:after="0" w:line="125" w:lineRule="exact"/>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
              <w:spacing w:after="0" w:line="125" w:lineRule="exact"/>
              <w:rPr>
                <w:sz w:val="20"/>
                <w:szCs w:val="20"/>
                <w:color w:val="auto"/>
              </w:rPr>
            </w:pPr>
            <w:r>
              <w:rPr>
                <w:rFonts w:ascii="Arial" w:cs="Arial" w:eastAsia="Arial" w:hAnsi="Arial"/>
                <w:sz w:val="11"/>
                <w:szCs w:val="11"/>
                <w:color w:val="auto"/>
              </w:rPr>
              <w:t>(1,658)</w:t>
            </w: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26"/>
              <w:spacing w:after="0" w:line="125" w:lineRule="exact"/>
              <w:rPr>
                <w:sz w:val="20"/>
                <w:szCs w:val="20"/>
                <w:color w:val="auto"/>
              </w:rPr>
            </w:pPr>
            <w:r>
              <w:rPr>
                <w:rFonts w:ascii="Arial" w:cs="Arial" w:eastAsia="Arial" w:hAnsi="Arial"/>
                <w:sz w:val="11"/>
                <w:szCs w:val="11"/>
                <w:color w:val="auto"/>
              </w:rPr>
              <w:t>(211)</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231F20"/>
              </w:rPr>
              <w:t>(1,869)</w:t>
            </w:r>
          </w:p>
        </w:tc>
      </w:tr>
      <w:tr>
        <w:trPr>
          <w:trHeight w:val="118"/>
        </w:trPr>
        <w:tc>
          <w:tcPr>
            <w:tcW w:w="3320" w:type="dxa"/>
            <w:vAlign w:val="bottom"/>
          </w:tcPr>
          <w:p>
            <w:pPr>
              <w:ind w:left="20"/>
              <w:spacing w:after="0" w:line="119" w:lineRule="exact"/>
              <w:rPr>
                <w:sz w:val="20"/>
                <w:szCs w:val="20"/>
                <w:color w:val="auto"/>
              </w:rPr>
            </w:pPr>
            <w:r>
              <w:rPr>
                <w:rFonts w:ascii="Arial" w:cs="Arial" w:eastAsia="Arial" w:hAnsi="Arial"/>
                <w:sz w:val="11"/>
                <w:szCs w:val="11"/>
                <w:color w:val="auto"/>
              </w:rPr>
              <w:t>Issuance of Series C convertible preferred stock, net of issuance</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25"/>
        </w:trPr>
        <w:tc>
          <w:tcPr>
            <w:tcW w:w="3320" w:type="dxa"/>
            <w:vAlign w:val="bottom"/>
          </w:tcPr>
          <w:p>
            <w:pPr>
              <w:ind w:left="20"/>
              <w:spacing w:after="0" w:line="125" w:lineRule="exact"/>
              <w:rPr>
                <w:sz w:val="20"/>
                <w:szCs w:val="20"/>
                <w:color w:val="auto"/>
              </w:rPr>
            </w:pPr>
            <w:r>
              <w:rPr>
                <w:rFonts w:ascii="Arial" w:cs="Arial" w:eastAsia="Arial" w:hAnsi="Arial"/>
                <w:sz w:val="11"/>
                <w:szCs w:val="11"/>
                <w:color w:val="auto"/>
              </w:rPr>
              <w:t>costs of $1,637</w:t>
            </w:r>
          </w:p>
        </w:tc>
        <w:tc>
          <w:tcPr>
            <w:tcW w:w="700" w:type="dxa"/>
            <w:vAlign w:val="bottom"/>
          </w:tcPr>
          <w:p>
            <w:pPr>
              <w:jc w:val="right"/>
              <w:ind w:right="86"/>
              <w:spacing w:after="0" w:line="125" w:lineRule="exact"/>
              <w:rPr>
                <w:sz w:val="20"/>
                <w:szCs w:val="20"/>
                <w:color w:val="auto"/>
              </w:rPr>
            </w:pPr>
            <w:r>
              <w:rPr>
                <w:rFonts w:ascii="Arial" w:cs="Arial" w:eastAsia="Arial" w:hAnsi="Arial"/>
                <w:sz w:val="11"/>
                <w:szCs w:val="11"/>
                <w:color w:val="auto"/>
              </w:rPr>
              <w:t>7,904,135</w:t>
            </w:r>
          </w:p>
        </w:tc>
        <w:tc>
          <w:tcPr>
            <w:tcW w:w="18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85,801</w:t>
            </w:r>
          </w:p>
        </w:tc>
        <w:tc>
          <w:tcPr>
            <w:tcW w:w="140" w:type="dxa"/>
            <w:vAlign w:val="bottom"/>
          </w:tcPr>
          <w:p>
            <w:pPr>
              <w:spacing w:after="0"/>
              <w:rPr>
                <w:sz w:val="10"/>
                <w:szCs w:val="10"/>
                <w:color w:val="auto"/>
              </w:rPr>
            </w:pPr>
          </w:p>
        </w:tc>
        <w:tc>
          <w:tcPr>
            <w:tcW w:w="680" w:type="dxa"/>
            <w:vAlign w:val="bottom"/>
          </w:tcPr>
          <w:p>
            <w:pPr>
              <w:jc w:val="right"/>
              <w:ind w:right="66"/>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560" w:type="dxa"/>
            <w:vAlign w:val="bottom"/>
          </w:tcPr>
          <w:p>
            <w:pPr>
              <w:ind w:left="420"/>
              <w:spacing w:after="0" w:line="125"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640" w:type="dxa"/>
            <w:vAlign w:val="bottom"/>
          </w:tcPr>
          <w:p>
            <w:pPr>
              <w:jc w:val="right"/>
              <w:ind w:right="46"/>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640" w:type="dxa"/>
            <w:vAlign w:val="bottom"/>
          </w:tcPr>
          <w:p>
            <w:pPr>
              <w:jc w:val="right"/>
              <w:ind w:right="46"/>
              <w:spacing w:after="0" w:line="12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r>
      <w:tr>
        <w:trPr>
          <w:trHeight w:val="121"/>
        </w:trPr>
        <w:tc>
          <w:tcPr>
            <w:tcW w:w="33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Exercise of stock options</w:t>
            </w:r>
          </w:p>
        </w:tc>
        <w:tc>
          <w:tcPr>
            <w:tcW w:w="700" w:type="dxa"/>
            <w:vAlign w:val="bottom"/>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239,055</w:t>
            </w: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120</w:t>
            </w: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231F20"/>
              </w:rPr>
              <w:t>120</w:t>
            </w:r>
          </w:p>
        </w:tc>
      </w:tr>
      <w:tr>
        <w:trPr>
          <w:trHeight w:val="122"/>
        </w:trPr>
        <w:tc>
          <w:tcPr>
            <w:tcW w:w="3320" w:type="dxa"/>
            <w:vAlign w:val="bottom"/>
          </w:tcPr>
          <w:p>
            <w:pPr>
              <w:ind w:left="20"/>
              <w:spacing w:after="0" w:line="122" w:lineRule="exact"/>
              <w:rPr>
                <w:sz w:val="20"/>
                <w:szCs w:val="20"/>
                <w:color w:val="auto"/>
              </w:rPr>
            </w:pPr>
            <w:r>
              <w:rPr>
                <w:rFonts w:ascii="Arial" w:cs="Arial" w:eastAsia="Arial" w:hAnsi="Arial"/>
                <w:sz w:val="11"/>
                <w:szCs w:val="11"/>
                <w:color w:val="auto"/>
              </w:rPr>
              <w:t>Vesting of restricted stock awards</w:t>
            </w:r>
          </w:p>
        </w:tc>
        <w:tc>
          <w:tcPr>
            <w:tcW w:w="70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26,901</w:t>
            </w:r>
          </w:p>
        </w:tc>
        <w:tc>
          <w:tcPr>
            <w:tcW w:w="200" w:type="dxa"/>
            <w:vAlign w:val="bottom"/>
          </w:tcPr>
          <w:p>
            <w:pPr>
              <w:spacing w:after="0"/>
              <w:rPr>
                <w:sz w:val="10"/>
                <w:szCs w:val="10"/>
                <w:color w:val="auto"/>
              </w:rPr>
            </w:pPr>
          </w:p>
        </w:tc>
        <w:tc>
          <w:tcPr>
            <w:tcW w:w="560" w:type="dxa"/>
            <w:vAlign w:val="bottom"/>
          </w:tcPr>
          <w:p>
            <w:pPr>
              <w:ind w:left="420"/>
              <w:spacing w:after="0" w:line="122"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64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64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r>
      <w:tr>
        <w:trPr>
          <w:trHeight w:val="121"/>
        </w:trPr>
        <w:tc>
          <w:tcPr>
            <w:tcW w:w="33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Stock-based compensation expense</w:t>
            </w:r>
          </w:p>
        </w:tc>
        <w:tc>
          <w:tcPr>
            <w:tcW w:w="700" w:type="dxa"/>
            <w:vAlign w:val="bottom"/>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736</w:t>
            </w: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231F20"/>
              </w:rPr>
              <w:t>736</w:t>
            </w:r>
          </w:p>
        </w:tc>
      </w:tr>
      <w:tr>
        <w:trPr>
          <w:trHeight w:val="121"/>
        </w:trPr>
        <w:tc>
          <w:tcPr>
            <w:tcW w:w="3320" w:type="dxa"/>
            <w:vAlign w:val="bottom"/>
            <w:tcBorders>
              <w:bottom w:val="single" w:sz="8" w:color="CCEEFF"/>
            </w:tcBorders>
          </w:tcPr>
          <w:p>
            <w:pPr>
              <w:ind w:left="20"/>
              <w:spacing w:after="0" w:line="122" w:lineRule="exact"/>
              <w:rPr>
                <w:sz w:val="20"/>
                <w:szCs w:val="20"/>
                <w:color w:val="auto"/>
              </w:rPr>
            </w:pPr>
            <w:r>
              <w:rPr>
                <w:rFonts w:ascii="Arial" w:cs="Arial" w:eastAsia="Arial" w:hAnsi="Arial"/>
                <w:sz w:val="11"/>
                <w:szCs w:val="11"/>
                <w:color w:val="auto"/>
              </w:rPr>
              <w:t>Net loss</w:t>
            </w:r>
          </w:p>
        </w:tc>
        <w:tc>
          <w:tcPr>
            <w:tcW w:w="700" w:type="dxa"/>
            <w:vAlign w:val="bottom"/>
            <w:tcBorders>
              <w:bottom w:val="single" w:sz="8" w:color="auto"/>
            </w:tcBorders>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ind w:left="420"/>
              <w:spacing w:after="0" w:line="122" w:lineRule="exact"/>
              <w:rPr>
                <w:sz w:val="20"/>
                <w:szCs w:val="20"/>
                <w:color w:val="auto"/>
              </w:rPr>
            </w:pPr>
            <w:r>
              <w:rPr>
                <w:rFonts w:ascii="Arial" w:cs="Arial" w:eastAsia="Arial" w:hAnsi="Arial"/>
                <w:sz w:val="11"/>
                <w:szCs w:val="11"/>
                <w:color w:val="auto"/>
              </w:rPr>
              <w:t>—</w:t>
            </w:r>
          </w:p>
        </w:tc>
        <w:tc>
          <w:tcPr>
            <w:tcW w:w="2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6"/>
              <w:spacing w:after="0" w:line="122" w:lineRule="exact"/>
              <w:rPr>
                <w:sz w:val="20"/>
                <w:szCs w:val="20"/>
                <w:color w:val="auto"/>
              </w:rPr>
            </w:pPr>
            <w:r>
              <w:rPr>
                <w:rFonts w:ascii="Arial" w:cs="Arial" w:eastAsia="Arial" w:hAnsi="Arial"/>
                <w:sz w:val="11"/>
                <w:szCs w:val="11"/>
                <w:color w:val="auto"/>
              </w:rPr>
              <w:t>(11,990)</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231F20"/>
              </w:rPr>
              <w:t>(11,990)</w:t>
            </w:r>
          </w:p>
        </w:tc>
      </w:tr>
      <w:tr>
        <w:trPr>
          <w:trHeight w:val="115"/>
        </w:trPr>
        <w:tc>
          <w:tcPr>
            <w:tcW w:w="3320" w:type="dxa"/>
            <w:vAlign w:val="bottom"/>
            <w:tcBorders>
              <w:bottom w:val="single" w:sz="8" w:color="CCEEFF"/>
            </w:tcBorders>
            <w:shd w:val="clear" w:color="auto" w:fill="CCEEFF"/>
          </w:tcPr>
          <w:p>
            <w:pPr>
              <w:ind w:left="20"/>
              <w:spacing w:after="0" w:line="115" w:lineRule="exact"/>
              <w:rPr>
                <w:sz w:val="20"/>
                <w:szCs w:val="20"/>
                <w:color w:val="auto"/>
              </w:rPr>
            </w:pPr>
            <w:r>
              <w:rPr>
                <w:rFonts w:ascii="Arial" w:cs="Arial" w:eastAsia="Arial" w:hAnsi="Arial"/>
                <w:sz w:val="11"/>
                <w:szCs w:val="11"/>
                <w:color w:val="231F20"/>
              </w:rPr>
              <w:t>Balances at September 30, 2020</w:t>
            </w:r>
          </w:p>
        </w:tc>
        <w:tc>
          <w:tcPr>
            <w:tcW w:w="700" w:type="dxa"/>
            <w:vAlign w:val="bottom"/>
            <w:tcBorders>
              <w:bottom w:val="single" w:sz="8" w:color="auto"/>
            </w:tcBorders>
            <w:shd w:val="clear" w:color="auto" w:fill="CCEEFF"/>
          </w:tcPr>
          <w:p>
            <w:pPr>
              <w:jc w:val="right"/>
              <w:ind w:right="86"/>
              <w:spacing w:after="0" w:line="115" w:lineRule="exact"/>
              <w:rPr>
                <w:sz w:val="20"/>
                <w:szCs w:val="20"/>
                <w:color w:val="auto"/>
              </w:rPr>
            </w:pPr>
            <w:r>
              <w:rPr>
                <w:rFonts w:ascii="Arial" w:cs="Arial" w:eastAsia="Arial" w:hAnsi="Arial"/>
                <w:sz w:val="11"/>
                <w:szCs w:val="11"/>
                <w:color w:val="auto"/>
                <w:w w:val="98"/>
              </w:rPr>
              <w:t>23,765,075</w:t>
            </w:r>
          </w:p>
        </w:tc>
        <w:tc>
          <w:tcPr>
            <w:tcW w:w="1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148,373</w:t>
            </w:r>
          </w:p>
        </w:tc>
        <w:tc>
          <w:tcPr>
            <w:tcW w:w="14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ind w:right="66"/>
              <w:spacing w:after="0" w:line="115" w:lineRule="exact"/>
              <w:rPr>
                <w:sz w:val="20"/>
                <w:szCs w:val="20"/>
                <w:color w:val="auto"/>
              </w:rPr>
            </w:pPr>
            <w:r>
              <w:rPr>
                <w:rFonts w:ascii="Arial" w:cs="Arial" w:eastAsia="Arial" w:hAnsi="Arial"/>
                <w:sz w:val="11"/>
                <w:szCs w:val="11"/>
                <w:color w:val="auto"/>
              </w:rPr>
              <w:t>2,859,272</w:t>
            </w:r>
          </w:p>
        </w:tc>
        <w:tc>
          <w:tcPr>
            <w:tcW w:w="2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CCEEFF"/>
          </w:tcPr>
          <w:p>
            <w:pPr>
              <w:ind w:left="420"/>
              <w:spacing w:after="0" w:line="115" w:lineRule="exact"/>
              <w:rPr>
                <w:sz w:val="20"/>
                <w:szCs w:val="20"/>
                <w:color w:val="auto"/>
              </w:rPr>
            </w:pPr>
            <w:r>
              <w:rPr>
                <w:rFonts w:ascii="Arial" w:cs="Arial" w:eastAsia="Arial" w:hAnsi="Arial"/>
                <w:sz w:val="11"/>
                <w:szCs w:val="11"/>
                <w:color w:val="auto"/>
              </w:rPr>
              <w:t>—</w:t>
            </w:r>
          </w:p>
        </w:tc>
        <w:tc>
          <w:tcPr>
            <w:tcW w:w="2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shd w:val="clear" w:color="auto" w:fill="CCEEFF"/>
          </w:tcPr>
          <w:p>
            <w:pPr>
              <w:jc w:val="right"/>
              <w:ind w:right="46"/>
              <w:spacing w:after="0" w:line="115" w:lineRule="exact"/>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shd w:val="clear" w:color="auto" w:fill="CCEEFF"/>
          </w:tcPr>
          <w:p>
            <w:pPr>
              <w:jc w:val="right"/>
              <w:ind w:right="26"/>
              <w:spacing w:after="0" w:line="115" w:lineRule="exact"/>
              <w:rPr>
                <w:sz w:val="20"/>
                <w:szCs w:val="20"/>
                <w:color w:val="auto"/>
              </w:rPr>
            </w:pPr>
            <w:r>
              <w:rPr>
                <w:rFonts w:ascii="Arial" w:cs="Arial" w:eastAsia="Arial" w:hAnsi="Arial"/>
                <w:sz w:val="11"/>
                <w:szCs w:val="11"/>
                <w:color w:val="auto"/>
              </w:rPr>
              <w:t>(22,963)</w:t>
            </w:r>
          </w:p>
        </w:tc>
        <w:tc>
          <w:tcPr>
            <w:tcW w:w="2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(22,963)</w:t>
            </w:r>
          </w:p>
        </w:tc>
      </w:tr>
      <w:tr>
        <w:trPr>
          <w:trHeight w:val="20"/>
        </w:trPr>
        <w:tc>
          <w:tcPr>
            <w:tcW w:w="3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color w:val="auto"/>
        </w:rPr>
        <w:t>(In thousands)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7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Nine Months Ended</w:t>
            </w:r>
          </w:p>
        </w:tc>
      </w:tr>
      <w:tr>
        <w:trPr>
          <w:trHeight w:val="207"/>
        </w:trPr>
        <w:tc>
          <w:tcPr>
            <w:tcW w:w="6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September 30,</w:t>
            </w:r>
          </w:p>
        </w:tc>
      </w:tr>
      <w:tr>
        <w:trPr>
          <w:trHeight w:val="183"/>
        </w:trPr>
        <w:tc>
          <w:tcPr>
            <w:tcW w:w="67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2020</w:t>
            </w:r>
          </w:p>
        </w:tc>
      </w:tr>
      <w:tr>
        <w:trPr>
          <w:trHeight w:val="183"/>
        </w:trPr>
        <w:tc>
          <w:tcPr>
            <w:tcW w:w="678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9"/>
        </w:trPr>
        <w:tc>
          <w:tcPr>
            <w:tcW w:w="6780" w:type="dxa"/>
            <w:vAlign w:val="bottom"/>
          </w:tcPr>
          <w:p>
            <w:pPr>
              <w:ind w:left="100"/>
              <w:spacing w:after="0"/>
              <w:rPr>
                <w:sz w:val="20"/>
                <w:szCs w:val="20"/>
                <w:color w:val="auto"/>
              </w:rPr>
            </w:pPr>
            <w:r>
              <w:rPr>
                <w:rFonts w:ascii="Arial" w:cs="Arial" w:eastAsia="Arial" w:hAnsi="Arial"/>
                <w:sz w:val="16"/>
                <w:szCs w:val="16"/>
                <w:color w:val="auto"/>
              </w:rPr>
              <w:t>Net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(49,458)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(11,990)</w:t>
            </w:r>
          </w:p>
        </w:tc>
      </w:tr>
      <w:tr>
        <w:trPr>
          <w:trHeight w:val="189"/>
        </w:trPr>
        <w:tc>
          <w:tcPr>
            <w:tcW w:w="6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89"/>
        </w:trPr>
        <w:tc>
          <w:tcPr>
            <w:tcW w:w="678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180" w:type="dxa"/>
            <w:vAlign w:val="bottom"/>
          </w:tcPr>
          <w:p>
            <w:pPr>
              <w:spacing w:after="0"/>
              <w:rPr>
                <w:sz w:val="16"/>
                <w:szCs w:val="16"/>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90</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9"/>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interest expense</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r>
      <w:tr>
        <w:trPr>
          <w:trHeight w:val="189"/>
        </w:trPr>
        <w:tc>
          <w:tcPr>
            <w:tcW w:w="6780" w:type="dxa"/>
            <w:vAlign w:val="bottom"/>
          </w:tcPr>
          <w:p>
            <w:pPr>
              <w:ind w:left="220"/>
              <w:spacing w:after="0"/>
              <w:rPr>
                <w:sz w:val="20"/>
                <w:szCs w:val="20"/>
                <w:color w:val="auto"/>
              </w:rPr>
            </w:pPr>
            <w:r>
              <w:rPr>
                <w:rFonts w:ascii="Arial" w:cs="Arial" w:eastAsia="Arial" w:hAnsi="Arial"/>
                <w:sz w:val="16"/>
                <w:szCs w:val="16"/>
                <w:color w:val="auto"/>
              </w:rPr>
              <w:t>Premium amortization and discount accretion on marketable securities, net</w:t>
            </w:r>
          </w:p>
        </w:tc>
        <w:tc>
          <w:tcPr>
            <w:tcW w:w="180" w:type="dxa"/>
            <w:vAlign w:val="bottom"/>
          </w:tcPr>
          <w:p>
            <w:pPr>
              <w:spacing w:after="0"/>
              <w:rPr>
                <w:sz w:val="16"/>
                <w:szCs w:val="16"/>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220</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 including employee stock purchase plan expense</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11,286</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w:t>
            </w:r>
          </w:p>
        </w:tc>
      </w:tr>
      <w:tr>
        <w:trPr>
          <w:trHeight w:val="189"/>
        </w:trPr>
        <w:tc>
          <w:tcPr>
            <w:tcW w:w="678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67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 and other current assets and other assets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1,232</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w:t>
            </w:r>
          </w:p>
        </w:tc>
      </w:tr>
      <w:tr>
        <w:trPr>
          <w:trHeight w:val="189"/>
        </w:trPr>
        <w:tc>
          <w:tcPr>
            <w:tcW w:w="678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6"/>
                <w:szCs w:val="16"/>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(527)</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(839)</w:t>
            </w:r>
          </w:p>
        </w:tc>
      </w:tr>
      <w:tr>
        <w:trPr>
          <w:trHeight w:val="189"/>
        </w:trPr>
        <w:tc>
          <w:tcPr>
            <w:tcW w:w="67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5,070</w:t>
            </w:r>
          </w:p>
        </w:tc>
        <w:tc>
          <w:tcPr>
            <w:tcW w:w="2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1,913</w:t>
            </w:r>
          </w:p>
        </w:tc>
      </w:tr>
      <w:tr>
        <w:trPr>
          <w:trHeight w:val="183"/>
        </w:trPr>
        <w:tc>
          <w:tcPr>
            <w:tcW w:w="6780" w:type="dxa"/>
            <w:vAlign w:val="bottom"/>
            <w:tcBorders>
              <w:bottom w:val="single" w:sz="8" w:color="CCEEFF"/>
            </w:tcBorders>
          </w:tcPr>
          <w:p>
            <w:pPr>
              <w:ind w:left="220"/>
              <w:spacing w:after="0" w:line="183" w:lineRule="exact"/>
              <w:rPr>
                <w:sz w:val="20"/>
                <w:szCs w:val="20"/>
                <w:color w:val="auto"/>
              </w:rPr>
            </w:pPr>
            <w:r>
              <w:rPr>
                <w:rFonts w:ascii="Arial" w:cs="Arial" w:eastAsia="Arial" w:hAnsi="Arial"/>
                <w:sz w:val="16"/>
                <w:szCs w:val="16"/>
                <w:color w:val="auto"/>
              </w:rPr>
              <w:t>Net cash used in operating activities</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(32,087)</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(10,853)</w:t>
            </w:r>
          </w:p>
        </w:tc>
      </w:tr>
      <w:tr>
        <w:trPr>
          <w:trHeight w:val="183"/>
        </w:trPr>
        <w:tc>
          <w:tcPr>
            <w:tcW w:w="678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9"/>
        </w:trPr>
        <w:tc>
          <w:tcPr>
            <w:tcW w:w="6780" w:type="dxa"/>
            <w:vAlign w:val="bottom"/>
          </w:tcPr>
          <w:p>
            <w:pPr>
              <w:spacing w:after="0"/>
              <w:rPr>
                <w:sz w:val="20"/>
                <w:szCs w:val="20"/>
                <w:color w:val="auto"/>
              </w:rPr>
            </w:pPr>
            <w:r>
              <w:rPr>
                <w:rFonts w:ascii="Arial" w:cs="Arial" w:eastAsia="Arial" w:hAnsi="Arial"/>
                <w:sz w:val="16"/>
                <w:szCs w:val="16"/>
                <w:color w:val="auto"/>
              </w:rPr>
              <w:t>Purchase of equipment</w:t>
            </w:r>
          </w:p>
        </w:tc>
        <w:tc>
          <w:tcPr>
            <w:tcW w:w="180" w:type="dxa"/>
            <w:vAlign w:val="bottom"/>
          </w:tcPr>
          <w:p>
            <w:pPr>
              <w:spacing w:after="0"/>
              <w:rPr>
                <w:sz w:val="16"/>
                <w:szCs w:val="16"/>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(876)</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8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Maturities of marketable securities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186,449</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6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Purchases of marketable securities</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(467,011)</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6780" w:type="dxa"/>
            <w:vAlign w:val="bottom"/>
            <w:shd w:val="clear" w:color="auto" w:fill="CCEEFF"/>
          </w:tcPr>
          <w:p>
            <w:pPr>
              <w:ind w:left="100"/>
              <w:spacing w:after="0" w:line="183" w:lineRule="exact"/>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(281,438)</w:t>
            </w:r>
          </w:p>
        </w:tc>
        <w:tc>
          <w:tcPr>
            <w:tcW w:w="2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w:t>
            </w:r>
          </w:p>
        </w:tc>
      </w:tr>
      <w:tr>
        <w:trPr>
          <w:trHeight w:val="183"/>
        </w:trPr>
        <w:tc>
          <w:tcPr>
            <w:tcW w:w="678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exercise of stock options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187</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r>
      <w:tr>
        <w:trPr>
          <w:trHeight w:val="189"/>
        </w:trPr>
        <w:tc>
          <w:tcPr>
            <w:tcW w:w="6780" w:type="dxa"/>
            <w:vAlign w:val="bottom"/>
          </w:tcPr>
          <w:p>
            <w:pPr>
              <w:spacing w:after="0"/>
              <w:rPr>
                <w:sz w:val="20"/>
                <w:szCs w:val="20"/>
                <w:color w:val="auto"/>
              </w:rPr>
            </w:pPr>
            <w:r>
              <w:rPr>
                <w:rFonts w:ascii="Arial" w:cs="Arial" w:eastAsia="Arial" w:hAnsi="Arial"/>
                <w:sz w:val="16"/>
                <w:szCs w:val="16"/>
                <w:color w:val="auto"/>
              </w:rPr>
              <w:t>Proceeds from issuance of common stock under employee stock purchase plan</w:t>
            </w:r>
          </w:p>
        </w:tc>
        <w:tc>
          <w:tcPr>
            <w:tcW w:w="180" w:type="dxa"/>
            <w:vAlign w:val="bottom"/>
          </w:tcPr>
          <w:p>
            <w:pPr>
              <w:spacing w:after="0"/>
              <w:rPr>
                <w:sz w:val="16"/>
                <w:szCs w:val="16"/>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386</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the issuance of convertible notes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r>
      <w:tr>
        <w:trPr>
          <w:trHeight w:val="189"/>
        </w:trPr>
        <w:tc>
          <w:tcPr>
            <w:tcW w:w="6780" w:type="dxa"/>
            <w:vAlign w:val="bottom"/>
          </w:tcPr>
          <w:p>
            <w:pPr>
              <w:spacing w:after="0"/>
              <w:rPr>
                <w:sz w:val="20"/>
                <w:szCs w:val="20"/>
                <w:color w:val="auto"/>
              </w:rPr>
            </w:pPr>
            <w:r>
              <w:rPr>
                <w:rFonts w:ascii="Arial" w:cs="Arial" w:eastAsia="Arial" w:hAnsi="Arial"/>
                <w:sz w:val="16"/>
                <w:szCs w:val="16"/>
                <w:color w:val="auto"/>
              </w:rPr>
              <w:t>Proceeds from issuance of Series B convertible preferred stock, net of issuance costs</w:t>
            </w:r>
          </w:p>
        </w:tc>
        <w:tc>
          <w:tcPr>
            <w:tcW w:w="180" w:type="dxa"/>
            <w:vAlign w:val="bottom"/>
          </w:tcPr>
          <w:p>
            <w:pPr>
              <w:spacing w:after="0"/>
              <w:rPr>
                <w:sz w:val="16"/>
                <w:szCs w:val="16"/>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50,637</w:t>
            </w:r>
          </w:p>
        </w:tc>
      </w:tr>
      <w:tr>
        <w:trPr>
          <w:trHeight w:val="18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issuance of Series C convertible preferred stock, net of issuance costs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87,427</w:t>
            </w:r>
          </w:p>
        </w:tc>
      </w:tr>
      <w:tr>
        <w:trPr>
          <w:trHeight w:val="189"/>
        </w:trPr>
        <w:tc>
          <w:tcPr>
            <w:tcW w:w="6780" w:type="dxa"/>
            <w:vAlign w:val="bottom"/>
          </w:tcPr>
          <w:p>
            <w:pPr>
              <w:spacing w:after="0"/>
              <w:rPr>
                <w:sz w:val="20"/>
                <w:szCs w:val="20"/>
                <w:color w:val="auto"/>
              </w:rPr>
            </w:pPr>
            <w:r>
              <w:rPr>
                <w:rFonts w:ascii="Arial" w:cs="Arial" w:eastAsia="Arial" w:hAnsi="Arial"/>
                <w:sz w:val="16"/>
                <w:szCs w:val="16"/>
                <w:color w:val="auto"/>
              </w:rPr>
              <w:t>Repurchase of shares of Series A and Series A-1 convertible preferred stock</w:t>
            </w:r>
          </w:p>
        </w:tc>
        <w:tc>
          <w:tcPr>
            <w:tcW w:w="180" w:type="dxa"/>
            <w:vAlign w:val="bottom"/>
          </w:tcPr>
          <w:p>
            <w:pPr>
              <w:spacing w:after="0"/>
              <w:rPr>
                <w:sz w:val="16"/>
                <w:szCs w:val="16"/>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(2,289)</w:t>
            </w:r>
          </w:p>
        </w:tc>
      </w:tr>
      <w:tr>
        <w:trPr>
          <w:trHeight w:val="18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the settlement of non-recourse notes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189"/>
        </w:trPr>
        <w:tc>
          <w:tcPr>
            <w:tcW w:w="6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Payments of costs related to initial public offering</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w:t>
            </w:r>
          </w:p>
        </w:tc>
      </w:tr>
      <w:tr>
        <w:trPr>
          <w:trHeight w:val="183"/>
        </w:trPr>
        <w:tc>
          <w:tcPr>
            <w:tcW w:w="6780" w:type="dxa"/>
            <w:vAlign w:val="bottom"/>
            <w:shd w:val="clear" w:color="auto" w:fill="CCEEFF"/>
          </w:tcPr>
          <w:p>
            <w:pPr>
              <w:ind w:left="220"/>
              <w:spacing w:after="0" w:line="183" w:lineRule="exact"/>
              <w:rPr>
                <w:sz w:val="20"/>
                <w:szCs w:val="20"/>
                <w:color w:val="auto"/>
              </w:rPr>
            </w:pPr>
            <w:r>
              <w:rPr>
                <w:rFonts w:ascii="Arial" w:cs="Arial" w:eastAsia="Arial" w:hAnsi="Arial"/>
                <w:sz w:val="16"/>
                <w:szCs w:val="16"/>
                <w:color w:val="auto"/>
              </w:rPr>
              <w:t>Net cash provided by financing activities</w:t>
            </w: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573</w:t>
            </w:r>
          </w:p>
        </w:tc>
        <w:tc>
          <w:tcPr>
            <w:tcW w:w="2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138,614</w:t>
            </w:r>
          </w:p>
        </w:tc>
      </w:tr>
      <w:tr>
        <w:trPr>
          <w:trHeight w:val="183"/>
        </w:trPr>
        <w:tc>
          <w:tcPr>
            <w:tcW w:w="6780" w:type="dxa"/>
            <w:vAlign w:val="bottom"/>
          </w:tcPr>
          <w:p>
            <w:pPr>
              <w:spacing w:after="0" w:line="183" w:lineRule="exact"/>
              <w:rPr>
                <w:sz w:val="20"/>
                <w:szCs w:val="20"/>
                <w:color w:val="auto"/>
              </w:rPr>
            </w:pPr>
            <w:r>
              <w:rPr>
                <w:rFonts w:ascii="Arial" w:cs="Arial" w:eastAsia="Arial" w:hAnsi="Arial"/>
                <w:sz w:val="16"/>
                <w:szCs w:val="16"/>
                <w:b w:val="1"/>
                <w:bCs w:val="1"/>
                <w:color w:val="auto"/>
              </w:rPr>
              <w:t>Net (decrease) increase in cash and cash equivalents</w:t>
            </w:r>
          </w:p>
        </w:tc>
        <w:tc>
          <w:tcPr>
            <w:tcW w:w="180" w:type="dxa"/>
            <w:vAlign w:val="bottom"/>
          </w:tcPr>
          <w:p>
            <w:pPr>
              <w:spacing w:after="0"/>
              <w:rPr>
                <w:sz w:val="15"/>
                <w:szCs w:val="15"/>
                <w:color w:val="auto"/>
              </w:rPr>
            </w:pPr>
          </w:p>
        </w:tc>
        <w:tc>
          <w:tcPr>
            <w:tcW w:w="9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(312,952)</w:t>
            </w:r>
          </w:p>
        </w:tc>
        <w:tc>
          <w:tcPr>
            <w:tcW w:w="26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127,756</w:t>
            </w:r>
          </w:p>
        </w:tc>
      </w:tr>
      <w:tr>
        <w:trPr>
          <w:trHeight w:val="18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338,549</w:t>
            </w:r>
          </w:p>
        </w:tc>
        <w:tc>
          <w:tcPr>
            <w:tcW w:w="2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23"/>
        </w:trPr>
        <w:tc>
          <w:tcPr>
            <w:tcW w:w="678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25,597</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127,824</w:t>
            </w:r>
          </w:p>
        </w:tc>
      </w:tr>
      <w:tr>
        <w:trPr>
          <w:trHeight w:val="170"/>
        </w:trPr>
        <w:tc>
          <w:tcPr>
            <w:tcW w:w="6780" w:type="dxa"/>
            <w:vAlign w:val="bottom"/>
            <w:shd w:val="clear" w:color="auto" w:fill="CCEEFF"/>
          </w:tcPr>
          <w:p>
            <w:pPr>
              <w:spacing w:after="0" w:line="170" w:lineRule="exact"/>
              <w:rPr>
                <w:sz w:val="20"/>
                <w:szCs w:val="20"/>
                <w:color w:val="auto"/>
              </w:rPr>
            </w:pPr>
            <w:r>
              <w:rPr>
                <w:rFonts w:ascii="Arial" w:cs="Arial" w:eastAsia="Arial" w:hAnsi="Arial"/>
                <w:sz w:val="16"/>
                <w:szCs w:val="16"/>
                <w:b w:val="1"/>
                <w:bCs w:val="1"/>
                <w:color w:val="231F20"/>
              </w:rPr>
              <w:t>Supplemental disclosure of non-cash investing and financing activities:</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89"/>
        </w:trPr>
        <w:tc>
          <w:tcPr>
            <w:tcW w:w="6780" w:type="dxa"/>
            <w:vAlign w:val="bottom"/>
          </w:tcPr>
          <w:p>
            <w:pPr>
              <w:spacing w:after="0"/>
              <w:rPr>
                <w:sz w:val="20"/>
                <w:szCs w:val="20"/>
                <w:color w:val="auto"/>
              </w:rPr>
            </w:pPr>
            <w:r>
              <w:rPr>
                <w:rFonts w:ascii="Arial" w:cs="Arial" w:eastAsia="Arial" w:hAnsi="Arial"/>
                <w:sz w:val="16"/>
                <w:szCs w:val="16"/>
                <w:color w:val="231F20"/>
              </w:rPr>
              <w:t>Purchases of property and equipment included in 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114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231F20"/>
              </w:rPr>
              <w:t>Conversion of convertible notes into Series B convertible preferred stock</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3,007</w:t>
            </w:r>
          </w:p>
        </w:tc>
      </w:tr>
      <w:tr>
        <w:trPr>
          <w:trHeight w:val="189"/>
        </w:trPr>
        <w:tc>
          <w:tcPr>
            <w:tcW w:w="6780" w:type="dxa"/>
            <w:vAlign w:val="bottom"/>
          </w:tcPr>
          <w:p>
            <w:pPr>
              <w:spacing w:after="0"/>
              <w:rPr>
                <w:sz w:val="20"/>
                <w:szCs w:val="20"/>
                <w:color w:val="auto"/>
              </w:rPr>
            </w:pPr>
            <w:r>
              <w:rPr>
                <w:rFonts w:ascii="Arial" w:cs="Arial" w:eastAsia="Arial" w:hAnsi="Arial"/>
                <w:sz w:val="16"/>
                <w:szCs w:val="16"/>
                <w:color w:val="231F20"/>
              </w:rPr>
              <w:t>Deferred offering costs included in other current liabilities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587</w:t>
            </w:r>
          </w:p>
        </w:tc>
      </w:tr>
      <w:tr>
        <w:trPr>
          <w:trHeight w:val="18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231F20"/>
              </w:rPr>
              <w:t>Series C convertible preferred stock issuance costs included in other current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w:t>
            </w:r>
          </w:p>
        </w:tc>
      </w:tr>
      <w:tr>
        <w:trPr>
          <w:trHeight w:val="203"/>
        </w:trPr>
        <w:tc>
          <w:tcPr>
            <w:tcW w:w="6780" w:type="dxa"/>
            <w:vAlign w:val="bottom"/>
            <w:tcBorders>
              <w:bottom w:val="single" w:sz="8" w:color="auto"/>
            </w:tcBorders>
          </w:tcPr>
          <w:p>
            <w:pPr>
              <w:spacing w:after="0"/>
              <w:rPr>
                <w:sz w:val="20"/>
                <w:szCs w:val="20"/>
                <w:color w:val="auto"/>
              </w:rPr>
            </w:pPr>
            <w:r>
              <w:rPr>
                <w:rFonts w:ascii="Arial" w:cs="Arial" w:eastAsia="Arial" w:hAnsi="Arial"/>
                <w:sz w:val="16"/>
                <w:szCs w:val="16"/>
                <w:color w:val="231F20"/>
              </w:rPr>
              <w:t>Vesting of early exercised stock options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341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0"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Nature of the Business and Basis of Presentation</w:t>
      </w:r>
    </w:p>
    <w:p>
      <w:pPr>
        <w:spacing w:after="0" w:line="21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Olema Pharmaceuticals Inc. (“Olema” or the “Company”) is a clinical-stage biopharmaceutical company focused on the discovery, development and commercialization of next-generation targeted therapies for women’s cancers. The Company is initially focused on developing therapies for the treatment of breast cancer. The Company’s wholly owned, lead product candidate, OP-1250, is a novel oral therapy with combined activity as both a complete estrogen receptor (“ER”) antagonist (“CERAN”) and a selective ER degrader (“SERD”). The Company is currently evaluating OP-1250 in a Phase 1/2 dose escalation and expansion trial for the treatment of recurrent, locally advanced or metastatic estrogen receptor-positive (“ER+”), human epidermal growth factor receptor 2-negative (“HER2-”) breast cancer.</w:t>
      </w:r>
    </w:p>
    <w:p>
      <w:pPr>
        <w:spacing w:after="0" w:line="20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 Company is located in San Francisco, California and was incorporated in Delaware on August 7, 2006 under the legal name of CombiThera, Inc. and on March 25, 2009 was renamed Olema Pharmaceuticals, Inc. The Company’s principal operations are based in San Francisco, California, and it operates in one business segment and therefore has only one reportable segment. The Company is subject to risks and uncertainties common to early-stage companies in the biopharmaceutical industry, 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impact of COVID-19, the ability to secure additional capital to fund operations and commercial success of its product candidates. OP-1250 and any future product candidates the Company may develop will require extensive nonclinical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Initial Public Offering</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November 2020, the Company completed the initial public offering of its common stock (“IPO”). In connection with its IPO, the Company issued and sold 12,650,000 shares of its common stock, at a price to the public of $19.00 per share. As a result of the IPO, the Company received $220.6 million in net proceeds, after deducting underwriting discounts and commissions and offering costs of $19.8 million.</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Upon the closing of the IPO, 23,765,075 shares of outstanding convertible preferred stock were automatically converted into 23,765,075 shares of common stock with the related carrying value of $148.3 million reclassified to common stock and additional paid-in capital. In connection with the IPO, the Company amended and restated its amended and restated certificate of incorporation to change the authorized capital stock to 490,000,000 shares designated as common stock and 10,000,000 shares designated as preferred stock, all with a par value of $0.0001 per share.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230"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The Company had $306.0 million of cash, cash equivalents and marketable securities at September 30 2021, which management believes is sufficient to fund its operating expenses and capital expenditure requirements for at least the next 12 months from the filing date of these condensed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Impact of COVID-19</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extent of the impact of the COVID-19 pandemic on the Company’s business, operations and development timelines and plans remains uncertain, and will depend on certain developments, including the duration of the outbreak and its impact on the Company’s development activities, planned clinical trial enrollment, future trial sites, clinical research organizations (“CROs”), third-party manufacturers, and other third parties with whom the Company does business, as well as its impact on regulatory authorities and the Company’s key scientific and management personnel. During 2020, although the Company modified its operations and practices due to the COVID-19 pandemic and to comply with federal, state and local requirements, its business, operations and development timelines were not material adversely affected. However, the extent to which the COVID-19 pandemic may affect the Company’s business, operations and development timelines and plans in the future, including the resulting impact on its expenditures and capital needs, remains uncertain.</w:t>
      </w:r>
    </w:p>
    <w:p>
      <w:pPr>
        <w:spacing w:after="0" w:line="206" w:lineRule="exact"/>
        <w:rPr>
          <w:sz w:val="20"/>
          <w:szCs w:val="20"/>
          <w:color w:val="auto"/>
        </w:rPr>
      </w:pPr>
    </w:p>
    <w:p>
      <w:pPr>
        <w:ind w:left="380" w:hanging="330"/>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Significant Accounting Policies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 and Consolidation</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accompanying interim unaudited condensed consolidated financial statements have been prepared in accordance with generally accepted accounting principles in the United Stated (“GAAP”) and applicable rules and regulations of the Securities and Exchange Commission (the “SEC”) regarding interim financial reporting, and the instructions to Form 10-Q and Article 10 of Regulation S-X. Accordingly, they do not include all of the information and footnotes required by GAAP for complete financial statements. These condensed consolidated financial statements include the accounts of Olema Pharmaceuticals, Inc. and its wholly-owned subsidiary, Olema Oncology Australia Pty Ltd incorporated on January 6, 2021. All intercompany balances and transactions have been eliminated upon consolidation.</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Unaudited Interim Financial Information</w:t>
      </w:r>
    </w:p>
    <w:p>
      <w:pPr>
        <w:spacing w:after="0" w:line="230"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 interim condensed consolidated balance sheet as of September 30, 2021, the statements of operations and comprehensive loss, and stockholders’ equity (deficit) for the three and nine months ended September 30, 2021 and 2020, and the statements of cash flows for the nine months ended September 30, 2021 and 2020 are unaudited. The unaudited interim condensed consolidated financial statements have been prepared on the same basis as the annual financial statements and reflect, in the opinion of management, all adjustments of a normal and recurring nature that are necessary for the fair presentation of the Company’s condensed consolidated financial statements included in this report. The financial data and the other information disclosed in these notes to the condensed consolidated financial statements related to the three- and nine-month periods are also unaudited. The results of operations for the nine months ended September 30, 2021 are not necessarily indicative of the results to be expected for the year ending December 31, 2021 or for any other future annual or interim period. The condensed consolidated balance sheet as of December 31, 2020 included herein was derived from the audited financial statements as of that date. These interim condensed consolidated financial statements should be read in conjunction with the Company’s audited financial statements included in the Company’s Form 10-K as filed with the SEC on March 17, 2021.</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accompanying condensed consolidated financial statements are prepared in accordance with GAAP. The preparation of the condensed consolidated financial statements in conformity with GAAP requires management to make estimates and assumptions that affect the reported amounts of assets and liabilities at the date of the condensed consolidated financial statements and reported amounts of expenses during the reporting period. Significant areas that require management’s estimates include accruals of research and development expenses, including accrual of research contract costs, share-based compensation assumptions, and fair value of common stock and convertible preferred stock prior to the IPO. On an ongoing basis, the Company evaluates its estimates and judgments, which are based on historical and anticipated results and trends and on various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other assumptions that management believes to be reasonable under the circumstances. Actual results could differ from those estimates.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Cash and cash equivalents are defined as short-term, highly liquid investments with original maturities of 90 days or less at the date of purchase. Cash deposits are all in reputable financial institutions in the United States and as of September 30, 2021 and December 31, 2020, cash and cash equivalents consisted of cash on deposit with U.S. banks denominated in U.S. dollars and investments in interest bearing money market funds.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Marketable Securities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All marketable securities have been classified as “available-for-sale” and are carried at estimated fair value as determined based upon quoted market prices or pricing models for similar securities. Management determines the appropriate classification of its investments at the time of purchase and reevaluates such designation as of each balance sheet date. Unrealized gains and losses are excluded from earnings and are reported as a component of comprehensive loss. Realized gains and losses and declines in fair value judged to be other than temporary, if any, on available-for-sale securities are included in interest income. The cost of securities sold is based on the specific-identification method. Interest earned on marketable securities is included in interest income.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marketable securities. The Company invests in a variety of financial instruments and, by its policy, limits these financial instruments to high credit quality securities issued by the U.S. government, U.S. government-sponsored agencies and highly rated banks and corporations, subject to certain concentration limits. The Company’s cash, cash equivalents, and marketable securities are held by financial institutions in the United States that management believes are of high credit quality. Amounts on deposit with individual banking institutions may at times exceed the limits insured by the Federal Deposit Insurance Corporation (“FDIC”); however, the Company has not experienced any losses on such deposits.</w:t>
      </w:r>
    </w:p>
    <w:p>
      <w:pPr>
        <w:spacing w:after="0" w:line="208"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current and potential future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were denied approval, approval was delayed or the Company was unable to maintain approval for any product candidate, it could have a materially adverse impact on the Company.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Costs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Research and development costs are expensed as incurred. Research and development expenses consist of costs incurred to discover, research and develop product candidates. These costs are recorded within research and development expenses in the condensed consolidated statements of operations and include personnel expenses, stock-based compensation expenses, allocated general and administrative expenses, and external costs including fees paid to consultants, CROs and contract manufacturing organizations (“CMOs”), in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connection with nonclinical studies and clinical trials, and other related clinical trial fees, such as for investigator fees, patient screening, laboratory work, clinical trial database management, clinical trial material management and statistical compilation and analysis. Non-refundable prepayments for goods or services that will be used or rendered for future research and development activities are recorded as prepaid expenses. Such amounts are recognized as an expense as the goods are delivered or the related services are performed.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Contract Costs and Accruals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has from time to time entered into various research and development and other agreements with commercial firms, researchers, universities and others for provisions of goods and services. These agreements are generally cancelable, and the related costs are recorded as research and development expenses as incurred.</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 records accruals for estimated ongoing research and development costs. When evaluating the adequacy of the accrued liabilities, the Company analyzes progress of the projects, studies or clinical trials, including the phase or completion of events, invoices received and contracted costs. Judgments and estimates are made in determining the accrued balances at the end of any reporting period. Actual results could differ materially from the Company’s estimates. The Company’s historical accrual estimates have not been materially different from the actual costs.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Loss Per Common Share</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Basic net loss per common share is computed by dividing the net loss per common share by the weighted average number of common shares outstanding for the period without consideration of common stock equivalents. Diluted net loss per common share is computed by adjusting net loss to reallocate undistributed earnings based on the potential impact of dilutive securities, and by dividing the diluted net loss by the weighted average number of common shares outstanding for the period, including potential dilutive common shares. For purpose of this calculation, outstanding stock options, including unvested early exercised options, unvested restricted stock awards, contingently issuable common stock related to the 2020 Employee Stock Purchase Plan (the “ESPP”), and convertible preferred stock are considered potential dilutive common shares. Since the Company was in a loss position for all periods presented, basic net loss per share is the same as diluted net loss per share for all periods as the inclusion of all potential common shares outstanding would have been anti-dilutive.</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Company’s convertible preferred stock contractually entitled the holders of such shares to participate in dividends but did not contractually require the holders of such shares to participate in losses of the Company. Accordingly, in periods in which the Company reported a net loss, such losses were not allocated to such securities. In periods in which the Company reported a net loss, diluted net loss per common share is the same as basic net loss per common share, since dilutive common shares are not assumed to have been issued if their effect is anti-dilutive. The Company reported a net loss for the three- and nine-month periods ended September 30, 2021 and 2020.</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Pronouncements</w:t>
      </w:r>
    </w:p>
    <w:p>
      <w:pPr>
        <w:spacing w:after="0" w:line="230"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From time to time, new accounting pronouncements are issued by the FASB under its ASC or other standard setting bodies.</w:t>
      </w:r>
    </w:p>
    <w:p>
      <w:pPr>
        <w:spacing w:after="0" w:line="19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as amended (the “JOBS Act”). Under the JOBS Act, companies have extended transition periods available for complying with new or revised accounting standards. The Company has elected to use this exemption to delay adopting new or revised accounting standards until such time as those standards apply to private companies. As a result, the Company’s financial statements may not be comparable to the financial statements of issuers who are required to comply with the effective date for new or revised accounting standards that are applicable to public companies. The Company expects to lose its status as an emerging growth company on December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31, 2021, when it expects to qualify as a large accelerated filer based on its market capitalization as of June 30, 2021, according to Rule 12b-2 of the Securities Exchange Act of 1934, as amended. As a result, the Company intends to adopt all accounting pronouncements currently deferred under the extended transition period available for emerging growth companies according to public company standards at December 31, 2021. The adoption dates for the new accounting pronouncements disclosed below have been presented as such. Where allowable, the Company has early adopted certain standards as described below.</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November 2018, the FASB issued ASU 2018-18, Collaborative Arrangements (Topic 808): Clarifying the Interaction between Topic 808 and Topic 606. This standard provides guidance on the interaction between Revenue Recognition (Topic 606) and Collaborative Arrangements (Topic 808) by aligning the unit of account guidance between the two topics and clarifying whether certain transactions between collaborative participants should be accounted for as revenue under Topic 606. ASU 2018-18 is effective for fiscal years beginning after December 15, 2019, and interim periods within those fiscal years. Early adoption is permitted. The Company early adopted this guidance effective on January 1, 2021. The adoption did not have a material impact on the Company’s condensed consolidated financial statements and related disclosures.</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August 2018, the FASB issued ASU No. 2018-15, Customer’s Accounting for Implementation Costs Incurred in a Cloud Computing Arrangement that is a Service Contract. ASU 2018-15 requires a customer in a cloud computing arrangement that is a service contract to follow the internal-use software guidance in ASC 350-40, Intangibles—Goodwill and Other—Internal Use Software (ASC 350-40), to determine which implementation costs to capitalize as assets or expense as incurred. The internal-use software guidance in ASC 350-40 requires that certain costs incurred during the application development stage be capitalized and other costs incurred during the preliminary project and post-implementation stages be expensed as they are incurred. A customer’s accounting for the hosting component of the arrangement is not affected by this guidance. The amendments in ASU 2018-15 are effective for fiscal years beginning after December 15, 2019 for public entities. For all other entities, the guidance is effective for annual reporting periods beginning after December 15, 2020 and interim periods within annual periods beginning after December 15, 2021. Early adoption permitted. The Company early adopted this guidance effective on January 1, 2021. The adoption did not have a material impact on the Company’s consolidated financial statements and related disclosures.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30"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February 2016, the FASB issued ASU 2016-02, Leases (Topic 842)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In July 2018, the FASB issued ASU No. 2018-11, Leases: Targeted Improvements, or ASU No. 2018-11. In issuing ASU No. 2018-11, the FASB is permitting another transition method for ASU 2016-02, which allows the transition to the new lease standard by recognizing a cumulative-effect adjustment to the opening balance of retained earnings in the period of adoption. For non-public entities, ASU 2016-02 is effective for annual reporting periods beginning after December 15, 2021, including interim periods within those fiscal years, and early adoption is permitted. The Company expects to adopt this new guidance under ASU 2016-02 as of January 1, 2021 at December 31, 2021 on the Company’s 2021 Form 10-K filing using the modified retrospective approach. The Company will elect the practical expedients upon transition to not reassess prior conclusions related to contracts containing leases, lease classification and initial direct costs. The Company will also elect the practical expedient for lessees to combine lease and non-lease components for all asset classes and to keep leases with an initial term of 12 months or less off the balance sheet and recognize the associated lease payments in the statements of operations on a straight-line basis over the lease term.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Company is in the process of completing its review of its existing lease agreements under Topic 842 and assessment of the impact of adoption of the ASU. The Company anticipates recording a right-of-use asset and lease liability to account for its facility leases and will record a cumulative-effect adjustment in the period of adoption.</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This standard requires financial assets measured at amortized cost basis to be presented at the net amount expected to be collected. This standard is effective for public companies who are SEC filers for fiscal years beginning after December 15, 2019, including interim periods within those years. In November 2019, the FASB issued ASU 2019-11, Codification Improvements to Topic 326, Financial Instruments - Credit Losses, which extends the effective date of the standard for smaller reporting companies to interim and annual periods beginning after December 15, 2022. ASU 2019-11 also expands the scope of the practical expedient that allows entities to exclude the accrued interest component of amortized cost from various disclosures required by ASC 326 to also include certain disclosures required by ASC 320. Entities that elect to apply the practical expedient must disclose the total amount of accrued interest that they exclude from their disclosures of amortized cost. The amendments have the same effective dates as ASU 2016-13 for entities that have not yet adopted that standard. These standards require using a modified retrospective approach with the cumulative effect recognized as an adjustment to retained earnings. A prospective transition approach is required for debt securities that have recognized an other-than-temporary impairment prior to the effective date. The Company expects to adopt the new guidance under ASU 2016-13 as of January 1, 2021 at December 31, 2021 on the Company’s 2021 Form 10-K filing. Though the Company is currently evaluating the effect of these standards it does not expect the impact of the adoption of these standards on the Company’s financial position or results of operations to be material.</w:t>
      </w:r>
    </w:p>
    <w:p>
      <w:pPr>
        <w:spacing w:after="0" w:line="213" w:lineRule="exact"/>
        <w:rPr>
          <w:sz w:val="20"/>
          <w:szCs w:val="20"/>
          <w:color w:val="auto"/>
        </w:rPr>
      </w:pPr>
    </w:p>
    <w:p>
      <w:pPr>
        <w:ind w:left="380" w:hanging="330"/>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Fair Value Measurement</w:t>
      </w:r>
    </w:p>
    <w:p>
      <w:pPr>
        <w:spacing w:after="0" w:line="21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 assesses the fair value of financial instruments based on the provisions of ASC 820, Fair Value Measurements.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89" w:lineRule="exact"/>
        <w:rPr>
          <w:sz w:val="20"/>
          <w:szCs w:val="20"/>
          <w:color w:val="auto"/>
        </w:rPr>
      </w:pPr>
    </w:p>
    <w:p>
      <w:pPr>
        <w:ind w:left="380" w:right="79" w:hanging="330"/>
        <w:spacing w:after="0" w:line="277" w:lineRule="auto"/>
        <w:tabs>
          <w:tab w:leader="none" w:pos="38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Level 1 — Inputs are unadjusted quoted prices in active markets for identical assets or liabilities accessible to the reporting entity at the measurement date.</w:t>
      </w:r>
    </w:p>
    <w:p>
      <w:pPr>
        <w:spacing w:after="0" w:line="129" w:lineRule="exact"/>
        <w:rPr>
          <w:rFonts w:ascii="Arial" w:cs="Arial" w:eastAsia="Arial" w:hAnsi="Arial"/>
          <w:sz w:val="18"/>
          <w:szCs w:val="18"/>
          <w:color w:val="231F20"/>
        </w:rPr>
      </w:pPr>
    </w:p>
    <w:p>
      <w:pPr>
        <w:jc w:val="both"/>
        <w:ind w:left="380" w:right="79" w:hanging="330"/>
        <w:spacing w:after="0" w:line="249" w:lineRule="auto"/>
        <w:tabs>
          <w:tab w:leader="none" w:pos="38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53" w:lineRule="exact"/>
        <w:rPr>
          <w:rFonts w:ascii="Arial" w:cs="Arial" w:eastAsia="Arial" w:hAnsi="Arial"/>
          <w:sz w:val="18"/>
          <w:szCs w:val="18"/>
          <w:color w:val="231F20"/>
        </w:rPr>
      </w:pPr>
    </w:p>
    <w:p>
      <w:pPr>
        <w:jc w:val="both"/>
        <w:ind w:left="380" w:right="79" w:hanging="330"/>
        <w:spacing w:after="0"/>
        <w:tabs>
          <w:tab w:leader="none" w:pos="38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700405</wp:posOffset>
            </wp:positionV>
            <wp:extent cx="56489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74"/>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83"/>
        </w:trPr>
        <w:tc>
          <w:tcPr>
            <w:tcW w:w="49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Level 3</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r>
      <w:tr>
        <w:trPr>
          <w:trHeight w:val="196"/>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4900" w:type="dxa"/>
            <w:vAlign w:val="bottom"/>
          </w:tcPr>
          <w:p>
            <w:pPr>
              <w:ind w:left="100"/>
              <w:spacing w:after="0" w:line="202" w:lineRule="exact"/>
              <w:rPr>
                <w:sz w:val="20"/>
                <w:szCs w:val="20"/>
                <w:color w:val="auto"/>
              </w:rPr>
            </w:pPr>
            <w:r>
              <w:rPr>
                <w:rFonts w:ascii="Arial" w:cs="Arial" w:eastAsia="Arial" w:hAnsi="Arial"/>
                <w:sz w:val="18"/>
                <w:szCs w:val="18"/>
                <w:color w:val="auto"/>
              </w:rPr>
              <w:t>Cash</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10,874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10,874</w:t>
            </w:r>
          </w:p>
        </w:tc>
      </w:tr>
      <w:tr>
        <w:trPr>
          <w:trHeight w:val="203"/>
        </w:trPr>
        <w:tc>
          <w:tcPr>
            <w:tcW w:w="49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Money market funds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14,723</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14,723</w:t>
            </w:r>
          </w:p>
        </w:tc>
      </w:tr>
      <w:tr>
        <w:trPr>
          <w:trHeight w:val="203"/>
        </w:trPr>
        <w:tc>
          <w:tcPr>
            <w:tcW w:w="4900" w:type="dxa"/>
            <w:vAlign w:val="bottom"/>
          </w:tcPr>
          <w:p>
            <w:pPr>
              <w:ind w:left="100"/>
              <w:spacing w:after="0" w:line="202" w:lineRule="exact"/>
              <w:rPr>
                <w:sz w:val="20"/>
                <w:szCs w:val="20"/>
                <w:color w:val="auto"/>
              </w:rPr>
            </w:pPr>
            <w:r>
              <w:rPr>
                <w:rFonts w:ascii="Arial" w:cs="Arial" w:eastAsia="Arial" w:hAnsi="Arial"/>
                <w:sz w:val="18"/>
                <w:szCs w:val="18"/>
                <w:color w:val="auto"/>
              </w:rPr>
              <w:t>Corporate bonds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3,019</w:t>
            </w:r>
          </w:p>
        </w:tc>
        <w:tc>
          <w:tcPr>
            <w:tcW w:w="24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3,019</w:t>
            </w:r>
          </w:p>
        </w:tc>
      </w:tr>
      <w:tr>
        <w:trPr>
          <w:trHeight w:val="203"/>
        </w:trPr>
        <w:tc>
          <w:tcPr>
            <w:tcW w:w="49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Commercial paper</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198,626</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198,626</w:t>
            </w:r>
          </w:p>
        </w:tc>
      </w:tr>
      <w:tr>
        <w:trPr>
          <w:trHeight w:val="203"/>
        </w:trPr>
        <w:tc>
          <w:tcPr>
            <w:tcW w:w="4900" w:type="dxa"/>
            <w:vAlign w:val="bottom"/>
          </w:tcPr>
          <w:p>
            <w:pPr>
              <w:ind w:left="100"/>
              <w:spacing w:after="0" w:line="202" w:lineRule="exact"/>
              <w:rPr>
                <w:sz w:val="20"/>
                <w:szCs w:val="20"/>
                <w:color w:val="auto"/>
              </w:rPr>
            </w:pPr>
            <w:r>
              <w:rPr>
                <w:rFonts w:ascii="Arial" w:cs="Arial" w:eastAsia="Arial" w:hAnsi="Arial"/>
                <w:sz w:val="18"/>
                <w:szCs w:val="18"/>
                <w:color w:val="auto"/>
              </w:rPr>
              <w:t>U.S. government treasury bills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17,001</w:t>
            </w:r>
          </w:p>
        </w:tc>
        <w:tc>
          <w:tcPr>
            <w:tcW w:w="240" w:type="dxa"/>
            <w:vAlign w:val="bottom"/>
          </w:tcPr>
          <w:p>
            <w:pPr>
              <w:spacing w:after="0"/>
              <w:rPr>
                <w:sz w:val="17"/>
                <w:szCs w:val="17"/>
                <w:color w:val="auto"/>
              </w:rPr>
            </w:pPr>
          </w:p>
        </w:tc>
        <w:tc>
          <w:tcPr>
            <w:tcW w:w="7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17,001</w:t>
            </w:r>
          </w:p>
        </w:tc>
      </w:tr>
      <w:tr>
        <w:trPr>
          <w:trHeight w:val="202"/>
        </w:trPr>
        <w:tc>
          <w:tcPr>
            <w:tcW w:w="49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Government-sponsored enterprise securities</w:t>
            </w: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61,711</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61,711</w:t>
            </w:r>
          </w:p>
        </w:tc>
      </w:tr>
      <w:tr>
        <w:trPr>
          <w:trHeight w:val="196"/>
        </w:trPr>
        <w:tc>
          <w:tcPr>
            <w:tcW w:w="49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42,598</w:t>
            </w:r>
          </w:p>
        </w:tc>
        <w:tc>
          <w:tcPr>
            <w:tcW w:w="1020" w:type="dxa"/>
            <w:vAlign w:val="bottom"/>
            <w:tcBorders>
              <w:bottom w:val="single" w:sz="8" w:color="auto"/>
            </w:tcBorders>
            <w:gridSpan w:val="2"/>
          </w:tcPr>
          <w:p>
            <w:pPr>
              <w:jc w:val="right"/>
              <w:ind w:right="16"/>
              <w:spacing w:after="0" w:line="196" w:lineRule="exact"/>
              <w:rPr>
                <w:sz w:val="20"/>
                <w:szCs w:val="20"/>
                <w:color w:val="auto"/>
              </w:rPr>
            </w:pPr>
            <w:r>
              <w:rPr>
                <w:rFonts w:ascii="Arial" w:cs="Arial" w:eastAsia="Arial" w:hAnsi="Arial"/>
                <w:sz w:val="18"/>
                <w:szCs w:val="18"/>
                <w:color w:val="auto"/>
              </w:rPr>
              <w:t>$ 263,356</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305,954</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6"/>
        </w:trPr>
        <w:tc>
          <w:tcPr>
            <w:tcW w:w="4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96"/>
        </w:trPr>
        <w:tc>
          <w:tcPr>
            <w:tcW w:w="49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97"/>
        </w:trPr>
        <w:tc>
          <w:tcPr>
            <w:tcW w:w="4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center"/>
              <w:ind w:right="136"/>
              <w:spacing w:after="0"/>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7"/>
                <w:szCs w:val="17"/>
                <w:color w:val="auto"/>
              </w:rPr>
            </w:pPr>
          </w:p>
        </w:tc>
        <w:tc>
          <w:tcPr>
            <w:tcW w:w="800" w:type="dxa"/>
            <w:vAlign w:val="bottom"/>
          </w:tcPr>
          <w:p>
            <w:pPr>
              <w:jc w:val="center"/>
              <w:ind w:right="134"/>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tcPr>
          <w:p>
            <w:pPr>
              <w:jc w:val="right"/>
              <w:ind w:right="73"/>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Unrealized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7"/>
                <w:szCs w:val="17"/>
                <w:color w:val="auto"/>
              </w:rPr>
            </w:pPr>
          </w:p>
        </w:tc>
        <w:tc>
          <w:tcPr>
            <w:tcW w:w="800" w:type="dxa"/>
            <w:vAlign w:val="bottom"/>
          </w:tcPr>
          <w:p>
            <w:pPr>
              <w:jc w:val="right"/>
              <w:ind w:right="34"/>
              <w:spacing w:after="0"/>
              <w:rPr>
                <w:sz w:val="20"/>
                <w:szCs w:val="20"/>
                <w:color w:val="auto"/>
              </w:rPr>
            </w:pPr>
            <w:r>
              <w:rPr>
                <w:rFonts w:ascii="Arial" w:cs="Arial" w:eastAsia="Arial" w:hAnsi="Arial"/>
                <w:sz w:val="14"/>
                <w:szCs w:val="14"/>
                <w:b w:val="1"/>
                <w:bCs w:val="1"/>
                <w:color w:val="auto"/>
                <w:w w:val="98"/>
              </w:rPr>
              <w:t>Estimated</w:t>
            </w:r>
          </w:p>
        </w:tc>
      </w:tr>
      <w:tr>
        <w:trPr>
          <w:trHeight w:val="188"/>
        </w:trPr>
        <w:tc>
          <w:tcPr>
            <w:tcW w:w="4900" w:type="dxa"/>
            <w:vAlign w:val="bottom"/>
          </w:tcPr>
          <w:p>
            <w:pPr>
              <w:spacing w:after="0"/>
              <w:rPr>
                <w:sz w:val="20"/>
                <w:szCs w:val="20"/>
                <w:color w:val="auto"/>
              </w:rPr>
            </w:pPr>
            <w:r>
              <w:rPr>
                <w:rFonts w:ascii="Arial" w:cs="Arial" w:eastAsia="Arial" w:hAnsi="Arial"/>
                <w:sz w:val="14"/>
                <w:szCs w:val="14"/>
                <w:color w:val="auto"/>
              </w:rPr>
              <w:t>(in thousands)</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Cost</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Gains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Losses</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8"/>
              </w:rPr>
              <w:t>Fair Value</w:t>
            </w:r>
          </w:p>
        </w:tc>
      </w:tr>
      <w:tr>
        <w:trPr>
          <w:trHeight w:val="196"/>
        </w:trPr>
        <w:tc>
          <w:tcPr>
            <w:tcW w:w="4900" w:type="dxa"/>
            <w:vAlign w:val="bottom"/>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9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25,597</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6"/>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25,597</w:t>
            </w:r>
          </w:p>
        </w:tc>
      </w:tr>
      <w:tr>
        <w:trPr>
          <w:trHeight w:val="202"/>
        </w:trPr>
        <w:tc>
          <w:tcPr>
            <w:tcW w:w="4900" w:type="dxa"/>
            <w:vAlign w:val="bottom"/>
          </w:tcPr>
          <w:p>
            <w:pPr>
              <w:ind w:left="100"/>
              <w:spacing w:after="0" w:line="201" w:lineRule="exact"/>
              <w:rPr>
                <w:sz w:val="20"/>
                <w:szCs w:val="20"/>
                <w:color w:val="auto"/>
              </w:rPr>
            </w:pPr>
            <w:r>
              <w:rPr>
                <w:rFonts w:ascii="Arial" w:cs="Arial" w:eastAsia="Arial" w:hAnsi="Arial"/>
                <w:sz w:val="18"/>
                <w:szCs w:val="18"/>
                <w:color w:val="auto"/>
              </w:rPr>
              <w:t>Short-term marketable securities (&lt;12 months to</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900" w:type="dxa"/>
            <w:vAlign w:val="bottom"/>
          </w:tcPr>
          <w:p>
            <w:pPr>
              <w:ind w:left="100"/>
              <w:spacing w:after="0" w:line="203" w:lineRule="exact"/>
              <w:rPr>
                <w:sz w:val="20"/>
                <w:szCs w:val="20"/>
                <w:color w:val="auto"/>
              </w:rPr>
            </w:pPr>
            <w:r>
              <w:rPr>
                <w:rFonts w:ascii="Arial" w:cs="Arial" w:eastAsia="Arial" w:hAnsi="Arial"/>
                <w:sz w:val="18"/>
                <w:szCs w:val="18"/>
                <w:color w:val="auto"/>
              </w:rPr>
              <w:t>maturity)</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33"/>
              <w:spacing w:after="0" w:line="203" w:lineRule="exact"/>
              <w:rPr>
                <w:sz w:val="20"/>
                <w:szCs w:val="20"/>
                <w:color w:val="auto"/>
              </w:rPr>
            </w:pPr>
            <w:r>
              <w:rPr>
                <w:rFonts w:ascii="Arial" w:cs="Arial" w:eastAsia="Arial" w:hAnsi="Arial"/>
                <w:sz w:val="18"/>
                <w:szCs w:val="18"/>
                <w:color w:val="auto"/>
                <w:w w:val="98"/>
              </w:rPr>
              <w:t>245,169</w:t>
            </w:r>
          </w:p>
        </w:tc>
        <w:tc>
          <w:tcPr>
            <w:tcW w:w="240" w:type="dxa"/>
            <w:vAlign w:val="bottom"/>
          </w:tcPr>
          <w:p>
            <w:pPr>
              <w:spacing w:after="0"/>
              <w:rPr>
                <w:sz w:val="17"/>
                <w:szCs w:val="17"/>
                <w:color w:val="auto"/>
              </w:rPr>
            </w:pPr>
          </w:p>
        </w:tc>
        <w:tc>
          <w:tcPr>
            <w:tcW w:w="780" w:type="dxa"/>
            <w:vAlign w:val="bottom"/>
          </w:tcPr>
          <w:p>
            <w:pPr>
              <w:jc w:val="right"/>
              <w:ind w:right="56"/>
              <w:spacing w:after="0" w:line="203" w:lineRule="exact"/>
              <w:rPr>
                <w:sz w:val="20"/>
                <w:szCs w:val="20"/>
                <w:color w:val="auto"/>
              </w:rPr>
            </w:pPr>
            <w:r>
              <w:rPr>
                <w:rFonts w:ascii="Arial" w:cs="Arial" w:eastAsia="Arial" w:hAnsi="Arial"/>
                <w:sz w:val="18"/>
                <w:szCs w:val="18"/>
                <w:color w:val="auto"/>
              </w:rPr>
              <w:t>20</w:t>
            </w:r>
          </w:p>
        </w:tc>
        <w:tc>
          <w:tcPr>
            <w:tcW w:w="2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245,183</w:t>
            </w:r>
          </w:p>
        </w:tc>
      </w:tr>
      <w:tr>
        <w:trPr>
          <w:trHeight w:val="203"/>
        </w:trPr>
        <w:tc>
          <w:tcPr>
            <w:tcW w:w="49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Long-term marketable securities (&gt;12 months to maturity)</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35,173</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6"/>
              <w:spacing w:after="0" w:line="202" w:lineRule="exact"/>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35,174</w:t>
            </w:r>
          </w:p>
        </w:tc>
      </w:tr>
      <w:tr>
        <w:trPr>
          <w:trHeight w:val="196"/>
        </w:trPr>
        <w:tc>
          <w:tcPr>
            <w:tcW w:w="49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gridSpan w:val="3"/>
          </w:tcPr>
          <w:p>
            <w:pPr>
              <w:jc w:val="right"/>
              <w:ind w:right="33"/>
              <w:spacing w:after="0" w:line="196" w:lineRule="exact"/>
              <w:rPr>
                <w:sz w:val="20"/>
                <w:szCs w:val="20"/>
                <w:color w:val="auto"/>
              </w:rPr>
            </w:pPr>
            <w:r>
              <w:rPr>
                <w:rFonts w:ascii="Arial" w:cs="Arial" w:eastAsia="Arial" w:hAnsi="Arial"/>
                <w:sz w:val="18"/>
                <w:szCs w:val="18"/>
                <w:color w:val="auto"/>
                <w:w w:val="99"/>
              </w:rPr>
              <w:t>$ 305,939</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6"/>
              <w:spacing w:after="0" w:line="196" w:lineRule="exact"/>
              <w:rPr>
                <w:sz w:val="20"/>
                <w:szCs w:val="20"/>
                <w:color w:val="auto"/>
              </w:rPr>
            </w:pPr>
            <w:r>
              <w:rPr>
                <w:rFonts w:ascii="Arial" w:cs="Arial" w:eastAsia="Arial" w:hAnsi="Arial"/>
                <w:sz w:val="18"/>
                <w:szCs w:val="18"/>
                <w:color w:val="auto"/>
              </w:rPr>
              <w:t>24</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305,954</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considers its marketable securities with maturities beyond one year as current assets, based on their highly liquid nature and because such marketable securities represent the investment of cash that is available for current operations. The Company considers its investment portfolio of marketable securities to be available-for-sale.</w:t>
      </w:r>
    </w:p>
    <w:p>
      <w:pPr>
        <w:spacing w:after="0" w:line="20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As of December 31, 2020, all of the Company’s cash and cash equivalents consisted of cash on deposit with U.S. banks denominated in U. S. dollars.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4. Property and Equipment, net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480" w:type="dxa"/>
            <w:vAlign w:val="bottom"/>
            <w:tcBorders>
              <w:top w:val="single" w:sz="8" w:color="auto"/>
            </w:tcBorders>
          </w:tcPr>
          <w:p>
            <w:pPr>
              <w:spacing w:after="0"/>
              <w:rPr>
                <w:sz w:val="15"/>
                <w:szCs w:val="15"/>
                <w:color w:val="auto"/>
              </w:rPr>
            </w:pPr>
          </w:p>
        </w:tc>
        <w:tc>
          <w:tcPr>
            <w:tcW w:w="3200" w:type="dxa"/>
            <w:vAlign w:val="bottom"/>
            <w:tcBorders>
              <w:top w:val="single" w:sz="8" w:color="auto"/>
            </w:tcBorders>
          </w:tcPr>
          <w:p>
            <w:pPr>
              <w:spacing w:after="0"/>
              <w:rPr>
                <w:sz w:val="15"/>
                <w:szCs w:val="15"/>
                <w:color w:val="auto"/>
              </w:rPr>
            </w:pPr>
          </w:p>
        </w:tc>
        <w:tc>
          <w:tcPr>
            <w:tcW w:w="1140" w:type="dxa"/>
            <w:vAlign w:val="bottom"/>
            <w:tcBorders>
              <w:top w:val="single" w:sz="8" w:color="auto"/>
              <w:bottom w:val="single" w:sz="8" w:color="auto"/>
            </w:tcBorders>
            <w:gridSpan w:val="2"/>
          </w:tcPr>
          <w:p>
            <w:pPr>
              <w:jc w:val="right"/>
              <w:ind w:right="53"/>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5"/>
                <w:szCs w:val="15"/>
                <w:color w:val="auto"/>
              </w:rPr>
            </w:pPr>
          </w:p>
        </w:tc>
      </w:tr>
      <w:tr>
        <w:trPr>
          <w:trHeight w:val="155"/>
        </w:trPr>
        <w:tc>
          <w:tcPr>
            <w:tcW w:w="3480" w:type="dxa"/>
            <w:vAlign w:val="bottom"/>
            <w:tcBorders>
              <w:bottom w:val="single" w:sz="8" w:color="CCEEFF"/>
            </w:tcBorders>
          </w:tcPr>
          <w:p>
            <w:pPr>
              <w:spacing w:after="0"/>
              <w:rPr>
                <w:sz w:val="13"/>
                <w:szCs w:val="13"/>
                <w:color w:val="auto"/>
              </w:rPr>
            </w:pPr>
          </w:p>
        </w:tc>
        <w:tc>
          <w:tcPr>
            <w:tcW w:w="32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231F20"/>
              </w:rPr>
              <w:t>2021</w:t>
            </w: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231F20"/>
              </w:rPr>
              <w:t>2020</w:t>
            </w:r>
          </w:p>
        </w:tc>
        <w:tc>
          <w:tcPr>
            <w:tcW w:w="20" w:type="dxa"/>
            <w:vAlign w:val="bottom"/>
          </w:tcPr>
          <w:p>
            <w:pPr>
              <w:spacing w:after="0"/>
              <w:rPr>
                <w:sz w:val="13"/>
                <w:szCs w:val="13"/>
                <w:color w:val="auto"/>
              </w:rPr>
            </w:pPr>
          </w:p>
        </w:tc>
      </w:tr>
      <w:tr>
        <w:trPr>
          <w:trHeight w:val="196"/>
        </w:trPr>
        <w:tc>
          <w:tcPr>
            <w:tcW w:w="3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Lab equipment</w:t>
            </w:r>
          </w:p>
        </w:tc>
        <w:tc>
          <w:tcPr>
            <w:tcW w:w="3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36"/>
              <w:spacing w:after="0" w:line="196" w:lineRule="exact"/>
              <w:rPr>
                <w:sz w:val="20"/>
                <w:szCs w:val="20"/>
                <w:color w:val="auto"/>
              </w:rPr>
            </w:pPr>
            <w:r>
              <w:rPr>
                <w:rFonts w:ascii="Arial" w:cs="Arial" w:eastAsia="Arial" w:hAnsi="Arial"/>
                <w:sz w:val="18"/>
                <w:szCs w:val="18"/>
                <w:color w:val="231F20"/>
              </w:rPr>
              <w:t>$</w:t>
            </w:r>
          </w:p>
        </w:tc>
        <w:tc>
          <w:tcPr>
            <w:tcW w:w="880" w:type="dxa"/>
            <w:vAlign w:val="bottom"/>
            <w:shd w:val="clear" w:color="auto" w:fill="CCEEFF"/>
          </w:tcPr>
          <w:p>
            <w:pPr>
              <w:jc w:val="right"/>
              <w:ind w:right="73"/>
              <w:spacing w:after="0" w:line="196" w:lineRule="exact"/>
              <w:rPr>
                <w:sz w:val="20"/>
                <w:szCs w:val="20"/>
                <w:color w:val="auto"/>
              </w:rPr>
            </w:pPr>
            <w:r>
              <w:rPr>
                <w:rFonts w:ascii="Arial" w:cs="Arial" w:eastAsia="Arial" w:hAnsi="Arial"/>
                <w:sz w:val="18"/>
                <w:szCs w:val="18"/>
                <w:color w:val="231F20"/>
              </w:rPr>
              <w:t>1,067</w:t>
            </w:r>
          </w:p>
        </w:tc>
        <w:tc>
          <w:tcPr>
            <w:tcW w:w="34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90</w:t>
            </w:r>
          </w:p>
        </w:tc>
        <w:tc>
          <w:tcPr>
            <w:tcW w:w="20" w:type="dxa"/>
            <w:vAlign w:val="bottom"/>
          </w:tcPr>
          <w:p>
            <w:pPr>
              <w:spacing w:after="0"/>
              <w:rPr>
                <w:sz w:val="17"/>
                <w:szCs w:val="17"/>
                <w:color w:val="auto"/>
              </w:rPr>
            </w:pPr>
          </w:p>
        </w:tc>
      </w:tr>
      <w:tr>
        <w:trPr>
          <w:trHeight w:val="202"/>
        </w:trPr>
        <w:tc>
          <w:tcPr>
            <w:tcW w:w="34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231F20"/>
              </w:rPr>
              <w:t>Computer equipment</w:t>
            </w:r>
          </w:p>
        </w:tc>
        <w:tc>
          <w:tcPr>
            <w:tcW w:w="3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3"/>
              <w:spacing w:after="0" w:line="202" w:lineRule="exact"/>
              <w:rPr>
                <w:sz w:val="20"/>
                <w:szCs w:val="20"/>
                <w:color w:val="auto"/>
              </w:rPr>
            </w:pPr>
            <w:r>
              <w:rPr>
                <w:rFonts w:ascii="Arial" w:cs="Arial" w:eastAsia="Arial" w:hAnsi="Arial"/>
                <w:sz w:val="18"/>
                <w:szCs w:val="18"/>
                <w:color w:val="231F20"/>
              </w:rPr>
              <w:t>59</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47</w:t>
            </w:r>
          </w:p>
        </w:tc>
        <w:tc>
          <w:tcPr>
            <w:tcW w:w="20" w:type="dxa"/>
            <w:vAlign w:val="bottom"/>
          </w:tcPr>
          <w:p>
            <w:pPr>
              <w:spacing w:after="0"/>
              <w:rPr>
                <w:sz w:val="17"/>
                <w:szCs w:val="17"/>
                <w:color w:val="auto"/>
              </w:rPr>
            </w:pPr>
          </w:p>
        </w:tc>
      </w:tr>
      <w:tr>
        <w:trPr>
          <w:trHeight w:val="196"/>
        </w:trPr>
        <w:tc>
          <w:tcPr>
            <w:tcW w:w="348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231F20"/>
              </w:rPr>
              <w:t>Property and equipment, gross</w:t>
            </w:r>
          </w:p>
        </w:tc>
        <w:tc>
          <w:tcPr>
            <w:tcW w:w="3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3"/>
              <w:spacing w:after="0" w:line="196" w:lineRule="exact"/>
              <w:rPr>
                <w:sz w:val="20"/>
                <w:szCs w:val="20"/>
                <w:color w:val="auto"/>
              </w:rPr>
            </w:pPr>
            <w:r>
              <w:rPr>
                <w:rFonts w:ascii="Arial" w:cs="Arial" w:eastAsia="Arial" w:hAnsi="Arial"/>
                <w:sz w:val="18"/>
                <w:szCs w:val="18"/>
                <w:color w:val="231F20"/>
              </w:rPr>
              <w:t>1,126</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137</w:t>
            </w:r>
          </w:p>
        </w:tc>
        <w:tc>
          <w:tcPr>
            <w:tcW w:w="20" w:type="dxa"/>
            <w:vAlign w:val="bottom"/>
          </w:tcPr>
          <w:p>
            <w:pPr>
              <w:spacing w:after="0"/>
              <w:rPr>
                <w:sz w:val="17"/>
                <w:szCs w:val="17"/>
                <w:color w:val="auto"/>
              </w:rPr>
            </w:pPr>
          </w:p>
        </w:tc>
      </w:tr>
      <w:tr>
        <w:trPr>
          <w:trHeight w:val="203"/>
        </w:trPr>
        <w:tc>
          <w:tcPr>
            <w:tcW w:w="34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231F20"/>
              </w:rPr>
              <w:t>Less: Accumulated depreciation</w:t>
            </w:r>
          </w:p>
        </w:tc>
        <w:tc>
          <w:tcPr>
            <w:tcW w:w="3200" w:type="dxa"/>
            <w:vAlign w:val="bottom"/>
            <w:tcBorders>
              <w:bottom w:val="single" w:sz="8" w:color="CCEEFF"/>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jc w:val="right"/>
              <w:ind w:right="13"/>
              <w:spacing w:after="0" w:line="202" w:lineRule="exact"/>
              <w:rPr>
                <w:sz w:val="20"/>
                <w:szCs w:val="20"/>
                <w:color w:val="auto"/>
              </w:rPr>
            </w:pPr>
            <w:r>
              <w:rPr>
                <w:rFonts w:ascii="Arial" w:cs="Arial" w:eastAsia="Arial" w:hAnsi="Arial"/>
                <w:sz w:val="18"/>
                <w:szCs w:val="18"/>
                <w:color w:val="231F20"/>
              </w:rPr>
              <w:t>(151)</w:t>
            </w:r>
          </w:p>
        </w:tc>
        <w:tc>
          <w:tcPr>
            <w:tcW w:w="340" w:type="dxa"/>
            <w:vAlign w:val="bottom"/>
            <w:tcBorders>
              <w:bottom w:val="single" w:sz="8" w:color="231F20"/>
            </w:tcBorders>
          </w:tcPr>
          <w:p>
            <w:pPr>
              <w:spacing w:after="0"/>
              <w:rPr>
                <w:sz w:val="17"/>
                <w:szCs w:val="17"/>
                <w:color w:val="auto"/>
              </w:rPr>
            </w:pPr>
          </w:p>
        </w:tc>
        <w:tc>
          <w:tcPr>
            <w:tcW w:w="740" w:type="dxa"/>
            <w:vAlign w:val="bottom"/>
            <w:tcBorders>
              <w:bottom w:val="single" w:sz="8" w:color="231F20"/>
            </w:tcBorders>
          </w:tcPr>
          <w:p>
            <w:pPr>
              <w:jc w:val="right"/>
              <w:spacing w:after="0" w:line="202" w:lineRule="exact"/>
              <w:rPr>
                <w:sz w:val="20"/>
                <w:szCs w:val="20"/>
                <w:color w:val="auto"/>
              </w:rPr>
            </w:pPr>
            <w:r>
              <w:rPr>
                <w:rFonts w:ascii="Arial" w:cs="Arial" w:eastAsia="Arial" w:hAnsi="Arial"/>
                <w:sz w:val="18"/>
                <w:szCs w:val="18"/>
                <w:color w:val="231F20"/>
              </w:rPr>
              <w:t>(62)</w:t>
            </w:r>
          </w:p>
        </w:tc>
        <w:tc>
          <w:tcPr>
            <w:tcW w:w="20" w:type="dxa"/>
            <w:vAlign w:val="bottom"/>
          </w:tcPr>
          <w:p>
            <w:pPr>
              <w:spacing w:after="0"/>
              <w:rPr>
                <w:sz w:val="17"/>
                <w:szCs w:val="17"/>
                <w:color w:val="auto"/>
              </w:rPr>
            </w:pPr>
          </w:p>
        </w:tc>
      </w:tr>
      <w:tr>
        <w:trPr>
          <w:trHeight w:val="196"/>
        </w:trPr>
        <w:tc>
          <w:tcPr>
            <w:tcW w:w="348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Property and equipment, net</w:t>
            </w:r>
          </w:p>
        </w:tc>
        <w:tc>
          <w:tcPr>
            <w:tcW w:w="32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231F20"/>
              </w:rPr>
              <w:t>$</w:t>
            </w:r>
          </w:p>
        </w:tc>
        <w:tc>
          <w:tcPr>
            <w:tcW w:w="880" w:type="dxa"/>
            <w:vAlign w:val="bottom"/>
            <w:tcBorders>
              <w:bottom w:val="single" w:sz="8" w:color="auto"/>
            </w:tcBorders>
            <w:shd w:val="clear" w:color="auto" w:fill="CCEEFF"/>
          </w:tcPr>
          <w:p>
            <w:pPr>
              <w:jc w:val="right"/>
              <w:ind w:right="73"/>
              <w:spacing w:after="0" w:line="196" w:lineRule="exact"/>
              <w:rPr>
                <w:sz w:val="20"/>
                <w:szCs w:val="20"/>
                <w:color w:val="auto"/>
              </w:rPr>
            </w:pPr>
            <w:r>
              <w:rPr>
                <w:rFonts w:ascii="Arial" w:cs="Arial" w:eastAsia="Arial" w:hAnsi="Arial"/>
                <w:sz w:val="18"/>
                <w:szCs w:val="18"/>
                <w:color w:val="231F20"/>
              </w:rPr>
              <w:t>975</w:t>
            </w:r>
          </w:p>
        </w:tc>
        <w:tc>
          <w:tcPr>
            <w:tcW w:w="340" w:type="dxa"/>
            <w:vAlign w:val="bottom"/>
            <w:tcBorders>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75</w:t>
            </w:r>
          </w:p>
        </w:tc>
        <w:tc>
          <w:tcPr>
            <w:tcW w:w="20" w:type="dxa"/>
            <w:vAlign w:val="bottom"/>
          </w:tcPr>
          <w:p>
            <w:pPr>
              <w:spacing w:after="0"/>
              <w:rPr>
                <w:sz w:val="17"/>
                <w:szCs w:val="17"/>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6"/>
        </w:trPr>
        <w:tc>
          <w:tcPr>
            <w:tcW w:w="3480" w:type="dxa"/>
            <w:vAlign w:val="bottom"/>
          </w:tcPr>
          <w:p>
            <w:pPr>
              <w:spacing w:after="0"/>
              <w:rPr>
                <w:sz w:val="24"/>
                <w:szCs w:val="24"/>
                <w:color w:val="auto"/>
              </w:rPr>
            </w:pPr>
          </w:p>
        </w:tc>
        <w:tc>
          <w:tcPr>
            <w:tcW w:w="3200" w:type="dxa"/>
            <w:vAlign w:val="bottom"/>
          </w:tcPr>
          <w:p>
            <w:pPr>
              <w:jc w:val="right"/>
              <w:ind w:right="203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4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Prepaid Expenses and Other Current Assets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460" w:type="dxa"/>
            <w:vAlign w:val="bottom"/>
            <w:tcBorders>
              <w:top w:val="single" w:sz="8" w:color="auto"/>
            </w:tcBorders>
          </w:tcPr>
          <w:p>
            <w:pPr>
              <w:spacing w:after="0"/>
              <w:rPr>
                <w:sz w:val="15"/>
                <w:szCs w:val="15"/>
                <w:color w:val="auto"/>
              </w:rPr>
            </w:pPr>
          </w:p>
        </w:tc>
        <w:tc>
          <w:tcPr>
            <w:tcW w:w="1120" w:type="dxa"/>
            <w:vAlign w:val="bottom"/>
            <w:tcBorders>
              <w:top w:val="single" w:sz="8" w:color="auto"/>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64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231F20"/>
              </w:rPr>
              <w:t>2021</w:t>
            </w: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32"/>
              <w:spacing w:after="0" w:line="155" w:lineRule="exact"/>
              <w:rPr>
                <w:sz w:val="20"/>
                <w:szCs w:val="20"/>
                <w:color w:val="auto"/>
              </w:rPr>
            </w:pPr>
            <w:r>
              <w:rPr>
                <w:rFonts w:ascii="Arial" w:cs="Arial" w:eastAsia="Arial" w:hAnsi="Arial"/>
                <w:sz w:val="14"/>
                <w:szCs w:val="14"/>
                <w:b w:val="1"/>
                <w:bCs w:val="1"/>
                <w:color w:val="231F20"/>
              </w:rPr>
              <w:t>2020</w:t>
            </w:r>
          </w:p>
        </w:tc>
        <w:tc>
          <w:tcPr>
            <w:tcW w:w="20" w:type="dxa"/>
            <w:vAlign w:val="bottom"/>
            <w:tcBorders>
              <w:bottom w:val="single" w:sz="8" w:color="auto"/>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6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231F20"/>
              </w:rPr>
              <w:t>Prepaid clinical trial costs</w:t>
            </w:r>
          </w:p>
        </w:tc>
        <w:tc>
          <w:tcPr>
            <w:tcW w:w="240" w:type="dxa"/>
            <w:vAlign w:val="bottom"/>
            <w:gridSpan w:val="2"/>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88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231F20"/>
              </w:rPr>
              <w:t>1,167</w:t>
            </w:r>
          </w:p>
        </w:tc>
        <w:tc>
          <w:tcPr>
            <w:tcW w:w="34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1,148</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tcPr>
          <w:p>
            <w:pPr>
              <w:spacing w:after="0" w:line="202" w:lineRule="exact"/>
              <w:rPr>
                <w:sz w:val="20"/>
                <w:szCs w:val="20"/>
                <w:color w:val="auto"/>
              </w:rPr>
            </w:pPr>
            <w:r>
              <w:rPr>
                <w:rFonts w:ascii="Arial" w:cs="Arial" w:eastAsia="Arial" w:hAnsi="Arial"/>
                <w:sz w:val="18"/>
                <w:szCs w:val="18"/>
                <w:color w:val="231F20"/>
              </w:rPr>
              <w:t>Prepaid insurance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72"/>
              <w:spacing w:after="0" w:line="202" w:lineRule="exact"/>
              <w:rPr>
                <w:sz w:val="20"/>
                <w:szCs w:val="20"/>
                <w:color w:val="auto"/>
              </w:rPr>
            </w:pPr>
            <w:r>
              <w:rPr>
                <w:rFonts w:ascii="Arial" w:cs="Arial" w:eastAsia="Arial" w:hAnsi="Arial"/>
                <w:sz w:val="18"/>
                <w:szCs w:val="18"/>
                <w:color w:val="231F20"/>
              </w:rPr>
              <w:t>318</w:t>
            </w:r>
          </w:p>
        </w:tc>
        <w:tc>
          <w:tcPr>
            <w:tcW w:w="3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231F20"/>
              </w:rPr>
              <w:t>1,663</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Prepaid subscriptions and licenses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231F20"/>
              </w:rPr>
              <w:t>318</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231F20"/>
              </w:rPr>
              <w:t>—</w:t>
            </w:r>
          </w:p>
        </w:tc>
      </w:tr>
      <w:tr>
        <w:trPr>
          <w:trHeight w:val="203"/>
        </w:trPr>
        <w:tc>
          <w:tcPr>
            <w:tcW w:w="20" w:type="dxa"/>
            <w:vAlign w:val="bottom"/>
          </w:tcPr>
          <w:p>
            <w:pPr>
              <w:spacing w:after="0"/>
              <w:rPr>
                <w:sz w:val="17"/>
                <w:szCs w:val="17"/>
                <w:color w:val="auto"/>
              </w:rPr>
            </w:pPr>
          </w:p>
        </w:tc>
        <w:tc>
          <w:tcPr>
            <w:tcW w:w="6680" w:type="dxa"/>
            <w:vAlign w:val="bottom"/>
            <w:gridSpan w:val="2"/>
          </w:tcPr>
          <w:p>
            <w:pPr>
              <w:spacing w:after="0" w:line="202" w:lineRule="exact"/>
              <w:rPr>
                <w:sz w:val="20"/>
                <w:szCs w:val="20"/>
                <w:color w:val="auto"/>
              </w:rPr>
            </w:pPr>
            <w:r>
              <w:rPr>
                <w:rFonts w:ascii="Arial" w:cs="Arial" w:eastAsia="Arial" w:hAnsi="Arial"/>
                <w:sz w:val="18"/>
                <w:szCs w:val="18"/>
                <w:color w:val="231F20"/>
              </w:rPr>
              <w:t>Prepaid research contracts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72"/>
              <w:spacing w:after="0" w:line="202" w:lineRule="exact"/>
              <w:rPr>
                <w:sz w:val="20"/>
                <w:szCs w:val="20"/>
                <w:color w:val="auto"/>
              </w:rPr>
            </w:pPr>
            <w:r>
              <w:rPr>
                <w:rFonts w:ascii="Arial" w:cs="Arial" w:eastAsia="Arial" w:hAnsi="Arial"/>
                <w:sz w:val="18"/>
                <w:szCs w:val="18"/>
                <w:color w:val="231F20"/>
              </w:rPr>
              <w:t>199</w:t>
            </w:r>
          </w:p>
        </w:tc>
        <w:tc>
          <w:tcPr>
            <w:tcW w:w="3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231F20"/>
              </w:rPr>
              <w:t>432</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231F20"/>
              </w:rPr>
              <w:t>Prepaid rent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231F20"/>
              </w:rPr>
              <w:t>91</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196</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8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231F20"/>
              </w:rPr>
              <w:t>Other</w:t>
            </w:r>
          </w:p>
        </w:tc>
        <w:tc>
          <w:tcPr>
            <w:tcW w:w="20" w:type="dxa"/>
            <w:vAlign w:val="bottom"/>
            <w:tcBorders>
              <w:bottom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jc w:val="right"/>
              <w:ind w:right="72"/>
              <w:spacing w:after="0" w:line="202" w:lineRule="exact"/>
              <w:rPr>
                <w:sz w:val="20"/>
                <w:szCs w:val="20"/>
                <w:color w:val="auto"/>
              </w:rPr>
            </w:pPr>
            <w:r>
              <w:rPr>
                <w:rFonts w:ascii="Arial" w:cs="Arial" w:eastAsia="Arial" w:hAnsi="Arial"/>
                <w:sz w:val="18"/>
                <w:szCs w:val="18"/>
                <w:color w:val="231F20"/>
              </w:rPr>
              <w:t>233</w:t>
            </w:r>
          </w:p>
        </w:tc>
        <w:tc>
          <w:tcPr>
            <w:tcW w:w="340" w:type="dxa"/>
            <w:vAlign w:val="bottom"/>
            <w:tcBorders>
              <w:bottom w:val="single" w:sz="8" w:color="231F20"/>
            </w:tcBorders>
          </w:tcPr>
          <w:p>
            <w:pPr>
              <w:spacing w:after="0"/>
              <w:rPr>
                <w:sz w:val="17"/>
                <w:szCs w:val="17"/>
                <w:color w:val="auto"/>
              </w:rPr>
            </w:pPr>
          </w:p>
        </w:tc>
        <w:tc>
          <w:tcPr>
            <w:tcW w:w="740" w:type="dxa"/>
            <w:vAlign w:val="bottom"/>
            <w:tcBorders>
              <w:bottom w:val="single" w:sz="8" w:color="231F20"/>
            </w:tcBorders>
          </w:tcPr>
          <w:p>
            <w:pPr>
              <w:jc w:val="right"/>
              <w:spacing w:after="0" w:line="202" w:lineRule="exact"/>
              <w:rPr>
                <w:sz w:val="20"/>
                <w:szCs w:val="20"/>
                <w:color w:val="auto"/>
              </w:rPr>
            </w:pPr>
            <w:r>
              <w:rPr>
                <w:rFonts w:ascii="Arial" w:cs="Arial" w:eastAsia="Arial" w:hAnsi="Arial"/>
                <w:sz w:val="18"/>
                <w:szCs w:val="18"/>
                <w:color w:val="231F20"/>
              </w:rPr>
              <w:t>149</w:t>
            </w:r>
          </w:p>
        </w:tc>
        <w:tc>
          <w:tcPr>
            <w:tcW w:w="20" w:type="dxa"/>
            <w:vAlign w:val="bottom"/>
            <w:tcBorders>
              <w:bottom w:val="single" w:sz="8" w:color="231F20"/>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80" w:type="dxa"/>
            <w:vAlign w:val="bottom"/>
            <w:tcBorders>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gridSpan w:val="2"/>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880" w:type="dxa"/>
            <w:vAlign w:val="bottom"/>
            <w:tcBorders>
              <w:bottom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231F20"/>
              </w:rPr>
              <w:t>2,326</w:t>
            </w:r>
          </w:p>
        </w:tc>
        <w:tc>
          <w:tcPr>
            <w:tcW w:w="340" w:type="dxa"/>
            <w:vAlign w:val="bottom"/>
            <w:tcBorders>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3,588</w:t>
            </w:r>
          </w:p>
        </w:tc>
        <w:tc>
          <w:tcPr>
            <w:tcW w:w="20" w:type="dxa"/>
            <w:vAlign w:val="bottom"/>
            <w:tcBorders>
              <w:bottom w:val="single" w:sz="8" w:color="auto"/>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40"/>
        </w:trPr>
        <w:tc>
          <w:tcPr>
            <w:tcW w:w="240" w:type="dxa"/>
            <w:vAlign w:val="bottom"/>
            <w:gridSpan w:val="2"/>
          </w:tcPr>
          <w:p>
            <w:pPr>
              <w:ind w:left="20"/>
              <w:spacing w:after="0"/>
              <w:rPr>
                <w:sz w:val="20"/>
                <w:szCs w:val="20"/>
                <w:color w:val="auto"/>
              </w:rPr>
            </w:pPr>
            <w:r>
              <w:rPr>
                <w:rFonts w:ascii="Arial" w:cs="Arial" w:eastAsia="Arial" w:hAnsi="Arial"/>
                <w:sz w:val="18"/>
                <w:szCs w:val="18"/>
                <w:color w:val="auto"/>
              </w:rPr>
              <w:t>6.</w:t>
            </w:r>
          </w:p>
        </w:tc>
        <w:tc>
          <w:tcPr>
            <w:tcW w:w="6460" w:type="dxa"/>
            <w:vAlign w:val="bottom"/>
          </w:tcPr>
          <w:p>
            <w:pPr>
              <w:ind w:left="10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6700" w:type="dxa"/>
            <w:vAlign w:val="bottom"/>
            <w:gridSpan w:val="3"/>
          </w:tcPr>
          <w:p>
            <w:pPr>
              <w:ind w:left="20"/>
              <w:spacing w:after="0"/>
              <w:rPr>
                <w:sz w:val="20"/>
                <w:szCs w:val="20"/>
                <w:color w:val="auto"/>
              </w:rPr>
            </w:pPr>
            <w:r>
              <w:rPr>
                <w:rFonts w:ascii="Arial" w:cs="Arial" w:eastAsia="Arial" w:hAnsi="Arial"/>
                <w:sz w:val="18"/>
                <w:szCs w:val="18"/>
                <w:color w:val="auto"/>
              </w:rPr>
              <w:t>Other current liabilities consisted of the following (in thousands):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100" w:type="dxa"/>
            <w:vAlign w:val="bottom"/>
            <w:gridSpan w:val="3"/>
          </w:tcPr>
          <w:p>
            <w:pPr>
              <w:spacing w:after="0"/>
              <w:rPr>
                <w:sz w:val="18"/>
                <w:szCs w:val="18"/>
                <w:color w:val="auto"/>
              </w:rPr>
            </w:pPr>
          </w:p>
        </w:tc>
      </w:tr>
      <w:tr>
        <w:trPr>
          <w:trHeight w:val="156"/>
        </w:trPr>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4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gridSpan w:val="2"/>
          </w:tcPr>
          <w:p>
            <w:pPr>
              <w:jc w:val="right"/>
              <w:ind w:right="32"/>
              <w:spacing w:after="0" w:line="155" w:lineRule="exact"/>
              <w:rPr>
                <w:sz w:val="20"/>
                <w:szCs w:val="20"/>
                <w:color w:val="auto"/>
              </w:rPr>
            </w:pPr>
            <w:r>
              <w:rPr>
                <w:rFonts w:ascii="Arial" w:cs="Arial" w:eastAsia="Arial" w:hAnsi="Arial"/>
                <w:sz w:val="14"/>
                <w:szCs w:val="14"/>
                <w:b w:val="1"/>
                <w:bCs w:val="1"/>
                <w:color w:val="auto"/>
              </w:rPr>
              <w:t>September 30,</w:t>
            </w:r>
          </w:p>
        </w:tc>
        <w:tc>
          <w:tcPr>
            <w:tcW w:w="108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3"/>
                <w:szCs w:val="13"/>
                <w:color w:val="auto"/>
              </w:rPr>
            </w:pPr>
          </w:p>
        </w:tc>
      </w:tr>
      <w:tr>
        <w:trPr>
          <w:trHeight w:val="155"/>
        </w:trPr>
        <w:tc>
          <w:tcPr>
            <w:tcW w:w="6700" w:type="dxa"/>
            <w:vAlign w:val="bottom"/>
            <w:tcBorders>
              <w:bottom w:val="single" w:sz="8" w:color="CCEEFF"/>
            </w:tcBorders>
            <w:gridSpan w:val="3"/>
          </w:tcPr>
          <w:p>
            <w:pPr>
              <w:ind w:left="20"/>
              <w:spacing w:after="0" w:line="155" w:lineRule="exact"/>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231F20"/>
              </w:rPr>
              <w:t>2021</w:t>
            </w: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32"/>
              <w:spacing w:after="0" w:line="155" w:lineRule="exact"/>
              <w:rPr>
                <w:sz w:val="20"/>
                <w:szCs w:val="20"/>
                <w:color w:val="auto"/>
              </w:rPr>
            </w:pPr>
            <w:r>
              <w:rPr>
                <w:rFonts w:ascii="Arial" w:cs="Arial" w:eastAsia="Arial" w:hAnsi="Arial"/>
                <w:sz w:val="14"/>
                <w:szCs w:val="14"/>
                <w:b w:val="1"/>
                <w:bCs w:val="1"/>
                <w:color w:val="231F20"/>
              </w:rPr>
              <w:t>2020</w:t>
            </w:r>
          </w:p>
        </w:tc>
        <w:tc>
          <w:tcPr>
            <w:tcW w:w="20" w:type="dxa"/>
            <w:vAlign w:val="bottom"/>
          </w:tcPr>
          <w:p>
            <w:pPr>
              <w:spacing w:after="0"/>
              <w:rPr>
                <w:sz w:val="13"/>
                <w:szCs w:val="13"/>
                <w:color w:val="auto"/>
              </w:rPr>
            </w:pPr>
          </w:p>
        </w:tc>
      </w:tr>
      <w:tr>
        <w:trPr>
          <w:trHeight w:val="196"/>
        </w:trPr>
        <w:tc>
          <w:tcPr>
            <w:tcW w:w="670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231F20"/>
              </w:rPr>
              <w:t>Accrued R&amp;D related costs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88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231F20"/>
              </w:rPr>
              <w:t>4,310</w:t>
            </w:r>
          </w:p>
        </w:tc>
        <w:tc>
          <w:tcPr>
            <w:tcW w:w="34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609</w:t>
            </w:r>
          </w:p>
        </w:tc>
        <w:tc>
          <w:tcPr>
            <w:tcW w:w="20" w:type="dxa"/>
            <w:vAlign w:val="bottom"/>
          </w:tcPr>
          <w:p>
            <w:pPr>
              <w:spacing w:after="0"/>
              <w:rPr>
                <w:sz w:val="17"/>
                <w:szCs w:val="17"/>
                <w:color w:val="auto"/>
              </w:rPr>
            </w:pPr>
          </w:p>
        </w:tc>
      </w:tr>
      <w:tr>
        <w:trPr>
          <w:trHeight w:val="203"/>
        </w:trPr>
        <w:tc>
          <w:tcPr>
            <w:tcW w:w="6700" w:type="dxa"/>
            <w:vAlign w:val="bottom"/>
            <w:gridSpan w:val="3"/>
          </w:tcPr>
          <w:p>
            <w:pPr>
              <w:ind w:left="20"/>
              <w:spacing w:after="0" w:line="202" w:lineRule="exact"/>
              <w:rPr>
                <w:sz w:val="20"/>
                <w:szCs w:val="20"/>
                <w:color w:val="auto"/>
              </w:rPr>
            </w:pPr>
            <w:r>
              <w:rPr>
                <w:rFonts w:ascii="Arial" w:cs="Arial" w:eastAsia="Arial" w:hAnsi="Arial"/>
                <w:sz w:val="18"/>
                <w:szCs w:val="18"/>
                <w:color w:val="231F20"/>
              </w:rPr>
              <w:t>Accrued employee bonuses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2"/>
              <w:spacing w:after="0" w:line="202" w:lineRule="exact"/>
              <w:rPr>
                <w:sz w:val="20"/>
                <w:szCs w:val="20"/>
                <w:color w:val="auto"/>
              </w:rPr>
            </w:pPr>
            <w:r>
              <w:rPr>
                <w:rFonts w:ascii="Arial" w:cs="Arial" w:eastAsia="Arial" w:hAnsi="Arial"/>
                <w:sz w:val="18"/>
                <w:szCs w:val="18"/>
                <w:color w:val="231F20"/>
              </w:rPr>
              <w:t>2,111</w:t>
            </w:r>
          </w:p>
        </w:tc>
        <w:tc>
          <w:tcPr>
            <w:tcW w:w="3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231F20"/>
              </w:rPr>
              <w:t>1,222</w:t>
            </w:r>
          </w:p>
        </w:tc>
        <w:tc>
          <w:tcPr>
            <w:tcW w:w="20" w:type="dxa"/>
            <w:vAlign w:val="bottom"/>
          </w:tcPr>
          <w:p>
            <w:pPr>
              <w:spacing w:after="0"/>
              <w:rPr>
                <w:sz w:val="17"/>
                <w:szCs w:val="17"/>
                <w:color w:val="auto"/>
              </w:rPr>
            </w:pPr>
          </w:p>
        </w:tc>
      </w:tr>
      <w:tr>
        <w:trPr>
          <w:trHeight w:val="203"/>
        </w:trPr>
        <w:tc>
          <w:tcPr>
            <w:tcW w:w="670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231F20"/>
              </w:rPr>
              <w:t>Accrued professional fees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231F20"/>
              </w:rPr>
              <w:t>960</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577</w:t>
            </w:r>
          </w:p>
        </w:tc>
        <w:tc>
          <w:tcPr>
            <w:tcW w:w="20" w:type="dxa"/>
            <w:vAlign w:val="bottom"/>
          </w:tcPr>
          <w:p>
            <w:pPr>
              <w:spacing w:after="0"/>
              <w:rPr>
                <w:sz w:val="17"/>
                <w:szCs w:val="17"/>
                <w:color w:val="auto"/>
              </w:rPr>
            </w:pPr>
          </w:p>
        </w:tc>
      </w:tr>
      <w:tr>
        <w:trPr>
          <w:trHeight w:val="203"/>
        </w:trPr>
        <w:tc>
          <w:tcPr>
            <w:tcW w:w="6700" w:type="dxa"/>
            <w:vAlign w:val="bottom"/>
            <w:gridSpan w:val="3"/>
          </w:tcPr>
          <w:p>
            <w:pPr>
              <w:ind w:left="20"/>
              <w:spacing w:after="0" w:line="202" w:lineRule="exact"/>
              <w:rPr>
                <w:sz w:val="20"/>
                <w:szCs w:val="20"/>
                <w:color w:val="auto"/>
              </w:rPr>
            </w:pPr>
            <w:r>
              <w:rPr>
                <w:rFonts w:ascii="Arial" w:cs="Arial" w:eastAsia="Arial" w:hAnsi="Arial"/>
                <w:sz w:val="18"/>
                <w:szCs w:val="18"/>
                <w:color w:val="231F20"/>
              </w:rPr>
              <w:t>Accrued payroll related costs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2"/>
              <w:spacing w:after="0" w:line="202" w:lineRule="exact"/>
              <w:rPr>
                <w:sz w:val="20"/>
                <w:szCs w:val="20"/>
                <w:color w:val="auto"/>
              </w:rPr>
            </w:pPr>
            <w:r>
              <w:rPr>
                <w:rFonts w:ascii="Arial" w:cs="Arial" w:eastAsia="Arial" w:hAnsi="Arial"/>
                <w:sz w:val="18"/>
                <w:szCs w:val="18"/>
                <w:color w:val="231F20"/>
              </w:rPr>
              <w:t>654</w:t>
            </w:r>
          </w:p>
        </w:tc>
        <w:tc>
          <w:tcPr>
            <w:tcW w:w="3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231F20"/>
              </w:rPr>
              <w:t>444</w:t>
            </w:r>
          </w:p>
        </w:tc>
        <w:tc>
          <w:tcPr>
            <w:tcW w:w="20" w:type="dxa"/>
            <w:vAlign w:val="bottom"/>
          </w:tcPr>
          <w:p>
            <w:pPr>
              <w:spacing w:after="0"/>
              <w:rPr>
                <w:sz w:val="17"/>
                <w:szCs w:val="17"/>
                <w:color w:val="auto"/>
              </w:rPr>
            </w:pPr>
          </w:p>
        </w:tc>
      </w:tr>
      <w:tr>
        <w:trPr>
          <w:trHeight w:val="203"/>
        </w:trPr>
        <w:tc>
          <w:tcPr>
            <w:tcW w:w="670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231F20"/>
              </w:rPr>
              <w:t>Early exercise of unvested stock options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231F20"/>
              </w:rPr>
              <w:t>237</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578</w:t>
            </w:r>
          </w:p>
        </w:tc>
        <w:tc>
          <w:tcPr>
            <w:tcW w:w="20" w:type="dxa"/>
            <w:vAlign w:val="bottom"/>
          </w:tcPr>
          <w:p>
            <w:pPr>
              <w:spacing w:after="0"/>
              <w:rPr>
                <w:sz w:val="17"/>
                <w:szCs w:val="17"/>
                <w:color w:val="auto"/>
              </w:rPr>
            </w:pPr>
          </w:p>
        </w:tc>
      </w:tr>
      <w:tr>
        <w:trPr>
          <w:trHeight w:val="203"/>
        </w:trPr>
        <w:tc>
          <w:tcPr>
            <w:tcW w:w="6700" w:type="dxa"/>
            <w:vAlign w:val="bottom"/>
            <w:gridSpan w:val="3"/>
          </w:tcPr>
          <w:p>
            <w:pPr>
              <w:ind w:left="20"/>
              <w:spacing w:after="0" w:line="202" w:lineRule="exact"/>
              <w:rPr>
                <w:sz w:val="20"/>
                <w:szCs w:val="20"/>
                <w:color w:val="auto"/>
              </w:rPr>
            </w:pPr>
            <w:r>
              <w:rPr>
                <w:rFonts w:ascii="Arial" w:cs="Arial" w:eastAsia="Arial" w:hAnsi="Arial"/>
                <w:sz w:val="18"/>
                <w:szCs w:val="18"/>
                <w:color w:val="231F20"/>
              </w:rPr>
              <w:t>Accrued taxes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2"/>
              <w:spacing w:after="0" w:line="202" w:lineRule="exact"/>
              <w:rPr>
                <w:sz w:val="20"/>
                <w:szCs w:val="20"/>
                <w:color w:val="auto"/>
              </w:rPr>
            </w:pPr>
            <w:r>
              <w:rPr>
                <w:rFonts w:ascii="Arial" w:cs="Arial" w:eastAsia="Arial" w:hAnsi="Arial"/>
                <w:sz w:val="18"/>
                <w:szCs w:val="18"/>
                <w:color w:val="231F20"/>
              </w:rPr>
              <w:t>67</w:t>
            </w:r>
          </w:p>
        </w:tc>
        <w:tc>
          <w:tcPr>
            <w:tcW w:w="3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231F20"/>
              </w:rPr>
              <w:t>198</w:t>
            </w:r>
          </w:p>
        </w:tc>
        <w:tc>
          <w:tcPr>
            <w:tcW w:w="20" w:type="dxa"/>
            <w:vAlign w:val="bottom"/>
          </w:tcPr>
          <w:p>
            <w:pPr>
              <w:spacing w:after="0"/>
              <w:rPr>
                <w:sz w:val="17"/>
                <w:szCs w:val="17"/>
                <w:color w:val="auto"/>
              </w:rPr>
            </w:pPr>
          </w:p>
        </w:tc>
      </w:tr>
      <w:tr>
        <w:trPr>
          <w:trHeight w:val="203"/>
        </w:trPr>
        <w:tc>
          <w:tcPr>
            <w:tcW w:w="670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231F20"/>
              </w:rPr>
              <w:t>Other</w:t>
            </w:r>
          </w:p>
        </w:tc>
        <w:tc>
          <w:tcPr>
            <w:tcW w:w="20" w:type="dxa"/>
            <w:vAlign w:val="bottom"/>
            <w:shd w:val="clear" w:color="auto" w:fill="CCEEFF"/>
          </w:tcPr>
          <w:p>
            <w:pPr>
              <w:spacing w:after="0"/>
              <w:rPr>
                <w:sz w:val="17"/>
                <w:szCs w:val="17"/>
                <w:color w:val="auto"/>
              </w:rPr>
            </w:pPr>
          </w:p>
        </w:tc>
        <w:tc>
          <w:tcPr>
            <w:tcW w:w="220" w:type="dxa"/>
            <w:vAlign w:val="bottom"/>
            <w:tcBorders>
              <w:bottom w:val="single" w:sz="8" w:color="231F20"/>
            </w:tcBorders>
            <w:shd w:val="clear" w:color="auto" w:fill="CCEEFF"/>
          </w:tcPr>
          <w:p>
            <w:pPr>
              <w:spacing w:after="0"/>
              <w:rPr>
                <w:sz w:val="17"/>
                <w:szCs w:val="17"/>
                <w:color w:val="auto"/>
              </w:rPr>
            </w:pPr>
          </w:p>
        </w:tc>
        <w:tc>
          <w:tcPr>
            <w:tcW w:w="880" w:type="dxa"/>
            <w:vAlign w:val="bottom"/>
            <w:tcBorders>
              <w:bottom w:val="single" w:sz="8" w:color="231F20"/>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231F20"/>
              </w:rPr>
              <w:t>256</w:t>
            </w:r>
          </w:p>
        </w:tc>
        <w:tc>
          <w:tcPr>
            <w:tcW w:w="340" w:type="dxa"/>
            <w:vAlign w:val="bottom"/>
            <w:tcBorders>
              <w:bottom w:val="single" w:sz="8" w:color="231F20"/>
            </w:tcBorders>
            <w:shd w:val="clear" w:color="auto" w:fill="CCEEFF"/>
          </w:tcPr>
          <w:p>
            <w:pPr>
              <w:spacing w:after="0"/>
              <w:rPr>
                <w:sz w:val="17"/>
                <w:szCs w:val="17"/>
                <w:color w:val="auto"/>
              </w:rPr>
            </w:pPr>
          </w:p>
        </w:tc>
        <w:tc>
          <w:tcPr>
            <w:tcW w:w="740" w:type="dxa"/>
            <w:vAlign w:val="bottom"/>
            <w:tcBorders>
              <w:bottom w:val="single" w:sz="8" w:color="231F20"/>
            </w:tcBorders>
            <w:shd w:val="clear" w:color="auto" w:fill="CCEEFF"/>
          </w:tcPr>
          <w:p>
            <w:pPr>
              <w:jc w:val="right"/>
              <w:spacing w:after="0" w:line="202" w:lineRule="exact"/>
              <w:rPr>
                <w:sz w:val="20"/>
                <w:szCs w:val="20"/>
                <w:color w:val="auto"/>
              </w:rPr>
            </w:pPr>
            <w:r>
              <w:rPr>
                <w:rFonts w:ascii="Arial" w:cs="Arial" w:eastAsia="Arial" w:hAnsi="Arial"/>
                <w:sz w:val="18"/>
                <w:szCs w:val="18"/>
                <w:color w:val="231F20"/>
              </w:rPr>
              <w:t>238</w:t>
            </w:r>
          </w:p>
        </w:tc>
        <w:tc>
          <w:tcPr>
            <w:tcW w:w="20" w:type="dxa"/>
            <w:vAlign w:val="bottom"/>
          </w:tcPr>
          <w:p>
            <w:pPr>
              <w:spacing w:after="0"/>
              <w:rPr>
                <w:sz w:val="17"/>
                <w:szCs w:val="17"/>
                <w:color w:val="auto"/>
              </w:rPr>
            </w:pPr>
          </w:p>
        </w:tc>
      </w:tr>
      <w:tr>
        <w:trPr>
          <w:trHeight w:val="196"/>
        </w:trPr>
        <w:tc>
          <w:tcPr>
            <w:tcW w:w="6700" w:type="dxa"/>
            <w:vAlign w:val="bottom"/>
            <w:tcBorders>
              <w:bottom w:val="single" w:sz="8" w:color="auto"/>
            </w:tcBorders>
            <w:gridSpan w:val="3"/>
          </w:tcPr>
          <w:p>
            <w:pPr>
              <w:ind w:left="20"/>
              <w:spacing w:after="0" w:line="196"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w:t>
            </w:r>
          </w:p>
        </w:tc>
        <w:tc>
          <w:tcPr>
            <w:tcW w:w="88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231F20"/>
              </w:rPr>
              <w:t>8,595</w:t>
            </w:r>
          </w:p>
        </w:tc>
        <w:tc>
          <w:tcPr>
            <w:tcW w:w="34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3,866</w:t>
            </w:r>
          </w:p>
        </w:tc>
        <w:tc>
          <w:tcPr>
            <w:tcW w:w="20" w:type="dxa"/>
            <w:vAlign w:val="bottom"/>
          </w:tcPr>
          <w:p>
            <w:pPr>
              <w:spacing w:after="0"/>
              <w:rPr>
                <w:sz w:val="17"/>
                <w:szCs w:val="17"/>
                <w:color w:val="auto"/>
              </w:rPr>
            </w:pPr>
          </w:p>
        </w:tc>
      </w:tr>
      <w:tr>
        <w:trPr>
          <w:trHeight w:val="20"/>
        </w:trPr>
        <w:tc>
          <w:tcPr>
            <w:tcW w:w="240" w:type="dxa"/>
            <w:vAlign w:val="bottom"/>
            <w:tcBorders>
              <w:bottom w:val="single" w:sz="8" w:color="auto"/>
            </w:tcBorders>
            <w:gridSpan w:val="2"/>
          </w:tcPr>
          <w:p>
            <w:pPr>
              <w:spacing w:after="0" w:line="20" w:lineRule="exact"/>
              <w:rPr>
                <w:sz w:val="1"/>
                <w:szCs w:val="1"/>
                <w:color w:val="auto"/>
              </w:rPr>
            </w:pPr>
          </w:p>
        </w:tc>
        <w:tc>
          <w:tcPr>
            <w:tcW w:w="6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2"/>
        </w:trPr>
        <w:tc>
          <w:tcPr>
            <w:tcW w:w="240" w:type="dxa"/>
            <w:vAlign w:val="bottom"/>
            <w:gridSpan w:val="2"/>
          </w:tcPr>
          <w:p>
            <w:pPr>
              <w:ind w:left="20"/>
              <w:spacing w:after="0"/>
              <w:rPr>
                <w:sz w:val="20"/>
                <w:szCs w:val="20"/>
                <w:color w:val="auto"/>
              </w:rPr>
            </w:pPr>
            <w:r>
              <w:rPr>
                <w:rFonts w:ascii="Arial" w:cs="Arial" w:eastAsia="Arial" w:hAnsi="Arial"/>
                <w:sz w:val="18"/>
                <w:szCs w:val="18"/>
                <w:color w:val="auto"/>
              </w:rPr>
              <w:t>7.</w:t>
            </w:r>
          </w:p>
        </w:tc>
        <w:tc>
          <w:tcPr>
            <w:tcW w:w="6460" w:type="dxa"/>
            <w:vAlign w:val="bottom"/>
          </w:tcPr>
          <w:p>
            <w:pPr>
              <w:ind w:left="100"/>
              <w:spacing w:after="0"/>
              <w:rPr>
                <w:sz w:val="20"/>
                <w:szCs w:val="20"/>
                <w:color w:val="auto"/>
              </w:rPr>
            </w:pPr>
            <w:r>
              <w:rPr>
                <w:rFonts w:ascii="Arial" w:cs="Arial" w:eastAsia="Arial" w:hAnsi="Arial"/>
                <w:sz w:val="18"/>
                <w:szCs w:val="18"/>
                <w:color w:val="auto"/>
              </w:rPr>
              <w:t>Convertible Notes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2020 Convertible Notes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 January 3, 2020 (“issuance date”), the Company issued convertible promissory notes (the “2020 Notes”) in the aggregate principal amount of $3.0 million. The 2020 Notes bore interest at a rate of 1.21% per annum, were unsecured and were due and payable, including accrued interest, on May 2, 2020 (“maturity date”). The Company was not permitted to prepay the outstanding principal and interest without the consent of the note holders. In the event of a default, all unpaid principal and accrued interest would become immediately due.</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On the issuance date the Company determined that the conversion option associated with the 2020 Notes met the definition of a beneficial conversion feature (“BCF”) as the fair value of the underlying instrument at the time of issuance exceeded the contractual conversion price. The BCF was recognized at its aggregate intrinsic value of $1.1 million as a debt discount with a corresponding credit to additional paid-in capital in the Company’s balance sheet. The debt discount was amortized over the term of the 2020 Notes through the recognition of interest expense via the effective interest method.</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 March 17, 2020 (the “settlement date”), the Company issued and sold 2,545,277 shares of Series B convertible preferred stock at $ 4.712 per share for gross proceeds of approximately $12.0 million (see Note 8, “Convertible Preferred Stock”). On the settlement date, the principal and accrued interest then outstanding under the 2020 Notes of $3.0 million were converted into 638,270 shares of Series B convertible preferred stock (“March 2020 conversion”).</w:t>
      </w:r>
    </w:p>
    <w:p>
      <w:pPr>
        <w:spacing w:after="0" w:line="202"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On the settlement date, the unamortized debt discount on the 2020 Notes was $0.4 million and the intrinsic value of the BCF was $2.6 million representing an increase of $1.5 million from the issuance date of the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Notes. The March 2020 conversion was accounted for as a debt extinguishment. However, as the note holders were previous investors of the Company, the increase in the intrinsic value of the BCF was deemed to be a capital contribution and therefore not income attributable to common stockholders, and accordingly, the Company recorded the $1.5 million gain on extinguishment of the debt within additional paid-in capital.</w:t>
      </w:r>
    </w:p>
    <w:p>
      <w:pPr>
        <w:spacing w:after="0" w:line="205" w:lineRule="exact"/>
        <w:rPr>
          <w:sz w:val="20"/>
          <w:szCs w:val="20"/>
          <w:color w:val="auto"/>
        </w:rPr>
      </w:pPr>
    </w:p>
    <w:p>
      <w:pPr>
        <w:ind w:left="380" w:hanging="33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Convertible Preferred Stock</w:t>
      </w:r>
    </w:p>
    <w:p>
      <w:pPr>
        <w:spacing w:after="0" w:line="21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As of September 30, 2020, there were 23,765,075 shares of convertible preferred stock outstanding. Upon the closing of the Company’s IPO, each then outstanding share of convertible preferred stock was converted into one share of common stock.</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2021 and December 31, 2020, there was no convertible preferred stock outstanding.</w:t>
      </w:r>
    </w:p>
    <w:p>
      <w:pPr>
        <w:spacing w:after="0" w:line="21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Refer to Note 6 “Convertible Preferred Stock” included in the Annual Report on Form 10-K for the year ended December 31, 2020 filed on March 17, 2021 with the SEC.</w:t>
      </w:r>
    </w:p>
    <w:p>
      <w:pPr>
        <w:spacing w:after="0" w:line="372" w:lineRule="exact"/>
        <w:rPr>
          <w:sz w:val="20"/>
          <w:szCs w:val="20"/>
          <w:color w:val="auto"/>
        </w:rPr>
      </w:pPr>
    </w:p>
    <w:p>
      <w:pPr>
        <w:ind w:left="460" w:hanging="41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9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2014, the Company’s Board of Directors and stockholders approved and adopted the 2014 Stock Plan (the “2014 Plan”). The 2014 Plan was intended to advance the interests of the Company and its stockholders by providing an incentive to attract, retain and reward persons performing services for the Company and by motivating such persons to contribute to the growth and profitability of the Company. The 2014 Plan permitted the grant of options and restricted stock awards (including restricted stock purchase rights and restricted stock bonus awards). The maximum aggregate number of shares that may be subject to awards and sold under the 2014 Plan as of December 31, 2019 was 717,360 shares, which was subsequently increased to 4,842,180 in September 2020.The 2014 Plan was terminated on the date the 2020 Equity Incentive Plan (the “2020 Plan”), which is described below, became effective, and no additional awards will be made pursuant to the 2014 Plan. However, any outstanding awards granted under the 2014 Plan will remain outstanding, subject to the terms of the 2014 Plan award agreements, until such outstanding options are exercised or until any awards terminate or expire by their terms.</w:t>
      </w:r>
    </w:p>
    <w:p>
      <w:pPr>
        <w:spacing w:after="0" w:line="204"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7"/>
          <w:szCs w:val="17"/>
          <w:color w:val="auto"/>
        </w:rPr>
        <w:t>In 2020, the Company’s Board of Directors and stockholders approved and adopted the 2020 Plan. The 2020 Plan is intended to advance the interests of the Company and its stockholders by providing an incentive to attract, retain and reward persons performing services for the Company and by motivating such persons to contribute to the growth and profitability of the Company. The maximum number of shares of common stock that may be issued under the 2020 Plan will not exceed 6,494,510 shares of the Company’s common stock, which is the sum of (i) 2,152,080 new shares, plus (ii) an additional number of shares not to exceed 4,342,430 shares, consisting of any shares of the Company’s common stock subject to outstanding stock options or other stock awards granted under the Company’s 2014 Plan that, on or after the 2020 Plan becomes effective, terminate or expire prior to exercise or settlement; are not issued because the award is settled in cash; are forfeited because of the failure to vest; or are reacquired or withheld (or not issued) to satisfy a tax withholding obligation or the purchase or exercise price. In addition, the number of shares of the Company’s common stock reserved for issuance under the 2020 Plan automatically increases on January 1 of each year for a period of ten years, beginning on January 1, 2021 and continuing through January 1, 2030, in an amount equal to the lesser of</w:t>
      </w:r>
    </w:p>
    <w:p>
      <w:pPr>
        <w:spacing w:after="0" w:line="7" w:lineRule="exact"/>
        <w:rPr>
          <w:sz w:val="20"/>
          <w:szCs w:val="20"/>
          <w:color w:val="auto"/>
        </w:rPr>
      </w:pPr>
    </w:p>
    <w:p>
      <w:pPr>
        <w:jc w:val="both"/>
        <w:ind w:left="60" w:right="59" w:hanging="10"/>
        <w:spacing w:after="0" w:line="237" w:lineRule="auto"/>
        <w:tabs>
          <w:tab w:leader="none" w:pos="358" w:val="left"/>
        </w:tabs>
        <w:numPr>
          <w:ilvl w:val="0"/>
          <w:numId w:val="8"/>
        </w:numPr>
        <w:rPr>
          <w:rFonts w:ascii="Arial" w:cs="Arial" w:eastAsia="Arial" w:hAnsi="Arial"/>
          <w:sz w:val="18"/>
          <w:szCs w:val="18"/>
          <w:color w:val="auto"/>
        </w:rPr>
      </w:pPr>
      <w:r>
        <w:rPr>
          <w:rFonts w:ascii="Arial" w:cs="Arial" w:eastAsia="Arial" w:hAnsi="Arial"/>
          <w:sz w:val="18"/>
          <w:szCs w:val="18"/>
          <w:color w:val="auto"/>
        </w:rPr>
        <w:t>5% of the total number of shares of the Company’s common stock outstanding on December 31 of the immediately preceding year, or (2) a lesser number of shares determined by the Company’s board of directors no later than December 31 of the immediately preceding year. The maximum number of shares of the common stock that may be issued on the exercise of incentive stock options under the 2020 Plan is 19,483,530 shares. The 2020 Plan permits the grant of options restricted stock awards, stock appreciation rights, restricted stock unit awards, performance awards, and other awards.</w:t>
      </w:r>
    </w:p>
    <w:p>
      <w:pPr>
        <w:spacing w:after="0" w:line="205"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The exercise price for each option and stock appreciation right is established in the discretion of the Board, provided that the exercise price of a stock option will not be less than 100% of the fair market value of the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Company’s common stock on the date of grant. Specific vesting for stock options and stock appreciation rights is service related and determined in each award agreement, where stock options and stock appreciation rights are fully vested at the grant date or follow a graded vesting schedule. Stock options and stock appreciation rights granted under the Plan generally expire ten years after the date of grant.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 Valuation</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fair value of stock option grants is estimated using the Black-Scholes option-pricing model. The Company lacks company-specific historical and implied volatility information. Therefore, it estimated its expected stock volatility based on the historical volatility of a publicly traded set of peer companies in addition to its own historical volatility. For options with service- based vesting conditions,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0% since the Company has never paid cash dividends and does not expect to pay any cash dividends in the foreseeable future.</w:t>
      </w:r>
    </w:p>
    <w:p>
      <w:pPr>
        <w:spacing w:after="0" w:line="206"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assumptions that the Company used to determine the estimated grant-date fair value of stock options granted to employees and directors under the 2020 Plan were as follows, presented as a weighted average:</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440" w:type="dxa"/>
            <w:vAlign w:val="bottom"/>
            <w:tcBorders>
              <w:top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231F20"/>
              </w:rPr>
              <w:t>September 30,</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September 30,</w:t>
            </w:r>
          </w:p>
        </w:tc>
      </w:tr>
      <w:tr>
        <w:trPr>
          <w:trHeight w:val="156"/>
        </w:trPr>
        <w:tc>
          <w:tcPr>
            <w:tcW w:w="644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231F20"/>
              </w:rPr>
              <w:t>2021</w:t>
            </w:r>
          </w:p>
        </w:tc>
        <w:tc>
          <w:tcPr>
            <w:tcW w:w="118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231F20"/>
              </w:rPr>
              <w:t>2020</w:t>
            </w:r>
          </w:p>
        </w:tc>
      </w:tr>
      <w:tr>
        <w:trPr>
          <w:trHeight w:val="196"/>
        </w:trPr>
        <w:tc>
          <w:tcPr>
            <w:tcW w:w="6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Risk-free interest rate</w:t>
            </w:r>
          </w:p>
        </w:tc>
        <w:tc>
          <w:tcPr>
            <w:tcW w:w="128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231F20"/>
              </w:rPr>
              <w:t>0.63%</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r>
      <w:tr>
        <w:trPr>
          <w:trHeight w:val="203"/>
        </w:trPr>
        <w:tc>
          <w:tcPr>
            <w:tcW w:w="6440" w:type="dxa"/>
            <w:vAlign w:val="bottom"/>
          </w:tcPr>
          <w:p>
            <w:pPr>
              <w:ind w:left="20"/>
              <w:spacing w:after="0" w:line="202" w:lineRule="exact"/>
              <w:rPr>
                <w:sz w:val="20"/>
                <w:szCs w:val="20"/>
                <w:color w:val="auto"/>
              </w:rPr>
            </w:pPr>
            <w:r>
              <w:rPr>
                <w:rFonts w:ascii="Arial" w:cs="Arial" w:eastAsia="Arial" w:hAnsi="Arial"/>
                <w:sz w:val="18"/>
                <w:szCs w:val="18"/>
                <w:color w:val="231F20"/>
              </w:rPr>
              <w:t>Expected term (in years)</w:t>
            </w:r>
          </w:p>
        </w:tc>
        <w:tc>
          <w:tcPr>
            <w:tcW w:w="1280" w:type="dxa"/>
            <w:vAlign w:val="bottom"/>
          </w:tcPr>
          <w:p>
            <w:pPr>
              <w:jc w:val="right"/>
              <w:ind w:right="56"/>
              <w:spacing w:after="0" w:line="202" w:lineRule="exact"/>
              <w:rPr>
                <w:sz w:val="20"/>
                <w:szCs w:val="20"/>
                <w:color w:val="auto"/>
              </w:rPr>
            </w:pPr>
            <w:r>
              <w:rPr>
                <w:rFonts w:ascii="Arial" w:cs="Arial" w:eastAsia="Arial" w:hAnsi="Arial"/>
                <w:sz w:val="18"/>
                <w:szCs w:val="18"/>
                <w:color w:val="231F20"/>
              </w:rPr>
              <w:t>5.98</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r>
      <w:tr>
        <w:trPr>
          <w:trHeight w:val="203"/>
        </w:trPr>
        <w:tc>
          <w:tcPr>
            <w:tcW w:w="64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231F20"/>
              </w:rPr>
              <w:t>Expected volatility</w:t>
            </w:r>
          </w:p>
        </w:tc>
        <w:tc>
          <w:tcPr>
            <w:tcW w:w="1280" w:type="dxa"/>
            <w:vAlign w:val="bottom"/>
            <w:shd w:val="clear" w:color="auto" w:fill="CCEEFF"/>
          </w:tcPr>
          <w:p>
            <w:pPr>
              <w:jc w:val="right"/>
              <w:ind w:right="56"/>
              <w:spacing w:after="0" w:line="202" w:lineRule="exact"/>
              <w:rPr>
                <w:sz w:val="20"/>
                <w:szCs w:val="20"/>
                <w:color w:val="auto"/>
              </w:rPr>
            </w:pPr>
            <w:r>
              <w:rPr>
                <w:rFonts w:ascii="Arial" w:cs="Arial" w:eastAsia="Arial" w:hAnsi="Arial"/>
                <w:sz w:val="18"/>
                <w:szCs w:val="18"/>
                <w:color w:val="231F20"/>
              </w:rPr>
              <w:t>77.07%</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w:t>
            </w:r>
          </w:p>
        </w:tc>
      </w:tr>
      <w:tr>
        <w:trPr>
          <w:trHeight w:val="203"/>
        </w:trPr>
        <w:tc>
          <w:tcPr>
            <w:tcW w:w="64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231F20"/>
              </w:rPr>
              <w:t>Expected dividend yield</w:t>
            </w:r>
          </w:p>
        </w:tc>
        <w:tc>
          <w:tcPr>
            <w:tcW w:w="1280" w:type="dxa"/>
            <w:vAlign w:val="bottom"/>
            <w:tcBorders>
              <w:bottom w:val="single" w:sz="8" w:color="auto"/>
            </w:tcBorders>
          </w:tcPr>
          <w:p>
            <w:pPr>
              <w:jc w:val="right"/>
              <w:ind w:right="56"/>
              <w:spacing w:after="0" w:line="202" w:lineRule="exact"/>
              <w:rPr>
                <w:sz w:val="20"/>
                <w:szCs w:val="20"/>
                <w:color w:val="auto"/>
              </w:rPr>
            </w:pPr>
            <w:r>
              <w:rPr>
                <w:rFonts w:ascii="Arial" w:cs="Arial" w:eastAsia="Arial" w:hAnsi="Arial"/>
                <w:sz w:val="18"/>
                <w:szCs w:val="18"/>
                <w:color w:val="231F20"/>
              </w:rPr>
              <w:t>—</w:t>
            </w: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w:t>
            </w: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hanging="330"/>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were no stock options granted during the period.</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 Activity</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stock option activity under the 2014 Plan and the 2020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143510</wp:posOffset>
            </wp:positionV>
            <wp:extent cx="56578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3"/>
        </w:trPr>
        <w:tc>
          <w:tcPr>
            <w:tcW w:w="4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Arial" w:cs="Arial" w:eastAsia="Arial" w:hAnsi="Arial"/>
                <w:sz w:val="14"/>
                <w:szCs w:val="14"/>
                <w:b w:val="1"/>
                <w:bCs w:val="1"/>
                <w:color w:val="auto"/>
              </w:rPr>
              <w:t>Number of</w:t>
            </w: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80" w:type="dxa"/>
            <w:vAlign w:val="bottom"/>
          </w:tcPr>
          <w:p>
            <w:pPr>
              <w:spacing w:after="0"/>
              <w:rPr>
                <w:sz w:val="17"/>
                <w:szCs w:val="17"/>
                <w:color w:val="auto"/>
              </w:rPr>
            </w:pPr>
          </w:p>
        </w:tc>
        <w:tc>
          <w:tcPr>
            <w:tcW w:w="980" w:type="dxa"/>
            <w:vAlign w:val="bottom"/>
          </w:tcPr>
          <w:p>
            <w:pPr>
              <w:jc w:val="right"/>
              <w:ind w:right="132"/>
              <w:spacing w:after="0"/>
              <w:rPr>
                <w:sz w:val="20"/>
                <w:szCs w:val="20"/>
                <w:color w:val="auto"/>
              </w:rPr>
            </w:pPr>
            <w:r>
              <w:rPr>
                <w:rFonts w:ascii="Arial" w:cs="Arial" w:eastAsia="Arial" w:hAnsi="Arial"/>
                <w:sz w:val="14"/>
                <w:szCs w:val="14"/>
                <w:b w:val="1"/>
                <w:bCs w:val="1"/>
                <w:color w:val="auto"/>
              </w:rPr>
              <w:t>Aggregate</w:t>
            </w:r>
          </w:p>
        </w:tc>
      </w:tr>
      <w:tr>
        <w:trPr>
          <w:trHeight w:val="188"/>
        </w:trPr>
        <w:tc>
          <w:tcPr>
            <w:tcW w:w="4740" w:type="dxa"/>
            <w:vAlign w:val="bottom"/>
          </w:tcPr>
          <w:p>
            <w:pPr>
              <w:spacing w:after="0"/>
              <w:rPr>
                <w:sz w:val="16"/>
                <w:szCs w:val="16"/>
                <w:color w:val="auto"/>
              </w:rPr>
            </w:pPr>
          </w:p>
        </w:tc>
        <w:tc>
          <w:tcPr>
            <w:tcW w:w="10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9"/>
              </w:rPr>
              <w:t>Price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2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Intrinsic Value</w:t>
            </w:r>
          </w:p>
        </w:tc>
      </w:tr>
      <w:tr>
        <w:trPr>
          <w:trHeight w:val="196"/>
        </w:trPr>
        <w:tc>
          <w:tcPr>
            <w:tcW w:w="4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8"/>
              </w:rPr>
              <w:t>(in years)</w:t>
            </w:r>
          </w:p>
        </w:tc>
        <w:tc>
          <w:tcPr>
            <w:tcW w:w="1260" w:type="dxa"/>
            <w:vAlign w:val="bottom"/>
            <w:gridSpan w:val="2"/>
          </w:tcPr>
          <w:p>
            <w:pPr>
              <w:ind w:left="100"/>
              <w:spacing w:after="0" w:line="196" w:lineRule="exact"/>
              <w:rPr>
                <w:sz w:val="20"/>
                <w:szCs w:val="20"/>
                <w:color w:val="auto"/>
              </w:rPr>
            </w:pPr>
            <w:r>
              <w:rPr>
                <w:rFonts w:ascii="Arial" w:cs="Arial" w:eastAsia="Arial" w:hAnsi="Arial"/>
                <w:sz w:val="18"/>
                <w:szCs w:val="18"/>
                <w:color w:val="auto"/>
                <w:w w:val="99"/>
              </w:rPr>
              <w:t>(in thousands)</w:t>
            </w:r>
          </w:p>
        </w:tc>
      </w:tr>
      <w:tr>
        <w:trPr>
          <w:trHeight w:val="203"/>
        </w:trPr>
        <w:tc>
          <w:tcPr>
            <w:tcW w:w="4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Outstanding as of December 31, 2020</w:t>
            </w:r>
          </w:p>
        </w:tc>
        <w:tc>
          <w:tcPr>
            <w:tcW w:w="104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4,776,908</w:t>
            </w:r>
          </w:p>
        </w:tc>
        <w:tc>
          <w:tcPr>
            <w:tcW w:w="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10.83</w:t>
            </w:r>
          </w:p>
        </w:tc>
        <w:tc>
          <w:tcPr>
            <w:tcW w:w="102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9.67</w:t>
            </w:r>
          </w:p>
        </w:tc>
        <w:tc>
          <w:tcPr>
            <w:tcW w:w="2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177,962</w:t>
            </w:r>
          </w:p>
        </w:tc>
      </w:tr>
      <w:tr>
        <w:trPr>
          <w:trHeight w:val="203"/>
        </w:trPr>
        <w:tc>
          <w:tcPr>
            <w:tcW w:w="4740" w:type="dxa"/>
            <w:vAlign w:val="bottom"/>
          </w:tcPr>
          <w:p>
            <w:pPr>
              <w:ind w:left="120"/>
              <w:spacing w:after="0" w:line="202" w:lineRule="exact"/>
              <w:rPr>
                <w:sz w:val="20"/>
                <w:szCs w:val="20"/>
                <w:color w:val="auto"/>
              </w:rPr>
            </w:pPr>
            <w:r>
              <w:rPr>
                <w:rFonts w:ascii="Arial" w:cs="Arial" w:eastAsia="Arial" w:hAnsi="Arial"/>
                <w:sz w:val="18"/>
                <w:szCs w:val="18"/>
                <w:color w:val="auto"/>
              </w:rPr>
              <w:t>Granted</w:t>
            </w:r>
          </w:p>
        </w:tc>
        <w:tc>
          <w:tcPr>
            <w:tcW w:w="10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1,031,733</w:t>
            </w:r>
          </w:p>
        </w:tc>
        <w:tc>
          <w:tcPr>
            <w:tcW w:w="220" w:type="dxa"/>
            <w:vAlign w:val="bottom"/>
          </w:tcPr>
          <w:p>
            <w:pPr>
              <w:spacing w:after="0"/>
              <w:rPr>
                <w:sz w:val="17"/>
                <w:szCs w:val="17"/>
                <w:color w:val="auto"/>
              </w:rPr>
            </w:pPr>
          </w:p>
        </w:tc>
        <w:tc>
          <w:tcPr>
            <w:tcW w:w="6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35.88</w:t>
            </w:r>
          </w:p>
        </w:tc>
        <w:tc>
          <w:tcPr>
            <w:tcW w:w="10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9.31</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Exercised(1)</w:t>
            </w:r>
          </w:p>
        </w:tc>
        <w:tc>
          <w:tcPr>
            <w:tcW w:w="104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(156,385)</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3.38</w:t>
            </w:r>
          </w:p>
        </w:tc>
        <w:tc>
          <w:tcPr>
            <w:tcW w:w="102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Forfeited</w:t>
            </w:r>
          </w:p>
        </w:tc>
        <w:tc>
          <w:tcPr>
            <w:tcW w:w="104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(87,668)</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22.39</w:t>
            </w:r>
          </w:p>
        </w:tc>
        <w:tc>
          <w:tcPr>
            <w:tcW w:w="1020" w:type="dxa"/>
            <w:vAlign w:val="bottom"/>
            <w:tcBorders>
              <w:bottom w:val="single" w:sz="8" w:color="auto"/>
            </w:tcBorders>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7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as of September 30, 2021(2)</w:t>
            </w:r>
          </w:p>
        </w:tc>
        <w:tc>
          <w:tcPr>
            <w:tcW w:w="1040" w:type="dxa"/>
            <w:vAlign w:val="bottom"/>
            <w:tcBorders>
              <w:bottom w:val="single" w:sz="8" w:color="auto"/>
            </w:tcBorders>
            <w:shd w:val="clear" w:color="auto" w:fill="CCEEFF"/>
          </w:tcPr>
          <w:p>
            <w:pPr>
              <w:jc w:val="right"/>
              <w:ind w:right="94"/>
              <w:spacing w:after="0" w:line="196" w:lineRule="exact"/>
              <w:rPr>
                <w:sz w:val="20"/>
                <w:szCs w:val="20"/>
                <w:color w:val="auto"/>
              </w:rPr>
            </w:pPr>
            <w:r>
              <w:rPr>
                <w:rFonts w:ascii="Arial" w:cs="Arial" w:eastAsia="Arial" w:hAnsi="Arial"/>
                <w:sz w:val="18"/>
                <w:szCs w:val="18"/>
                <w:color w:val="auto"/>
              </w:rPr>
              <w:t>5,564,588</w:t>
            </w:r>
          </w:p>
        </w:tc>
        <w:tc>
          <w:tcPr>
            <w:tcW w:w="220" w:type="dxa"/>
            <w:vAlign w:val="bottom"/>
            <w:tcBorders>
              <w:bottom w:val="single" w:sz="8" w:color="auto"/>
            </w:tcBorders>
            <w:shd w:val="clear" w:color="auto" w:fill="CCEEFF"/>
          </w:tcPr>
          <w:p>
            <w:pPr>
              <w:ind w:left="100"/>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15.50</w:t>
            </w:r>
          </w:p>
        </w:tc>
        <w:tc>
          <w:tcPr>
            <w:tcW w:w="1020" w:type="dxa"/>
            <w:vAlign w:val="bottom"/>
            <w:tcBorders>
              <w:bottom w:val="single" w:sz="8" w:color="auto"/>
            </w:tcBorders>
            <w:shd w:val="clear" w:color="auto" w:fill="CCEEFF"/>
          </w:tcPr>
          <w:p>
            <w:pPr>
              <w:jc w:val="right"/>
              <w:ind w:right="77"/>
              <w:spacing w:after="0" w:line="196" w:lineRule="exact"/>
              <w:rPr>
                <w:sz w:val="20"/>
                <w:szCs w:val="20"/>
                <w:color w:val="auto"/>
              </w:rPr>
            </w:pPr>
            <w:r>
              <w:rPr>
                <w:rFonts w:ascii="Arial" w:cs="Arial" w:eastAsia="Arial" w:hAnsi="Arial"/>
                <w:sz w:val="18"/>
                <w:szCs w:val="18"/>
                <w:color w:val="auto"/>
              </w:rPr>
              <w:t>9.03</w:t>
            </w:r>
          </w:p>
        </w:tc>
        <w:tc>
          <w:tcPr>
            <w:tcW w:w="280" w:type="dxa"/>
            <w:vAlign w:val="bottom"/>
            <w:tcBorders>
              <w:bottom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71,759</w:t>
            </w:r>
          </w:p>
        </w:tc>
      </w:tr>
      <w:tr>
        <w:trPr>
          <w:trHeight w:val="20"/>
        </w:trPr>
        <w:tc>
          <w:tcPr>
            <w:tcW w:w="4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4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2"/>
        </w:trPr>
        <w:tc>
          <w:tcPr>
            <w:tcW w:w="47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Options vested and exercisable as of</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47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September 30, 2021</w:t>
            </w:r>
          </w:p>
        </w:tc>
        <w:tc>
          <w:tcPr>
            <w:tcW w:w="1040" w:type="dxa"/>
            <w:vAlign w:val="bottom"/>
            <w:shd w:val="clear" w:color="auto" w:fill="CCEEFF"/>
          </w:tcPr>
          <w:p>
            <w:pPr>
              <w:jc w:val="right"/>
              <w:ind w:right="94"/>
              <w:spacing w:after="0" w:line="203" w:lineRule="exact"/>
              <w:rPr>
                <w:sz w:val="20"/>
                <w:szCs w:val="20"/>
                <w:color w:val="auto"/>
              </w:rPr>
            </w:pPr>
            <w:r>
              <w:rPr>
                <w:rFonts w:ascii="Arial" w:cs="Arial" w:eastAsia="Arial" w:hAnsi="Arial"/>
                <w:sz w:val="18"/>
                <w:szCs w:val="18"/>
                <w:color w:val="auto"/>
              </w:rPr>
              <w:t>1,053,721</w:t>
            </w:r>
          </w:p>
        </w:tc>
        <w:tc>
          <w:tcPr>
            <w:tcW w:w="22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rPr>
              <w:t>7.38</w:t>
            </w:r>
          </w:p>
        </w:tc>
        <w:tc>
          <w:tcPr>
            <w:tcW w:w="1020" w:type="dxa"/>
            <w:vAlign w:val="bottom"/>
            <w:shd w:val="clear" w:color="auto" w:fill="CCEEFF"/>
          </w:tcPr>
          <w:p>
            <w:pPr>
              <w:jc w:val="right"/>
              <w:ind w:right="77"/>
              <w:spacing w:after="0" w:line="203" w:lineRule="exact"/>
              <w:rPr>
                <w:sz w:val="20"/>
                <w:szCs w:val="20"/>
                <w:color w:val="auto"/>
              </w:rPr>
            </w:pPr>
            <w:r>
              <w:rPr>
                <w:rFonts w:ascii="Arial" w:cs="Arial" w:eastAsia="Arial" w:hAnsi="Arial"/>
                <w:sz w:val="18"/>
                <w:szCs w:val="18"/>
                <w:color w:val="auto"/>
              </w:rPr>
              <w:t>8.57</w:t>
            </w:r>
          </w:p>
        </w:tc>
        <w:tc>
          <w:tcPr>
            <w:tcW w:w="28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21,315</w:t>
            </w:r>
          </w:p>
        </w:tc>
      </w:tr>
      <w:tr>
        <w:trPr>
          <w:trHeight w:val="203"/>
        </w:trPr>
        <w:tc>
          <w:tcPr>
            <w:tcW w:w="47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Options expected to vest as of September 30, 2021</w:t>
            </w:r>
          </w:p>
        </w:tc>
        <w:tc>
          <w:tcPr>
            <w:tcW w:w="1040" w:type="dxa"/>
            <w:vAlign w:val="bottom"/>
            <w:tcBorders>
              <w:bottom w:val="single" w:sz="8" w:color="auto"/>
            </w:tcBorders>
          </w:tcPr>
          <w:p>
            <w:pPr>
              <w:jc w:val="right"/>
              <w:ind w:right="94"/>
              <w:spacing w:after="0" w:line="202" w:lineRule="exact"/>
              <w:rPr>
                <w:sz w:val="20"/>
                <w:szCs w:val="20"/>
                <w:color w:val="auto"/>
              </w:rPr>
            </w:pPr>
            <w:r>
              <w:rPr>
                <w:rFonts w:ascii="Arial" w:cs="Arial" w:eastAsia="Arial" w:hAnsi="Arial"/>
                <w:sz w:val="18"/>
                <w:szCs w:val="18"/>
                <w:color w:val="auto"/>
              </w:rPr>
              <w:t>4,510,867</w:t>
            </w:r>
          </w:p>
        </w:tc>
        <w:tc>
          <w:tcPr>
            <w:tcW w:w="220" w:type="dxa"/>
            <w:vAlign w:val="bottom"/>
            <w:tcBorders>
              <w:bottom w:val="single" w:sz="8" w:color="auto"/>
            </w:tcBorders>
          </w:tcPr>
          <w:p>
            <w:pPr>
              <w:ind w:left="10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17.39</w:t>
            </w:r>
          </w:p>
        </w:tc>
        <w:tc>
          <w:tcPr>
            <w:tcW w:w="1020" w:type="dxa"/>
            <w:vAlign w:val="bottom"/>
            <w:tcBorders>
              <w:bottom w:val="single" w:sz="8" w:color="auto"/>
            </w:tcBorders>
          </w:tcPr>
          <w:p>
            <w:pPr>
              <w:jc w:val="right"/>
              <w:ind w:right="77"/>
              <w:spacing w:after="0" w:line="202" w:lineRule="exact"/>
              <w:rPr>
                <w:sz w:val="20"/>
                <w:szCs w:val="20"/>
                <w:color w:val="auto"/>
              </w:rPr>
            </w:pPr>
            <w:r>
              <w:rPr>
                <w:rFonts w:ascii="Arial" w:cs="Arial" w:eastAsia="Arial" w:hAnsi="Arial"/>
                <w:sz w:val="18"/>
                <w:szCs w:val="18"/>
                <w:color w:val="auto"/>
              </w:rPr>
              <w:t>9.14</w:t>
            </w:r>
          </w:p>
        </w:tc>
        <w:tc>
          <w:tcPr>
            <w:tcW w:w="28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54,999</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80" w:hanging="330"/>
        <w:spacing w:after="0"/>
        <w:tabs>
          <w:tab w:leader="none" w:pos="380" w:val="left"/>
        </w:tabs>
        <w:numPr>
          <w:ilvl w:val="0"/>
          <w:numId w:val="10"/>
        </w:numPr>
        <w:rPr>
          <w:rFonts w:ascii="Arial" w:cs="Arial" w:eastAsia="Arial" w:hAnsi="Arial"/>
          <w:sz w:val="14"/>
          <w:szCs w:val="14"/>
          <w:color w:val="231F20"/>
        </w:rPr>
      </w:pPr>
      <w:r>
        <w:rPr>
          <w:rFonts w:ascii="Arial" w:cs="Arial" w:eastAsia="Arial" w:hAnsi="Arial"/>
          <w:sz w:val="14"/>
          <w:szCs w:val="14"/>
          <w:color w:val="231F20"/>
        </w:rPr>
        <w:t>Exercised amount includes vesting of early exercised options.</w:t>
      </w:r>
    </w:p>
    <w:p>
      <w:pPr>
        <w:spacing w:after="0" w:line="217" w:lineRule="exact"/>
        <w:rPr>
          <w:rFonts w:ascii="Arial" w:cs="Arial" w:eastAsia="Arial" w:hAnsi="Arial"/>
          <w:sz w:val="14"/>
          <w:szCs w:val="14"/>
          <w:color w:val="231F20"/>
        </w:rPr>
      </w:pPr>
    </w:p>
    <w:p>
      <w:pPr>
        <w:ind w:left="380" w:hanging="330"/>
        <w:spacing w:after="0"/>
        <w:tabs>
          <w:tab w:leader="none" w:pos="380" w:val="left"/>
        </w:tabs>
        <w:numPr>
          <w:ilvl w:val="0"/>
          <w:numId w:val="10"/>
        </w:numPr>
        <w:rPr>
          <w:rFonts w:ascii="Arial" w:cs="Arial" w:eastAsia="Arial" w:hAnsi="Arial"/>
          <w:sz w:val="14"/>
          <w:szCs w:val="14"/>
          <w:color w:val="231F20"/>
        </w:rPr>
      </w:pPr>
      <w:r>
        <w:rPr>
          <w:rFonts w:ascii="Arial" w:cs="Arial" w:eastAsia="Arial" w:hAnsi="Arial"/>
          <w:sz w:val="14"/>
          <w:szCs w:val="14"/>
          <w:color w:val="231F20"/>
        </w:rPr>
        <w:t>Balance as of September 30, 2021 includes 53,588 unvested early exercised stock options.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 Exercise of Stock Options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September 2020, one employee and one non-employee paid $ 0.6 million to early exercise 135,525 options with exercise prices ranging from $4.406 per share to $4.824 per share. As of September 30, 2021, 81,937 of such shares had vested with the remaining shares vesting over their respective terms. The terms of the 2014 Plan permit certain option holders to exercise options before their options are vested, subject to certain limitations. The early exercised options are subject to the same vesting provisions in the original stock option awards. Shares issued as a result of early exercise that have not vested are subject to repurchase by the Company upon termination of the purchaser’s employment, at the price paid by the purchaser. Such shares are not deemed to be outstanding for accounting purposes until they vest and are therefore excluded from shares outstanding and from basic and diluted net loss per share until the repurchase right lapses and the shares are no longer subject to the repurchase feature. A liability is recognized related to the cash proceeds of the unvested options and is reclassified into common stock and additional paid-in capital as the shares vest and the repurchase right lapses. Accordingly, the Company has recorded the unvested portion of the exercise proceeds of $0.2 million in other current liabilities as of September 30, 2021.</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Awards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June 2020, the Company granted to certain employees 789,095 shares of restricted common stock (the “RSAs”) under the 2014 Plan as consideration for services with a deemed value of $2.40 per share, or $1.9 million. The following table summarizes the restricted stock activity under the Plan during the nine months ended September 30, 2021:</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020" w:type="dxa"/>
            <w:vAlign w:val="bottom"/>
            <w:tcBorders>
              <w:top w:val="single" w:sz="8" w:color="auto"/>
              <w:bottom w:val="single" w:sz="8" w:color="CCEEFF"/>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231F20"/>
              </w:rPr>
              <w:t>Number of Shares</w:t>
            </w:r>
          </w:p>
        </w:tc>
        <w:tc>
          <w:tcPr>
            <w:tcW w:w="1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231F20"/>
              </w:rPr>
              <w:t>Grant Date Fair Value</w:t>
            </w:r>
          </w:p>
        </w:tc>
      </w:tr>
      <w:tr>
        <w:trPr>
          <w:trHeight w:val="196"/>
        </w:trPr>
        <w:tc>
          <w:tcPr>
            <w:tcW w:w="6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Unvested restricted stock as of December 31, 2020</w:t>
            </w:r>
          </w:p>
        </w:tc>
        <w:tc>
          <w:tcPr>
            <w:tcW w:w="1360" w:type="dxa"/>
            <w:vAlign w:val="bottom"/>
            <w:shd w:val="clear" w:color="auto" w:fill="CCEEFF"/>
          </w:tcPr>
          <w:p>
            <w:pPr>
              <w:jc w:val="right"/>
              <w:ind w:right="73"/>
              <w:spacing w:after="0" w:line="196" w:lineRule="exact"/>
              <w:rPr>
                <w:sz w:val="20"/>
                <w:szCs w:val="20"/>
                <w:color w:val="auto"/>
              </w:rPr>
            </w:pPr>
            <w:r>
              <w:rPr>
                <w:rFonts w:ascii="Arial" w:cs="Arial" w:eastAsia="Arial" w:hAnsi="Arial"/>
                <w:sz w:val="18"/>
                <w:szCs w:val="18"/>
                <w:color w:val="231F20"/>
              </w:rPr>
              <w:t>735,294</w:t>
            </w:r>
          </w:p>
        </w:tc>
        <w:tc>
          <w:tcPr>
            <w:tcW w:w="700" w:type="dxa"/>
            <w:vAlign w:val="bottom"/>
            <w:gridSpan w:val="2"/>
            <w:shd w:val="clear" w:color="auto" w:fill="CCEEFF"/>
          </w:tcPr>
          <w:p>
            <w:pPr>
              <w:ind w:left="140"/>
              <w:spacing w:after="0" w:line="196" w:lineRule="exact"/>
              <w:rPr>
                <w:sz w:val="20"/>
                <w:szCs w:val="20"/>
                <w:color w:val="auto"/>
              </w:rPr>
            </w:pPr>
            <w:r>
              <w:rPr>
                <w:rFonts w:ascii="Arial" w:cs="Arial" w:eastAsia="Arial" w:hAnsi="Arial"/>
                <w:sz w:val="18"/>
                <w:szCs w:val="18"/>
                <w:color w:val="231F20"/>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2.40</w:t>
            </w:r>
          </w:p>
        </w:tc>
      </w:tr>
      <w:tr>
        <w:trPr>
          <w:trHeight w:val="203"/>
        </w:trPr>
        <w:tc>
          <w:tcPr>
            <w:tcW w:w="6020" w:type="dxa"/>
            <w:vAlign w:val="bottom"/>
          </w:tcPr>
          <w:p>
            <w:pPr>
              <w:ind w:left="120"/>
              <w:spacing w:after="0" w:line="202" w:lineRule="exact"/>
              <w:rPr>
                <w:sz w:val="20"/>
                <w:szCs w:val="20"/>
                <w:color w:val="auto"/>
              </w:rPr>
            </w:pPr>
            <w:r>
              <w:rPr>
                <w:rFonts w:ascii="Arial" w:cs="Arial" w:eastAsia="Arial" w:hAnsi="Arial"/>
                <w:sz w:val="18"/>
                <w:szCs w:val="18"/>
                <w:color w:val="231F20"/>
              </w:rPr>
              <w:t>Granted</w:t>
            </w:r>
          </w:p>
        </w:tc>
        <w:tc>
          <w:tcPr>
            <w:tcW w:w="1360" w:type="dxa"/>
            <w:vAlign w:val="bottom"/>
          </w:tcPr>
          <w:p>
            <w:pPr>
              <w:jc w:val="right"/>
              <w:ind w:right="73"/>
              <w:spacing w:after="0" w:line="202" w:lineRule="exact"/>
              <w:rPr>
                <w:sz w:val="20"/>
                <w:szCs w:val="20"/>
                <w:color w:val="auto"/>
              </w:rPr>
            </w:pPr>
            <w:r>
              <w:rPr>
                <w:rFonts w:ascii="Arial" w:cs="Arial" w:eastAsia="Arial" w:hAnsi="Arial"/>
                <w:sz w:val="18"/>
                <w:szCs w:val="18"/>
                <w:color w:val="231F20"/>
              </w:rPr>
              <w:t>—</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r>
      <w:tr>
        <w:trPr>
          <w:trHeight w:val="203"/>
        </w:trPr>
        <w:tc>
          <w:tcPr>
            <w:tcW w:w="6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231F20"/>
              </w:rPr>
              <w:t>Vested</w:t>
            </w:r>
          </w:p>
        </w:tc>
        <w:tc>
          <w:tcPr>
            <w:tcW w:w="13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231F20"/>
              </w:rPr>
              <w:t>(192,790)</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2.40</w:t>
            </w:r>
          </w:p>
        </w:tc>
      </w:tr>
      <w:tr>
        <w:trPr>
          <w:trHeight w:val="203"/>
        </w:trPr>
        <w:tc>
          <w:tcPr>
            <w:tcW w:w="60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231F20"/>
              </w:rPr>
              <w:t>Forfeited</w:t>
            </w:r>
          </w:p>
        </w:tc>
        <w:tc>
          <w:tcPr>
            <w:tcW w:w="1360" w:type="dxa"/>
            <w:vAlign w:val="bottom"/>
            <w:tcBorders>
              <w:bottom w:val="single" w:sz="8" w:color="231F20"/>
            </w:tcBorders>
          </w:tcPr>
          <w:p>
            <w:pPr>
              <w:jc w:val="right"/>
              <w:ind w:right="73"/>
              <w:spacing w:after="0" w:line="202" w:lineRule="exact"/>
              <w:rPr>
                <w:sz w:val="20"/>
                <w:szCs w:val="20"/>
                <w:color w:val="auto"/>
              </w:rPr>
            </w:pPr>
            <w:r>
              <w:rPr>
                <w:rFonts w:ascii="Arial" w:cs="Arial" w:eastAsia="Arial" w:hAnsi="Arial"/>
                <w:sz w:val="18"/>
                <w:szCs w:val="18"/>
                <w:color w:val="231F20"/>
              </w:rPr>
              <w:t>—</w:t>
            </w:r>
          </w:p>
        </w:tc>
        <w:tc>
          <w:tcPr>
            <w:tcW w:w="220" w:type="dxa"/>
            <w:vAlign w:val="bottom"/>
            <w:tcBorders>
              <w:bottom w:val="single" w:sz="8" w:color="231F20"/>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w:t>
            </w:r>
          </w:p>
        </w:tc>
      </w:tr>
      <w:tr>
        <w:trPr>
          <w:trHeight w:val="196"/>
        </w:trPr>
        <w:tc>
          <w:tcPr>
            <w:tcW w:w="60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231F20"/>
              </w:rPr>
              <w:t>Unvested restricted stock as of September 30, 2021</w:t>
            </w:r>
          </w:p>
        </w:tc>
        <w:tc>
          <w:tcPr>
            <w:tcW w:w="1360" w:type="dxa"/>
            <w:vAlign w:val="bottom"/>
            <w:tcBorders>
              <w:bottom w:val="single" w:sz="8" w:color="auto"/>
            </w:tcBorders>
            <w:shd w:val="clear" w:color="auto" w:fill="CCEEFF"/>
          </w:tcPr>
          <w:p>
            <w:pPr>
              <w:jc w:val="right"/>
              <w:ind w:right="73"/>
              <w:spacing w:after="0" w:line="196" w:lineRule="exact"/>
              <w:rPr>
                <w:sz w:val="20"/>
                <w:szCs w:val="20"/>
                <w:color w:val="auto"/>
              </w:rPr>
            </w:pPr>
            <w:r>
              <w:rPr>
                <w:rFonts w:ascii="Arial" w:cs="Arial" w:eastAsia="Arial" w:hAnsi="Arial"/>
                <w:sz w:val="18"/>
                <w:szCs w:val="18"/>
                <w:color w:val="231F20"/>
              </w:rPr>
              <w:t>542,504</w:t>
            </w:r>
          </w:p>
        </w:tc>
        <w:tc>
          <w:tcPr>
            <w:tcW w:w="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231F20"/>
                <w:w w:val="71"/>
              </w:rPr>
              <w:t>$</w:t>
            </w: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2.40</w:t>
            </w: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 Expense</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Stock-based compensation expense related to awards granted under the 2014 Plan, including the RSAs, the 2020 Plan and the 2020 ESPP was classified in the condensed consolidated statements of operations and comprehensive loss as follows (in thousands):</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gridSpan w:val="4"/>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3"/>
          </w:tcPr>
          <w:p>
            <w:pPr>
              <w:jc w:val="right"/>
              <w:ind w:right="75"/>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5"/>
                <w:szCs w:val="15"/>
                <w:color w:val="auto"/>
              </w:rPr>
            </w:pPr>
          </w:p>
        </w:tc>
        <w:tc>
          <w:tcPr>
            <w:tcW w:w="1520" w:type="dxa"/>
            <w:vAlign w:val="bottom"/>
            <w:gridSpan w:val="3"/>
          </w:tcPr>
          <w:p>
            <w:pPr>
              <w:jc w:val="right"/>
              <w:ind w:right="275"/>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52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231F20"/>
              </w:rPr>
              <w:t>2021</w:t>
            </w:r>
          </w:p>
        </w:tc>
        <w:tc>
          <w:tcPr>
            <w:tcW w:w="3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231F20"/>
              </w:rPr>
              <w:t>2020</w:t>
            </w:r>
          </w:p>
        </w:tc>
        <w:tc>
          <w:tcPr>
            <w:tcW w:w="2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231F20"/>
              </w:rPr>
              <w:t>2021</w:t>
            </w:r>
          </w:p>
        </w:tc>
        <w:tc>
          <w:tcPr>
            <w:tcW w:w="2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231F20"/>
              </w:rPr>
              <w:t>2020</w:t>
            </w:r>
          </w:p>
        </w:tc>
      </w:tr>
      <w:tr>
        <w:trPr>
          <w:trHeight w:val="196"/>
        </w:trPr>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color w:val="231F20"/>
              </w:rPr>
              <w:t>Research and development</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w w:val="79"/>
              </w:rPr>
              <w:t>$</w:t>
            </w:r>
          </w:p>
        </w:tc>
        <w:tc>
          <w:tcPr>
            <w:tcW w:w="700" w:type="dxa"/>
            <w:vAlign w:val="bottom"/>
            <w:shd w:val="clear" w:color="auto" w:fill="CCEEFF"/>
          </w:tcPr>
          <w:p>
            <w:pPr>
              <w:jc w:val="right"/>
              <w:ind w:right="59"/>
              <w:spacing w:after="0" w:line="196" w:lineRule="exact"/>
              <w:rPr>
                <w:sz w:val="20"/>
                <w:szCs w:val="20"/>
                <w:color w:val="auto"/>
              </w:rPr>
            </w:pPr>
            <w:r>
              <w:rPr>
                <w:rFonts w:ascii="Arial" w:cs="Arial" w:eastAsia="Arial" w:hAnsi="Arial"/>
                <w:sz w:val="18"/>
                <w:szCs w:val="18"/>
                <w:color w:val="231F20"/>
              </w:rPr>
              <w:t>2,405</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392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w w:val="79"/>
              </w:rPr>
              <w:t>$</w:t>
            </w:r>
          </w:p>
        </w:tc>
        <w:tc>
          <w:tcPr>
            <w:tcW w:w="720" w:type="dxa"/>
            <w:vAlign w:val="bottom"/>
            <w:shd w:val="clear" w:color="auto" w:fill="CCEEFF"/>
          </w:tcPr>
          <w:p>
            <w:pPr>
              <w:jc w:val="right"/>
              <w:ind w:right="59"/>
              <w:spacing w:after="0" w:line="196" w:lineRule="exact"/>
              <w:rPr>
                <w:sz w:val="20"/>
                <w:szCs w:val="20"/>
                <w:color w:val="auto"/>
              </w:rPr>
            </w:pPr>
            <w:r>
              <w:rPr>
                <w:rFonts w:ascii="Arial" w:cs="Arial" w:eastAsia="Arial" w:hAnsi="Arial"/>
                <w:sz w:val="18"/>
                <w:szCs w:val="18"/>
                <w:color w:val="231F20"/>
              </w:rPr>
              <w:t>6,427</w:t>
            </w: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495</w:t>
            </w:r>
          </w:p>
        </w:tc>
      </w:tr>
      <w:tr>
        <w:trPr>
          <w:trHeight w:val="203"/>
        </w:trPr>
        <w:tc>
          <w:tcPr>
            <w:tcW w:w="52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231F20"/>
              </w:rPr>
              <w:t>General and administrative</w:t>
            </w:r>
          </w:p>
        </w:tc>
        <w:tc>
          <w:tcPr>
            <w:tcW w:w="160" w:type="dxa"/>
            <w:vAlign w:val="bottom"/>
            <w:tcBorders>
              <w:bottom w:val="single" w:sz="8" w:color="231F20"/>
            </w:tcBorders>
          </w:tcPr>
          <w:p>
            <w:pPr>
              <w:spacing w:after="0"/>
              <w:rPr>
                <w:sz w:val="17"/>
                <w:szCs w:val="17"/>
                <w:color w:val="auto"/>
              </w:rPr>
            </w:pPr>
          </w:p>
        </w:tc>
        <w:tc>
          <w:tcPr>
            <w:tcW w:w="700" w:type="dxa"/>
            <w:vAlign w:val="bottom"/>
            <w:tcBorders>
              <w:bottom w:val="single" w:sz="8" w:color="231F20"/>
            </w:tcBorders>
          </w:tcPr>
          <w:p>
            <w:pPr>
              <w:jc w:val="right"/>
              <w:ind w:right="59"/>
              <w:spacing w:after="0" w:line="202" w:lineRule="exact"/>
              <w:rPr>
                <w:sz w:val="20"/>
                <w:szCs w:val="20"/>
                <w:color w:val="auto"/>
              </w:rPr>
            </w:pPr>
            <w:r>
              <w:rPr>
                <w:rFonts w:ascii="Arial" w:cs="Arial" w:eastAsia="Arial" w:hAnsi="Arial"/>
                <w:sz w:val="18"/>
                <w:szCs w:val="18"/>
                <w:color w:val="231F20"/>
              </w:rPr>
              <w:t>1,752</w:t>
            </w:r>
          </w:p>
        </w:tc>
        <w:tc>
          <w:tcPr>
            <w:tcW w:w="30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jc w:val="right"/>
              <w:spacing w:after="0" w:line="202" w:lineRule="exact"/>
              <w:rPr>
                <w:sz w:val="20"/>
                <w:szCs w:val="20"/>
                <w:color w:val="auto"/>
              </w:rPr>
            </w:pPr>
            <w:r>
              <w:rPr>
                <w:rFonts w:ascii="Arial" w:cs="Arial" w:eastAsia="Arial" w:hAnsi="Arial"/>
                <w:sz w:val="18"/>
                <w:szCs w:val="18"/>
                <w:color w:val="231F20"/>
              </w:rPr>
              <w:t>190</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720" w:type="dxa"/>
            <w:vAlign w:val="bottom"/>
            <w:tcBorders>
              <w:bottom w:val="single" w:sz="8" w:color="231F20"/>
            </w:tcBorders>
          </w:tcPr>
          <w:p>
            <w:pPr>
              <w:jc w:val="right"/>
              <w:ind w:right="59"/>
              <w:spacing w:after="0" w:line="202" w:lineRule="exact"/>
              <w:rPr>
                <w:sz w:val="20"/>
                <w:szCs w:val="20"/>
                <w:color w:val="auto"/>
              </w:rPr>
            </w:pPr>
            <w:r>
              <w:rPr>
                <w:rFonts w:ascii="Arial" w:cs="Arial" w:eastAsia="Arial" w:hAnsi="Arial"/>
                <w:sz w:val="18"/>
                <w:szCs w:val="18"/>
                <w:color w:val="231F20"/>
              </w:rPr>
              <w:t>4,859</w:t>
            </w:r>
          </w:p>
        </w:tc>
        <w:tc>
          <w:tcPr>
            <w:tcW w:w="280" w:type="dxa"/>
            <w:vAlign w:val="bottom"/>
            <w:tcBorders>
              <w:bottom w:val="single" w:sz="8" w:color="231F20"/>
            </w:tcBorders>
          </w:tcPr>
          <w:p>
            <w:pPr>
              <w:spacing w:after="0"/>
              <w:rPr>
                <w:sz w:val="17"/>
                <w:szCs w:val="17"/>
                <w:color w:val="auto"/>
              </w:rPr>
            </w:pPr>
          </w:p>
        </w:tc>
        <w:tc>
          <w:tcPr>
            <w:tcW w:w="520" w:type="dxa"/>
            <w:vAlign w:val="bottom"/>
            <w:tcBorders>
              <w:bottom w:val="single" w:sz="8" w:color="231F20"/>
            </w:tcBorders>
          </w:tcPr>
          <w:p>
            <w:pPr>
              <w:jc w:val="right"/>
              <w:spacing w:after="0" w:line="202" w:lineRule="exact"/>
              <w:rPr>
                <w:sz w:val="20"/>
                <w:szCs w:val="20"/>
                <w:color w:val="auto"/>
              </w:rPr>
            </w:pPr>
            <w:r>
              <w:rPr>
                <w:rFonts w:ascii="Arial" w:cs="Arial" w:eastAsia="Arial" w:hAnsi="Arial"/>
                <w:sz w:val="18"/>
                <w:szCs w:val="18"/>
                <w:color w:val="231F20"/>
              </w:rPr>
              <w:t>241</w:t>
            </w:r>
          </w:p>
        </w:tc>
      </w:tr>
      <w:tr>
        <w:trPr>
          <w:trHeight w:val="196"/>
        </w:trPr>
        <w:tc>
          <w:tcPr>
            <w:tcW w:w="5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w w:val="79"/>
              </w:rPr>
              <w:t>$</w:t>
            </w:r>
          </w:p>
        </w:tc>
        <w:tc>
          <w:tcPr>
            <w:tcW w:w="700" w:type="dxa"/>
            <w:vAlign w:val="bottom"/>
            <w:tcBorders>
              <w:bottom w:val="single" w:sz="8" w:color="auto"/>
            </w:tcBorders>
            <w:shd w:val="clear" w:color="auto" w:fill="CCEEFF"/>
          </w:tcPr>
          <w:p>
            <w:pPr>
              <w:jc w:val="right"/>
              <w:ind w:right="59"/>
              <w:spacing w:after="0" w:line="196" w:lineRule="exact"/>
              <w:rPr>
                <w:sz w:val="20"/>
                <w:szCs w:val="20"/>
                <w:color w:val="auto"/>
              </w:rPr>
            </w:pPr>
            <w:r>
              <w:rPr>
                <w:rFonts w:ascii="Arial" w:cs="Arial" w:eastAsia="Arial" w:hAnsi="Arial"/>
                <w:sz w:val="18"/>
                <w:szCs w:val="18"/>
                <w:color w:val="231F20"/>
              </w:rPr>
              <w:t>4,157</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582</w:t>
            </w:r>
          </w:p>
        </w:tc>
        <w:tc>
          <w:tcPr>
            <w:tcW w:w="2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w w:val="79"/>
              </w:rPr>
              <w:t>$</w:t>
            </w:r>
          </w:p>
        </w:tc>
        <w:tc>
          <w:tcPr>
            <w:tcW w:w="720" w:type="dxa"/>
            <w:vAlign w:val="bottom"/>
            <w:tcBorders>
              <w:bottom w:val="single" w:sz="8" w:color="auto"/>
            </w:tcBorders>
            <w:shd w:val="clear" w:color="auto" w:fill="CCEEFF"/>
          </w:tcPr>
          <w:p>
            <w:pPr>
              <w:jc w:val="right"/>
              <w:ind w:right="59"/>
              <w:spacing w:after="0" w:line="196" w:lineRule="exact"/>
              <w:rPr>
                <w:sz w:val="20"/>
                <w:szCs w:val="20"/>
                <w:color w:val="auto"/>
              </w:rPr>
            </w:pPr>
            <w:r>
              <w:rPr>
                <w:rFonts w:ascii="Arial" w:cs="Arial" w:eastAsia="Arial" w:hAnsi="Arial"/>
                <w:sz w:val="18"/>
                <w:szCs w:val="18"/>
                <w:color w:val="231F20"/>
              </w:rPr>
              <w:t>11,286</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736</w:t>
            </w: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2020 Employee Stock Purchase Plan</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2020, the Company’s board of directors and stockholders approved and adopted the 2020 ESPP. The ESPP became effective immediately prior to the date of the underwriting agreement related to the IPO. The ESPP permits eligible employees who elect to participate in an offering under the ESPP to have up to 15% of their eligible earnings withheld, subject to certain limitations, to purchase shares of common stock pursuant to the ESPP. The price of the common stock purchased under the ESPP is equal to the lesser of (i) 85% of the fair market value of a share of the Company’s common stock on the first day of an offering; or (ii) 85% of the fair market value of a share of the Company’s common stock on the date of purchase. Each offering period is not to exceed 27 months and includes one or more purchase periods (each a “Purchase Period”) as approved by the Company’s board of directors in the offering. The current offering period consists of two (2) six-month</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purchase periods (each a “Purchase Period”) during which payroll deductions of the participants are accumulated under the ESPP. The last business day of each Purchase Period is referred to as the “Purchase Date.” The first Purchase Period commenced on November 18, 2020 with a purchase date of May 15, 2021. The second Purchase Period commenced on May 16, 2021 with a purchase date of November 15, 2021. A total of 430,416 shares of common stock were initially reserved for issuance pursuant to the ESPP.</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ESPP is a compensatory plan as defined by the authoritative guidance for stock-based compensation. The Company uses the Black-Scholes option-pricing model to estimate the fair value of stock offered under the ESPP. Stock-based compensation expense related to the ESPP was less than $0.1 million and $0.1 million for the three and nine months ended September 30, 2021, respectively.</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 Net Loss Per Share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Loss Per Share</w:t>
      </w:r>
    </w:p>
    <w:p>
      <w:pPr>
        <w:spacing w:after="0" w:line="230"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Basic and diluted net loss per share was calculated as follows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133985</wp:posOffset>
            </wp:positionV>
            <wp:extent cx="56489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11" w:lineRule="exact"/>
        <w:rPr>
          <w:sz w:val="20"/>
          <w:szCs w:val="20"/>
          <w:color w:val="auto"/>
        </w:rPr>
      </w:pPr>
    </w:p>
    <w:p>
      <w:pPr>
        <w:ind w:left="4620"/>
        <w:spacing w:after="0"/>
        <w:rPr>
          <w:sz w:val="20"/>
          <w:szCs w:val="20"/>
          <w:color w:val="auto"/>
        </w:rPr>
      </w:pPr>
      <w:r>
        <w:rPr>
          <w:rFonts w:ascii="Arial" w:cs="Arial" w:eastAsia="Arial" w:hAnsi="Arial"/>
          <w:sz w:val="14"/>
          <w:szCs w:val="14"/>
          <w:b w:val="1"/>
          <w:bCs w:val="1"/>
          <w:color w:val="231F20"/>
        </w:rPr>
        <w:t>Three Months Ended</w:t>
      </w:r>
    </w:p>
    <w:p>
      <w:pPr>
        <w:spacing w:after="0" w:line="19" w:lineRule="exact"/>
        <w:rPr>
          <w:sz w:val="20"/>
          <w:szCs w:val="20"/>
          <w:color w:val="auto"/>
        </w:rPr>
      </w:pPr>
    </w:p>
    <w:p>
      <w:pPr>
        <w:ind w:left="4820"/>
        <w:spacing w:after="0"/>
        <w:rPr>
          <w:sz w:val="20"/>
          <w:szCs w:val="20"/>
          <w:color w:val="auto"/>
        </w:rPr>
      </w:pPr>
      <w:r>
        <w:rPr>
          <w:rFonts w:ascii="Arial" w:cs="Arial" w:eastAsia="Arial" w:hAnsi="Arial"/>
          <w:sz w:val="14"/>
          <w:szCs w:val="14"/>
          <w:b w:val="1"/>
          <w:bCs w:val="1"/>
          <w:color w:val="231F20"/>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-1905</wp:posOffset>
            </wp:positionV>
            <wp:extent cx="1465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ind w:left="4600"/>
        <w:spacing w:after="0"/>
        <w:tabs>
          <w:tab w:leader="none" w:pos="5800" w:val="left"/>
        </w:tabs>
        <w:rPr>
          <w:sz w:val="20"/>
          <w:szCs w:val="20"/>
          <w:color w:val="auto"/>
        </w:rPr>
      </w:pPr>
      <w:r>
        <w:rPr>
          <w:rFonts w:ascii="Arial" w:cs="Arial" w:eastAsia="Arial" w:hAnsi="Arial"/>
          <w:sz w:val="14"/>
          <w:szCs w:val="14"/>
          <w:b w:val="1"/>
          <w:bCs w:val="1"/>
          <w:color w:val="231F20"/>
        </w:rPr>
        <w:t>2021</w:t>
      </w:r>
      <w:r>
        <w:rPr>
          <w:sz w:val="20"/>
          <w:szCs w:val="20"/>
          <w:color w:val="auto"/>
        </w:rPr>
        <w:tab/>
      </w:r>
      <w:r>
        <w:rPr>
          <w:rFonts w:ascii="Arial" w:cs="Arial" w:eastAsia="Arial" w:hAnsi="Arial"/>
          <w:sz w:val="14"/>
          <w:szCs w:val="14"/>
          <w:b w:val="1"/>
          <w:bCs w:val="1"/>
          <w:color w:val="231F20"/>
        </w:rPr>
        <w:t>2020</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231F20"/>
        </w:rPr>
        <w:t>Nine Months Ended</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231F20"/>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-1905</wp:posOffset>
            </wp:positionV>
            <wp:extent cx="1465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tabs>
          <w:tab w:leader="none" w:pos="1200" w:val="left"/>
        </w:tabs>
        <w:rPr>
          <w:sz w:val="20"/>
          <w:szCs w:val="20"/>
          <w:color w:val="auto"/>
        </w:rPr>
      </w:pPr>
      <w:r>
        <w:rPr>
          <w:rFonts w:ascii="Arial" w:cs="Arial" w:eastAsia="Arial" w:hAnsi="Arial"/>
          <w:sz w:val="14"/>
          <w:szCs w:val="14"/>
          <w:b w:val="1"/>
          <w:bCs w:val="1"/>
          <w:color w:val="231F20"/>
        </w:rPr>
        <w:t>2021</w:t>
      </w:r>
      <w:r>
        <w:rPr>
          <w:sz w:val="20"/>
          <w:szCs w:val="20"/>
          <w:color w:val="auto"/>
        </w:rPr>
        <w:tab/>
      </w:r>
      <w:r>
        <w:rPr>
          <w:rFonts w:ascii="Arial" w:cs="Arial" w:eastAsia="Arial" w:hAnsi="Arial"/>
          <w:sz w:val="14"/>
          <w:szCs w:val="14"/>
          <w:b w:val="1"/>
          <w:bCs w:val="1"/>
          <w:color w:val="231F20"/>
        </w:rPr>
        <w:t>2020</w:t>
      </w:r>
    </w:p>
    <w:p>
      <w:pPr>
        <w:spacing w:after="0" w:line="1" w:lineRule="exact"/>
        <w:rPr>
          <w:sz w:val="20"/>
          <w:szCs w:val="20"/>
          <w:color w:val="auto"/>
        </w:rPr>
      </w:pPr>
    </w:p>
    <w:p>
      <w:pPr>
        <w:sectPr>
          <w:pgSz w:w="11900" w:h="16838" w:orient="portrait"/>
          <w:cols w:equalWidth="0" w:num="2">
            <w:col w:w="6340" w:space="720"/>
            <w:col w:w="1959"/>
          </w:cols>
          <w:pgMar w:left="1440" w:top="517" w:right="1440" w:bottom="1440" w:gutter="0" w:footer="0" w:header="0"/>
          <w:type w:val="continuous"/>
        </w:sectPr>
      </w:pPr>
    </w:p>
    <w:tbl>
      <w:tblPr>
        <w:tblLayout w:type="fixed"/>
        <w:tblInd w:w="60" w:type="dxa"/>
        <w:tblCellMar>
          <w:top w:w="0" w:type="dxa"/>
          <w:left w:w="0" w:type="dxa"/>
          <w:bottom w:w="0" w:type="dxa"/>
          <w:right w:w="0" w:type="dxa"/>
        </w:tblCellMar>
      </w:tblPr>
      <w:tr>
        <w:trPr>
          <w:trHeight w:val="196"/>
        </w:trPr>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231F20"/>
              </w:rPr>
              <w:t>Numerator:</w:t>
            </w: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231F20"/>
              </w:rPr>
              <w:t>Net loss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231F20"/>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231F20"/>
              </w:rPr>
              <w:t>(17,713)</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231F20"/>
              </w:rPr>
              <w:t>(7,844)</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231F20"/>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231F20"/>
              </w:rPr>
              <w:t>(49,458)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231F20"/>
              </w:rPr>
              <w:t>(11,990)</w:t>
            </w:r>
          </w:p>
        </w:tc>
      </w:tr>
      <w:tr>
        <w:trPr>
          <w:trHeight w:val="202"/>
        </w:trPr>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231F20"/>
              </w:rPr>
              <w:t>Repurchase and retirement of Series A and</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4140" w:type="dxa"/>
            <w:vAlign w:val="bottom"/>
            <w:shd w:val="clear" w:color="auto" w:fill="CCEEFF"/>
          </w:tcPr>
          <w:p>
            <w:pPr>
              <w:spacing w:after="0" w:line="203" w:lineRule="exact"/>
              <w:rPr>
                <w:sz w:val="20"/>
                <w:szCs w:val="20"/>
                <w:color w:val="auto"/>
              </w:rPr>
            </w:pPr>
            <w:r>
              <w:rPr>
                <w:rFonts w:ascii="Arial" w:cs="Arial" w:eastAsia="Arial" w:hAnsi="Arial"/>
                <w:sz w:val="18"/>
                <w:szCs w:val="18"/>
                <w:color w:val="231F20"/>
              </w:rPr>
              <w:t>Series A-1 convertible preferred stock</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50"/>
              <w:spacing w:after="0" w:line="203" w:lineRule="exact"/>
              <w:rPr>
                <w:sz w:val="20"/>
                <w:szCs w:val="20"/>
                <w:color w:val="auto"/>
              </w:rPr>
            </w:pPr>
            <w:r>
              <w:rPr>
                <w:rFonts w:ascii="Arial" w:cs="Arial" w:eastAsia="Arial" w:hAnsi="Arial"/>
                <w:sz w:val="18"/>
                <w:szCs w:val="18"/>
                <w:color w:val="231F20"/>
              </w:rPr>
              <w:t>—</w:t>
            </w: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231F20"/>
              </w:rPr>
              <w:t>(1,869)</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50"/>
              <w:spacing w:after="0" w:line="203" w:lineRule="exact"/>
              <w:rPr>
                <w:sz w:val="20"/>
                <w:szCs w:val="20"/>
                <w:color w:val="auto"/>
              </w:rPr>
            </w:pPr>
            <w:r>
              <w:rPr>
                <w:rFonts w:ascii="Arial" w:cs="Arial" w:eastAsia="Arial" w:hAnsi="Arial"/>
                <w:sz w:val="18"/>
                <w:szCs w:val="18"/>
                <w:color w:val="231F20"/>
              </w:rPr>
              <w:t>—</w:t>
            </w: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231F20"/>
              </w:rPr>
              <w:t>(1,869)</w:t>
            </w:r>
          </w:p>
        </w:tc>
      </w:tr>
      <w:tr>
        <w:trPr>
          <w:trHeight w:val="236"/>
        </w:trPr>
        <w:tc>
          <w:tcPr>
            <w:tcW w:w="414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231F20"/>
              </w:rPr>
              <w:t>Net loss attributable to common stockholders</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(17,713)</w:t>
            </w: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(9,713)</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(49,458)</w:t>
            </w: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(13,859)</w:t>
            </w:r>
          </w:p>
        </w:tc>
      </w:tr>
      <w:tr>
        <w:trPr>
          <w:trHeight w:val="196"/>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231F20"/>
              </w:rPr>
              <w:t>Denominator:</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2"/>
        </w:trPr>
        <w:tc>
          <w:tcPr>
            <w:tcW w:w="4140" w:type="dxa"/>
            <w:vAlign w:val="bottom"/>
          </w:tcPr>
          <w:p>
            <w:pPr>
              <w:ind w:left="100"/>
              <w:spacing w:after="0" w:line="201" w:lineRule="exact"/>
              <w:rPr>
                <w:sz w:val="20"/>
                <w:szCs w:val="20"/>
                <w:color w:val="auto"/>
              </w:rPr>
            </w:pPr>
            <w:r>
              <w:rPr>
                <w:rFonts w:ascii="Arial" w:cs="Arial" w:eastAsia="Arial" w:hAnsi="Arial"/>
                <w:sz w:val="18"/>
                <w:szCs w:val="18"/>
                <w:color w:val="231F20"/>
              </w:rPr>
              <w:t>Weighted average shares used to compute net</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140" w:type="dxa"/>
            <w:vAlign w:val="bottom"/>
          </w:tcPr>
          <w:p>
            <w:pPr>
              <w:ind w:left="100"/>
              <w:spacing w:after="0" w:line="202" w:lineRule="exact"/>
              <w:rPr>
                <w:sz w:val="20"/>
                <w:szCs w:val="20"/>
                <w:color w:val="auto"/>
              </w:rPr>
            </w:pPr>
            <w:r>
              <w:rPr>
                <w:rFonts w:ascii="Arial" w:cs="Arial" w:eastAsia="Arial" w:hAnsi="Arial"/>
                <w:sz w:val="18"/>
                <w:szCs w:val="18"/>
                <w:color w:val="231F20"/>
              </w:rPr>
              <w:t>loss per share attributable to common</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14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231F20"/>
              </w:rPr>
              <w:t>stockholders, basic and diluted</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231F20"/>
              </w:rPr>
              <w:t>39,607,745</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231F20"/>
              </w:rPr>
              <w:t>2,617,543</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231F20"/>
              </w:rPr>
              <w:t>39,450,655</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231F20"/>
                <w:w w:val="99"/>
              </w:rPr>
              <w:t>2,617,543</w:t>
            </w:r>
          </w:p>
        </w:tc>
      </w:tr>
      <w:tr>
        <w:trPr>
          <w:trHeight w:val="182"/>
        </w:trPr>
        <w:tc>
          <w:tcPr>
            <w:tcW w:w="4140" w:type="dxa"/>
            <w:vAlign w:val="bottom"/>
            <w:shd w:val="clear" w:color="auto" w:fill="CCEEFF"/>
          </w:tcPr>
          <w:p>
            <w:pPr>
              <w:spacing w:after="0" w:line="182" w:lineRule="exact"/>
              <w:rPr>
                <w:sz w:val="20"/>
                <w:szCs w:val="20"/>
                <w:color w:val="auto"/>
              </w:rPr>
            </w:pPr>
            <w:r>
              <w:rPr>
                <w:rFonts w:ascii="Arial" w:cs="Arial" w:eastAsia="Arial" w:hAnsi="Arial"/>
                <w:sz w:val="18"/>
                <w:szCs w:val="18"/>
                <w:color w:val="231F20"/>
              </w:rPr>
              <w:t>Net loss per share attributable to common</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3"/>
        </w:trPr>
        <w:tc>
          <w:tcPr>
            <w:tcW w:w="414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231F20"/>
              </w:rPr>
              <w:t>stockholders, basic and diluted</w:t>
            </w:r>
          </w:p>
        </w:tc>
        <w:tc>
          <w:tcPr>
            <w:tcW w:w="1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231F20"/>
                <w:w w:val="79"/>
              </w:rPr>
              <w:t>$</w:t>
            </w:r>
          </w:p>
        </w:tc>
        <w:tc>
          <w:tcPr>
            <w:tcW w:w="10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231F20"/>
              </w:rPr>
              <w:t>(0.45)</w:t>
            </w:r>
          </w:p>
        </w:tc>
        <w:tc>
          <w:tcPr>
            <w:tcW w:w="2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231F20"/>
              </w:rPr>
              <w:t>$</w:t>
            </w:r>
          </w:p>
        </w:tc>
        <w:tc>
          <w:tcPr>
            <w:tcW w:w="9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231F20"/>
              </w:rPr>
              <w:t>(3.71)</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231F20"/>
                <w:w w:val="79"/>
              </w:rPr>
              <w:t>$</w:t>
            </w:r>
          </w:p>
        </w:tc>
        <w:tc>
          <w:tcPr>
            <w:tcW w:w="10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231F20"/>
              </w:rPr>
              <w:t>(1.25)</w:t>
            </w:r>
          </w:p>
        </w:tc>
        <w:tc>
          <w:tcPr>
            <w:tcW w:w="2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231F20"/>
              </w:rPr>
              <w:t>$</w:t>
            </w:r>
          </w:p>
        </w:tc>
        <w:tc>
          <w:tcPr>
            <w:tcW w:w="9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231F20"/>
              </w:rPr>
              <w:t>(5.29)</w:t>
            </w: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potentially dilutive shares that were excluded from the calculation of diluted net loss per share because their effect would have been anti-dilutive for the periods presented are as follows:</w:t>
      </w:r>
    </w:p>
    <w:tbl>
      <w:tblPr>
        <w:tblLayout w:type="fixed"/>
        <w:tblInd w:w="60" w:type="dxa"/>
        <w:tblCellMar>
          <w:top w:w="0" w:type="dxa"/>
          <w:left w:w="0" w:type="dxa"/>
          <w:bottom w:w="0" w:type="dxa"/>
          <w:right w:w="0" w:type="dxa"/>
        </w:tblCellMar>
      </w:tblPr>
      <w:tr>
        <w:trPr>
          <w:trHeight w:val="151"/>
        </w:trPr>
        <w:tc>
          <w:tcPr>
            <w:tcW w:w="6700" w:type="dxa"/>
            <w:vAlign w:val="bottom"/>
            <w:tcBorders>
              <w:top w:val="single" w:sz="8" w:color="auto"/>
            </w:tcBorders>
          </w:tcPr>
          <w:p>
            <w:pPr>
              <w:spacing w:after="0"/>
              <w:rPr>
                <w:sz w:val="13"/>
                <w:szCs w:val="13"/>
                <w:color w:val="auto"/>
              </w:rPr>
            </w:pPr>
          </w:p>
        </w:tc>
        <w:tc>
          <w:tcPr>
            <w:tcW w:w="2200" w:type="dxa"/>
            <w:vAlign w:val="bottom"/>
            <w:tcBorders>
              <w:top w:val="single" w:sz="8" w:color="auto"/>
              <w:bottom w:val="single" w:sz="8" w:color="auto"/>
            </w:tcBorders>
            <w:gridSpan w:val="2"/>
          </w:tcPr>
          <w:p>
            <w:pPr>
              <w:jc w:val="right"/>
              <w:ind w:right="553"/>
              <w:spacing w:after="0" w:line="151" w:lineRule="exact"/>
              <w:rPr>
                <w:sz w:val="20"/>
                <w:szCs w:val="20"/>
                <w:color w:val="auto"/>
              </w:rPr>
            </w:pPr>
            <w:r>
              <w:rPr>
                <w:rFonts w:ascii="Arial" w:cs="Arial" w:eastAsia="Arial" w:hAnsi="Arial"/>
                <w:sz w:val="14"/>
                <w:szCs w:val="14"/>
                <w:b w:val="1"/>
                <w:bCs w:val="1"/>
                <w:color w:val="231F20"/>
              </w:rPr>
              <w:t>September 30</w:t>
            </w:r>
          </w:p>
        </w:tc>
      </w:tr>
      <w:tr>
        <w:trPr>
          <w:trHeight w:val="183"/>
        </w:trPr>
        <w:tc>
          <w:tcPr>
            <w:tcW w:w="67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231F20"/>
              </w:rPr>
              <w:t>2021</w:t>
            </w:r>
          </w:p>
        </w:tc>
        <w:tc>
          <w:tcPr>
            <w:tcW w:w="11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231F20"/>
              </w:rPr>
              <w:t>2020</w:t>
            </w: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231F20"/>
              </w:rPr>
              <w:t>Unvested restricted common stock</w:t>
            </w:r>
          </w:p>
        </w:tc>
        <w:tc>
          <w:tcPr>
            <w:tcW w:w="1040" w:type="dxa"/>
            <w:vAlign w:val="bottom"/>
            <w:shd w:val="clear" w:color="auto" w:fill="CCEEFF"/>
          </w:tcPr>
          <w:p>
            <w:pPr>
              <w:jc w:val="right"/>
              <w:ind w:right="115"/>
              <w:spacing w:after="0" w:line="196" w:lineRule="exact"/>
              <w:rPr>
                <w:sz w:val="20"/>
                <w:szCs w:val="20"/>
                <w:color w:val="auto"/>
              </w:rPr>
            </w:pPr>
            <w:r>
              <w:rPr>
                <w:rFonts w:ascii="Arial" w:cs="Arial" w:eastAsia="Arial" w:hAnsi="Arial"/>
                <w:sz w:val="18"/>
                <w:szCs w:val="18"/>
                <w:color w:val="231F20"/>
              </w:rPr>
              <w:t>542,504</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762,195</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231F20"/>
              </w:rPr>
              <w:t>Options to purchase common stock</w:t>
            </w:r>
          </w:p>
        </w:tc>
        <w:tc>
          <w:tcPr>
            <w:tcW w:w="1040" w:type="dxa"/>
            <w:vAlign w:val="bottom"/>
          </w:tcPr>
          <w:p>
            <w:pPr>
              <w:jc w:val="right"/>
              <w:ind w:right="115"/>
              <w:spacing w:after="0" w:line="202" w:lineRule="exact"/>
              <w:rPr>
                <w:sz w:val="20"/>
                <w:szCs w:val="20"/>
                <w:color w:val="auto"/>
              </w:rPr>
            </w:pPr>
            <w:r>
              <w:rPr>
                <w:rFonts w:ascii="Arial" w:cs="Arial" w:eastAsia="Arial" w:hAnsi="Arial"/>
                <w:sz w:val="18"/>
                <w:szCs w:val="18"/>
                <w:color w:val="231F20"/>
              </w:rPr>
              <w:t>5,564,588</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231F20"/>
              </w:rPr>
              <w:t>2,639,009</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231F20"/>
              </w:rPr>
              <w:t>Employee stock purchase plan contingently issuable</w:t>
            </w:r>
          </w:p>
        </w:tc>
        <w:tc>
          <w:tcPr>
            <w:tcW w:w="104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231F20"/>
              </w:rPr>
              <w:t>16,979</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231F20"/>
              </w:rPr>
              <w:t>Shares available for future grant under the 2014 Stock Plan</w:t>
            </w:r>
          </w:p>
        </w:tc>
        <w:tc>
          <w:tcPr>
            <w:tcW w:w="104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231F20"/>
              </w:rPr>
              <w:t>1,175,022</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231F20"/>
              </w:rPr>
              <w:t>Convertible preferred stock (as converted to common shares)</w:t>
            </w:r>
          </w:p>
        </w:tc>
        <w:tc>
          <w:tcPr>
            <w:tcW w:w="1040" w:type="dxa"/>
            <w:vAlign w:val="bottom"/>
            <w:tcBorders>
              <w:bottom w:val="single" w:sz="8" w:color="auto"/>
            </w:tcBorders>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23,765,075</w:t>
            </w:r>
          </w:p>
        </w:tc>
      </w:tr>
      <w:tr>
        <w:trPr>
          <w:trHeight w:val="196"/>
        </w:trPr>
        <w:tc>
          <w:tcPr>
            <w:tcW w:w="67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5"/>
              <w:spacing w:after="0" w:line="196" w:lineRule="exact"/>
              <w:rPr>
                <w:sz w:val="20"/>
                <w:szCs w:val="20"/>
                <w:color w:val="auto"/>
              </w:rPr>
            </w:pPr>
            <w:r>
              <w:rPr>
                <w:rFonts w:ascii="Arial" w:cs="Arial" w:eastAsia="Arial" w:hAnsi="Arial"/>
                <w:sz w:val="18"/>
                <w:szCs w:val="18"/>
                <w:color w:val="231F20"/>
              </w:rPr>
              <w:t>6,124,071</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28,341,301</w:t>
            </w:r>
          </w:p>
        </w:tc>
      </w:tr>
      <w:tr>
        <w:trPr>
          <w:trHeight w:val="20"/>
        </w:trPr>
        <w:tc>
          <w:tcPr>
            <w:tcW w:w="6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Included in the potentially dilutive options to purchase common stock noted above are 211,621 shares issued upon exercise of options under non-recourse notes receivable during 2015 (see Note 9, “Stock-Based Compensation”). The Company determined the purchase of the stock to be non-substantive, and as such, the shares subject to the promissory notes will not be deemed outstanding until such time as the promissory notes have been repaid. Accordingly, the Company has excluded these shares from the calculation of basic and diluted net loss per share for the three and nine months ended September 30, 2020. As of December 31, 2020, all outstanding principal and accrued interest relating to the Non-Recourse Notes were settled in full by the two noteholders, and as a result, the Company issued 211,621 shares of common stock to the noteholders and included these shares in the basic and diluted net loss per share for three and nine months ended September 30, 2021. Also included in the potentially dilutive options to purchase common stock are 53,588</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unvested stock options that were early exercised by an employee and a non-employee in September 2020 (see Note 9, “Stock-Based Compensation”). The Company determined the early exercises to be non-substantive as the shares were subject to repurchase rights. Accordingly, the Company has excluded these shares from the calculation of basic and diluted net loss per share for the three and nine months ended September 30, 2021.</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11. Commitments and Contingencies</w:t>
      </w:r>
    </w:p>
    <w:p>
      <w:pPr>
        <w:spacing w:after="0" w:line="21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June 1, 2013, the Company entered into a management services agreement with MandalMed, Inc. (“MandalMed”) (the “MandalMed Services Agreement”) to lease approximately 5,762 square feet of space for the use laboratory benches, lab equipment, office space, and administrative and facilities services at a monthly fee of $6,500. The Company subsequently entered into several amendments to extend the lease term to November 2020. On November 3, 2020, the Company entered into the sixth amendment to the Mandalmed Services Agreement to extend the term to December 31, 2021 with a monthly fee of $5,600. As part of the sixth amendment, the Company leased additional space of approximately 2,130 square feet (the “Additional Space”) for a three-year period commencing on December 1, 2020 and ending on November 30, 2023. Rent for the Additional Space is $9,000 for the first year and $ 18,000 for the second and third years. The Company recorded rent expense of $0.1 and $0.2 million during the three and nine months ended September 30, 2021, respectively. The rent expense under the MandalMed Services Agreement during the three and nine months ended September 30, 2020 was immaterial.</w:t>
      </w:r>
    </w:p>
    <w:p>
      <w:pPr>
        <w:spacing w:after="0" w:line="20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August 27, 2020, the Company entered into a lease agreement with 512 2nd Street LLC to lease approximately 3,500 square feet of office space in San Francisco, California (the “Office Space Lease Agreement”). The Office Space Lease Agreement is for a period of two years commencing on September 1, 2020 and ending August 31, 2022. According to the terms of the Office Space Lease Agreement, the Company paid a $0.1 million security deposit and is required to pay monthly rent and common area charges. Monthly rent is $23,330 and $24,030 for the first and second years of the lease term, respectively. The Company recorded rent expense under the Office Space Lease Agreement of $0.1 million during the three and $0.2 million during the nine months ended September 30, 2021, respectively.</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December 15, 2020, the Company entered into a lease agreement with Tennieh LLC to lease approximately 9,800 square feet of office space in San Francisco, California (the “Laboratory Lease Agreement”). The Laboratory Lease Agreement is for a period of five years commencing February 1, 2021 and ending January 31, 2026. According to the terms of the Office Space Lease Agreement, the Company paid a $0.4 million security deposit and is required to pay monthly rent and common area charges. Monthly rent is $61,056 for the first year of the lease terms and increases to $68,676 by the fifth year of the lease term. The Company recorded $0.2 million and $0.5 million rent expense for under the Laboratory Lease Agreement during the three and nine months ended September 30, 2021, respectively.</w:t>
      </w:r>
    </w:p>
    <w:p>
      <w:pPr>
        <w:spacing w:after="0" w:line="208"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7"/>
          <w:szCs w:val="17"/>
          <w:color w:val="auto"/>
        </w:rPr>
        <w:t>The Company conducts research and development programs internally and through third parties that include, among others, arrangements with vendors, consultants, CMOs, and CROs. The Company has contractual arrangements in the normal course of business with these parties, however, the contracts with these parties are cancelable generally on reasonable notice within one year and the Company’s obligations under these contracts are primarily based on services performed through termination dates plus certain cancelation charges, if any, as defined in each of the respective agreements. In addition, these agreements may, from time to time, be subjected to amendments as a result of any change orders executed by the parties. As of September 30, 2021, the Company did not have material contractual commitments with respect to these arrangements.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following table summarizes the Company’s future contractual obligations and commitments related to the facility lease agreements discussed above as of September 30,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133985</wp:posOffset>
            </wp:positionV>
            <wp:extent cx="5648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231F20"/>
        </w:rPr>
        <w:t>Year Ending December 31,</w:t>
      </w:r>
    </w:p>
    <w:p>
      <w:pPr>
        <w:spacing w:after="0" w:line="14"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78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2021 (from October, 2021)</w:t>
            </w:r>
          </w:p>
        </w:tc>
        <w:tc>
          <w:tcPr>
            <w:tcW w:w="360" w:type="dxa"/>
            <w:vAlign w:val="bottom"/>
            <w:tcBorders>
              <w:top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259</w:t>
            </w: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1,161</w:t>
            </w: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973</w:t>
            </w: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799</w:t>
            </w: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822</w:t>
            </w:r>
          </w:p>
        </w:tc>
      </w:tr>
      <w:tr>
        <w:trPr>
          <w:trHeight w:val="203"/>
        </w:trPr>
        <w:tc>
          <w:tcPr>
            <w:tcW w:w="78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w:t>
            </w:r>
          </w:p>
        </w:tc>
      </w:tr>
      <w:tr>
        <w:trPr>
          <w:trHeight w:val="196"/>
        </w:trPr>
        <w:tc>
          <w:tcPr>
            <w:tcW w:w="78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4,083</w:t>
            </w:r>
          </w:p>
        </w:tc>
      </w:tr>
      <w:tr>
        <w:trPr>
          <w:trHeight w:val="20"/>
        </w:trPr>
        <w:tc>
          <w:tcPr>
            <w:tcW w:w="7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Collaboration and Supply Agreement</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July 22, 2020, the Company entered into a non-exclusive clinical collaboration and supply agreement with Novartis Institutes for BioMedical Research, Inc. (“Novartis”) (the “Novartis Agreement”). The collaboration is focused on the evaluation of the safety, tolerability and efficacy of OP-1250 in combination with Novartis’ proprietary CDK4/6 inhibitor KISQALI® (ribociclib) and/or Novartis’ proprietary phosphatidylinositol 3-kinase inhibitor PIQRAY® (alpelisib) (collectively the “Novartis Study Drugs”) as part of the Company’s planned Phase 1b clinical trial of OP-1250 in patients with metastatic estrogen receptor-positive breast cancer. The Company will be responsible for the conduct of the clinical trials for the combined therapies in accordance with a mutually agreed development plan. As part of the collaboration, the parties granted to each other a non-exclusive, royalty- free license under certain of the parties’ respective background patent rights and other technology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 is responsible for manufacturing, packaging and labeling OP-1250, and for packaging and labeling all drugs used in the clinical trials for the combined therapies (other than the Novartis Study Drugs). Novartis is responsible for manufacturing and delivering to the Company the Novartis Study Drugs in such quantities as reasonably needed for the clinical trials for the combined therapies. In accordance with an agreed budget, subject to certain thresholds, Novartis will reimburse the Company for a majority of the direct outside costs that the Company incurs related to conducting the activities under the agreed development plan in conducting the clinical trials for the combined therapies.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Novartis Agreement will terminate upon completion of all activities outlined in the development plan and the relevant protocols. Either party may terminate the Novartis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Novartis Study Drugs or OP-1250. In addition, Novartis may terminate the Novartis Agreement if certain disputes between the parties are not resolved after following the applicable dispute resolution procedures, and the Company may terminate the Novartis Agreement in the event the Company terminates all clinical trials of the combined therapies other than due to a material safety issue or upon a clinical hold.</w:t>
      </w:r>
    </w:p>
    <w:p>
      <w:pPr>
        <w:spacing w:after="0" w:line="207"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For the nine months ended September 30, 2021, costs incurred reimbursable by Novartis were not material to the condensed consolidated financial statements.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Trial Agreement</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November 2020, the Company entered into a non-exclusive clinical trial agreement with Pfizer Inc. (“Pfizer”) (the “Pfizer Agreement”), to evaluate the safety and tolerability of OP-1250 in combination with Pfizer’s proprietary CDK4/6 inhibitor IBRANCE® (palbociclib) in patients with recurrent, locally advanced or metastatic</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ER+, HER2- breast cancer in a clinical trial. Under the terms of the non-exclusive agreement, the Company will be responsible for conducting the clinical trial for the combined therapies and Pfizer is responsible for supplying IBRANCE® to the Company at no cost to the Company.</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is responsible for manufacturing, packaging and labeling OP-1250, and for packaging and labeling all drugs used in the clinical trials for the combined therapies (other than IBRANCE® (palbociclib)). Pfizer is responsible for manufacturing and delivering to us IBRANCE® (palbociclib) in such quantities as reasonably needed for the clinical trials for the combined therapies.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Pfizer Agreement will terminate upon completion of all activities outlined in the study plan and the relevant protocols. Either party may terminate the Pfizer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IBRANCE® (palbociclib) or OP-1250. In addition, either party may terminate the Pfizer Agreement if certain disputes between the parties are not resolved after following the applicable dispute resolution procedures or if either party determines to discontinue clinical development for medical, scientific, legal or other reasons.</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Pfizer Agreement does not grant any right of first negotiation to participate in future clinical trials, and each of the parties retains all rights and ability to evaluate their respective compounds. Costs incurred in connection to the Pfizer Agreement are included in the Research and Development expense in the condensed consolidated statements of operations for the three and nine months ended September 30,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Contingencies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For all periods presented, the Company was not a party to any pending material litigation or other material legal proceedings.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Indemnification Agreements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As of September 30, 2021, and December 31, 2020, the Company had not incurred any material costs as a result of such indemnifications.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1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unaudited condensed consolidated financial statements and related notes that are included elsewhere in this Quarterly Report on Form 10-Q and the audited financial statements and related notes that are included in our Annual Report on Form 10-K for the fiscal year ended December 31, 2020 filed with the U.S. Securities and Exchange Commission, or the SEC, on March 17, 2021, or our Annual Report on Form 10-K.</w:t>
      </w:r>
    </w:p>
    <w:p>
      <w:pPr>
        <w:spacing w:after="0" w:line="18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 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are a clinical-stage biopharmaceutical company focused on the discovery, development and commercialization of next-generation targeted therapies for women’s cancers. Our team has spent the past decade characterizing the structure and function of the ER, a key driver of breast cancer in approximately 75% of patients, in order to develop more potent, oral therapies that completely inactivate this signaling pathway. Our wholly owned lead product candidate, OP-1250, is a novel oral therapy with combined activity as both a CERAN and a SERD, which we believe will drive deeper, more durable responses than existing therapies. OP-1250, both as a monotherapy and in combination with inhibitors of CDK4/6 demonstrated robust tumor shrinkage in several xenograft models, including a breast cancer brain metastasis model. In August 2020, we initiated an ongoing Phase 1/2 dose escalation and expansion trial evaluating OP-1250 for the treatment of recurrent, locally advanced or metastatic ER+, HER2- breast cancer, and expect to report initial data from the dose-escalation portion of trial in the fourth quarter of 2021. We own worldwide development and commercialization rights to OP-1250. Our plan is to develop OP-1250 in a number of ER+ breast cancer indications, both as a monotherapy and in combination with approved targeted therapies that have shown improved outcomes with other endocrine therapies. We believe OP-1250’s oral formulation and dual mechanism of action directly address the limitations of current endocrine therapies, such as fulvestrant and tamoxifen, and position OP-1250 as a potential endocrine therapy of choice for the treatment of ER+ breast cancers. Our goal is to transform the standard of care for women living with cancers by developing more effective therapies that apply our deep understanding and collective expertise in endocrine-driven cancers, nuclear receptor activities and mechanisms of acquired resistance.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Since our inception, we have devoted substantially all of our resources to organizing and staffing our company, research and development activities, business planning, raising capital, establishing and maintaining our intellectual property portfolio, conducting nonclinical studies and clinical trials and providing general and administrative support for these operations.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do not have any product candidates approved for commercial sale, and we have not generated any revenue from product sales. Our ability to generate product revenue sufficient to achieve profitability, if ever, will depend on the successful development and eventual commercialization of one or more of our product candidates which we expect, if it ever occurs, will take a number of years. We also do not own or operate, and currently have no plans to establish, any manufacturing facilities. We rely, and expect to continue to rely, on third parties for the manufacture of our product candidates for nonclinical and clinical testing, as well as for commercial manufacturing if any of our 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spacing w:after="0" w:line="20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As of September 30, 2021, we had cash, cash equivalents, and marketable securities of $ 306.0 million. Based on our current operating plan, we believe that our existing cash and cash equivalents will be sufficient to fund our planned operating expenses and capital expenditure requirements through the end of 2023.</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incurred significant operating losses since the commencement of our operations. Our net losses were $17.7 million and $7.8 million for the three months ended September 30, 2021 and 2020, respectively, and $49.5 million and $12.0 million for the nine months ended September 30, 2021 and 2020, respectively, and we expect to incur significant and increasing losses for the foreseeable future as we continue to advance our product candidate, and as we transition to operating as a public company. Our net losses may fluctuate significantly from period to period, depending on the timing of expenditures on our research and development activities. As of September 30, 2021, we had an accumulated deficit of $82.6 million. Our primary use of cash is to fund operating expenses, which consist primarily of research and development expenditures and general and administrative expenditures. Cash used to fund operating expenses is impacted by the timing of when we pay these expenses, as reflected in the change in our outstanding accounts payable and other current liabilities.</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expect to continue to incur net operating losses for at least the next several years, and we expect our research and development expenses, general and administrative expenses, and capital expenditures will continue to increase. We expect our expenses and capital requirements will increase significantly in connection with our ongoing activities as we:</w:t>
      </w:r>
    </w:p>
    <w:p>
      <w:pPr>
        <w:spacing w:after="0" w:line="205" w:lineRule="exact"/>
        <w:rPr>
          <w:sz w:val="20"/>
          <w:szCs w:val="20"/>
          <w:color w:val="auto"/>
        </w:rPr>
      </w:pPr>
    </w:p>
    <w:p>
      <w:pPr>
        <w:ind w:left="720" w:right="79" w:hanging="319"/>
        <w:spacing w:after="0" w:line="246" w:lineRule="auto"/>
        <w:tabs>
          <w:tab w:leader="none" w:pos="7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continue our ongoing and planned research and development of our lead product candidate OP-1250 for the treatment of ER+ positive breast cancer;</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initiate nonclinical studies and clinical trials for any additional product candidates that we may pursue in the future;</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seek to discover and develop additional product candidates and further expand our clinical product pipeline;</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seek regulatory approvals for any product candidates that successfully complete clinical trials;</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continue to scale up external manufacturing capacity with the aim of securing sufficient quantities to meet our capacity requirements for clinical trials and potential commercialization;</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establish a sales, marketing and distribution infrastructure to commercialize any approved product candidates and related additional commercial manufacturing costs;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develop, maintain, expand, protect and enforce our intellectual property portfolio, including patents, trade secrets and know how;</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acquire or in-license other product candidates and technologies;</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attract, hire and retain additional clinical, scientific, quality control, and manufacturing management and administrative personnel;</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add clinical, operational, financial and management information systems and personnel, including personnel to support our product development and planned future commercialization efforts;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expand our operations in the United States and to other geographies; and</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incur additional legal, accounting, investor relations and other expenses associated with operating as a public company.</w:t>
      </w:r>
    </w:p>
    <w:p>
      <w:pPr>
        <w:spacing w:after="0" w:line="19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also expect to increase the size of our administrative function to support the growth of our business. Our net losses may fluctuate significantly from quarter-to-quarter and year-to-year, depending on the timing of our clinical trials and our expenditures on other research and development activities.</w:t>
      </w:r>
    </w:p>
    <w:p>
      <w:pPr>
        <w:spacing w:after="0" w:line="20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will require substantial additional funding to develop our product candidates and support our continuing operations. Until such time that we can generate significant revenue from product sales or other sources, if ever, we expect to finance our operations through the sale of equity, debt financings or other capital sources, which could include income from collaborations, strategic partnerships or marketing, distribution, licensing or other strategic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Our failure to obtain sufficient funds on acceptable terms when needed could have a material adverse effect on our business, results of operations or financial condition, including requiring us to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spacing w:after="0" w:line="21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 COVID-19 pandemic continues to rapidly evolve. As a result of the COVID-19 pandemic, we experienced some delays in setting up our current Phase 1/2 clinical trial and in clinical site initiation, including delays in recruiting clinical site investigators and clinical site staff, which we may experience again in the future. The extent of the impact of the COVID-19 pandemic on our business, operations and development timelines and plans remains uncertain, and will depend on certain developments, including the duration of the outbreak and its impact on our development activities, planned clinical trial enrollment, future trial sites, CROs, third-party manufacturers, and other third parties with whom we do business, as well as its impact on regulatory authorities and our key scientific and management personnel. The ultimate impact of the COVID-19 pandemic or a similar health epidemic is highly uncertain and subject to change. To the extent possible, we are conducting business as usual, with necessary or advisable modifications to employee travel and with many of our employees working remotely. We continue to actively monitor the rapidly evolving situation related to the COVID-19 pandemic and may take further actions that alter our operations, including those that may be required by federal, state or local authorities, or that we determine are in the best interests of our employees and other third parties with whom we do business. Through September 30, 2021, although we modified our operations and practices due to the COVID-19 pandemic and to comply with federal, state and local requirements, our business, operations and development timelines were not material adversely affected. However, the extent to which the COVID-19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pandemic may affect our business, operations and development timelines and plans in the future, including the resulting impact on our expenditures and capital needs, remains uncertain.</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There have been no significant changes in our critical accounting policies and estimates disclosed in our Annual Report on Form 10-K.</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3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for the foreseeable future.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external and internal expenses incurred in connection with the discovery and development of our product candidates. To date, our research and development expenses have related primarily to discovery efforts and nonclinical and clinical development of our product candidate OP-1250. Research and development expenses are recognized as incurred and payments made prior to the receipt of goods or services to be used in research and development are capitalized until the goods or services are received.</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External expenses include:</w:t>
      </w:r>
    </w:p>
    <w:p>
      <w:pPr>
        <w:spacing w:after="0" w:line="212" w:lineRule="exact"/>
        <w:rPr>
          <w:sz w:val="20"/>
          <w:szCs w:val="20"/>
          <w:color w:val="auto"/>
        </w:rPr>
      </w:pPr>
    </w:p>
    <w:p>
      <w:pPr>
        <w:ind w:left="720" w:right="79" w:hanging="319"/>
        <w:spacing w:after="0" w:line="246"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expenses incurred in connection with the discovery and nonclinical development of our product candidates, including under agreements with third parties, such as consultants and CROs;</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costs of manufacturing products for use in our nonclinical studies and clinical trials, including payments to CMOs and consultants;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costs of funding research performed by third parties;</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costs of purchasing lab supplies and non-capital equipment used in designing, developing and manufacturing nonclinical study and clinical trial materials;</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costs associated with consultants for chemistry, manufacturing and controls development, regulatory, statistics and other services;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expenses related to regulatory activities, including filing fees paid to regulatory agencies; and</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facility costs including rent, depreciation and maintenance expenses.</w:t>
      </w:r>
    </w:p>
    <w:p>
      <w:pPr>
        <w:spacing w:after="0" w:line="22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Internal expenses include employee and personnel-related costs and expenses, including salaries, benefits and stock-based compensation expense for employees and personnel engaged in research and development functions.</w:t>
      </w:r>
    </w:p>
    <w:p>
      <w:pPr>
        <w:spacing w:after="0" w:line="203"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We expense research and development expenses in the periods in which they are incurred. Costs for certain activities, such as manufacturing and nonclinical studies and clinical trials, are generally recognized based 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an evaluation of the progress to completion of specific tasks using information and data provided to us by our vendors and collaborators.</w:t>
      </w:r>
    </w:p>
    <w:p>
      <w:pPr>
        <w:spacing w:after="0" w:line="19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typically use our employee, consultant and infrastructure resources across our development programs. We track outsourced development costs by product candidate or nonclinical program, but we do not allocate personnel costs, other internal costs or external consultant costs to specific product candidates or nonclinical programs.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Research and development expenses to advance the development of our lead product candidate and nonclinical program were $12.5 million and $ 4.7 million for the three months ended September 30, 2021 and 2020, respectively, and $35.1 million and $7.4 million for the nine months ended September 30, 2021 and 2020, respectively.</w:t>
      </w:r>
    </w:p>
    <w:p>
      <w:pPr>
        <w:spacing w:after="0" w:line="205"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7"/>
          <w:szCs w:val="17"/>
          <w:color w:val="auto"/>
        </w:rPr>
        <w:t>We expect our research and development expenses to increase substantially in absolute dollars for the foreseeable future as we advance OP-1250 or any other future product candidates we may develop into and through nonclinical studies and clinical trials and pursue regulatory approval of our product candidates. The process of conducting the necessary clinical research to obtain regulatory approval is costly and time-consuming. The actual probability of success for OP-1250 or any other future product candidates we may develop may be affected by a variety of factors including but not limited to: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our product candidates. As a result of the uncertainties discussed above, we are unable to determine the duration and completion costs of our research and development projects or when and to what extent we will generate revenue from the commercialization and sale of our OP-1250 or any other future product candidates we may develop. Clinical and nonclinical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nonclinical studies and clinical trials, regulatory developments and our ongoing assessments as to each product candidate’s commercial potential. In addition, we cannot forecast whether OP-1250 or any other future product candidates we may develop may be subject to future collaborations, when such arrangements will be secured, if at all, and to what degree such arrangements would affect our development plans and capital requirements. We are also unable to predict when, if ever, we will generate revenue from our product candidates to offset these expenses. Our expenditures on current and future nonclinical and clinical development programs are subject to numerous uncertainties in timing and cost to completion. The duration, costs and timing of nonclinical studies and clinical trials and development of our product candidates will depend on a variety of factors, including:</w:t>
      </w:r>
    </w:p>
    <w:p>
      <w:pPr>
        <w:spacing w:after="0" w:line="200" w:lineRule="exact"/>
        <w:rPr>
          <w:sz w:val="20"/>
          <w:szCs w:val="20"/>
          <w:color w:val="auto"/>
        </w:rPr>
      </w:pPr>
    </w:p>
    <w:p>
      <w:pPr>
        <w:spacing w:after="0" w:line="212" w:lineRule="exact"/>
        <w:rPr>
          <w:sz w:val="20"/>
          <w:szCs w:val="20"/>
          <w:color w:val="auto"/>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the timing and progress of nonclinical and clinical development activities;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the number and scope of nonclinical and clinical programs we decide to pursue;</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our ability to maintain our current research and development programs and to establish new ones;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establishing an appropriate safety profile with investigational new drug-enabling toxicology studies;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successful patient enrollment in, and the initiation and completion of, clinical trials;</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the successful completion of clinical trials with safety, tolerability and efficacy profiles that are satisfactory to the FDA or any comparable foreign regulatory authority;</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establishing commercial manufacturing capabilities or making arrangements with third-party manufacturers;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receipt of regulatory approvals from applicable regulatory authorities;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the timing, receipt and terms of any marketing approvals from applicable regulatory authorities;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our ability to establish licensing or collaboration arrangements;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the performance of our future collaborators, if any;</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development and timely delivery of commercial-grade product formulations that can be used in our planned clinical trials and for commercial launch;</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commercializing the product candidate, if approved, whether alone or in collaboration with others;</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obtaining and maintaining patent and trade secret protection and regulatory exclusivity for our product candidates;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obtaining, maintaining, defending and enforcing patent claims and other intellectual property rights;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maintaining a continued acceptable safety profiles of our products following approval; and</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obtaining and retaining key research and development personnel.</w:t>
      </w:r>
    </w:p>
    <w:p>
      <w:pPr>
        <w:spacing w:after="0" w:line="22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Any changes in the outcome of any of these factors could significantly impact the costs, timing and viability associated with the development of our product candidates.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General and administrative expenses consist primarily of personnel expenses, including salaries, benefits and stock-based compensation expense, for personnel in executive, finance, accounting, business development, legal, human resources, information technology, and administrative functions. General and administrative expenses also include costs not otherwise included in research and development expenses, including corporate facility costs, depreciation and other expenses, which include direct or allocated expenses for rent and maintenance of facilities and insurance, and professional fees for legal, patent and consulting services.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expect that our general and administrative expenses will increase substantially in the foreseeable future as we increase our headcount to support the continued research and development of our programs and the growth of our business. We also anticipate incurring additional expenses associated with operating as a public company, including increased expenses related to ongoing financial statement audit and interim-period quarterly reviews, internal control over financial reporting compliance and audit, legal, other regulatory and compliance, director and officer insurance, investor and public relations, IT infrastructure, and tax-related services associated with maintaining compliance with the rules and regulations of the SEC and standards applicable to companies listed on a national securities exchange, additional insurance expenses, and other administrative and professional services.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Total other income (expense), net</w:t>
      </w:r>
    </w:p>
    <w:p>
      <w:pPr>
        <w:spacing w:after="0" w:line="216"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Total other income (expense), net consists of interest income, interest expense, and other income and expense</w:t>
      </w:r>
      <w:r>
        <w:rPr>
          <w:rFonts w:ascii="Arial" w:cs="Arial" w:eastAsia="Arial" w:hAnsi="Arial"/>
          <w:sz w:val="18"/>
          <w:szCs w:val="18"/>
          <w:i w:val="1"/>
          <w:iCs w:val="1"/>
          <w:color w:val="auto"/>
        </w:rPr>
        <w:t>.</w:t>
      </w:r>
      <w:r>
        <w:rPr>
          <w:rFonts w:ascii="Arial" w:cs="Arial" w:eastAsia="Arial" w:hAnsi="Arial"/>
          <w:sz w:val="18"/>
          <w:szCs w:val="18"/>
          <w:color w:val="auto"/>
        </w:rPr>
        <w:t xml:space="preserve"> Interest income primarily consists of interest income on our cash, cash equivalents, and marketable securities. Interest expense during the nine months ended primarily consisted of interest on our convertible promissory notes, and a non-cash interest charge related to a beneficial conversion feature on a convertible note that was issued in January 2020. Other income and expense consists of miscellaneous income and expenses not related to operating activities.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three months ended September 30, 2021 and 2020</w:t>
      </w:r>
    </w:p>
    <w:p>
      <w:pPr>
        <w:spacing w:after="0" w:line="230"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following table summarizes our results of operations for the three months ended September 30, 2021 and 2020:</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580" w:type="dxa"/>
            <w:vAlign w:val="bottom"/>
            <w:tcBorders>
              <w:top w:val="single" w:sz="8" w:color="auto"/>
            </w:tcBorders>
          </w:tcPr>
          <w:p>
            <w:pPr>
              <w:spacing w:after="0"/>
              <w:rPr>
                <w:sz w:val="14"/>
                <w:szCs w:val="14"/>
                <w:color w:val="auto"/>
              </w:rPr>
            </w:pPr>
          </w:p>
        </w:tc>
        <w:tc>
          <w:tcPr>
            <w:tcW w:w="254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r>
      <w:tr>
        <w:trPr>
          <w:trHeight w:val="175"/>
        </w:trPr>
        <w:tc>
          <w:tcPr>
            <w:tcW w:w="55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r>
      <w:tr>
        <w:trPr>
          <w:trHeight w:val="156"/>
        </w:trPr>
        <w:tc>
          <w:tcPr>
            <w:tcW w:w="5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0" w:type="dxa"/>
            <w:vAlign w:val="bottom"/>
            <w:gridSpan w:val="2"/>
          </w:tcPr>
          <w:p>
            <w:pPr>
              <w:jc w:val="right"/>
              <w:ind w:right="232"/>
              <w:spacing w:after="0" w:line="155" w:lineRule="exact"/>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03"/>
        </w:trPr>
        <w:tc>
          <w:tcPr>
            <w:tcW w:w="5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03"/>
        </w:trPr>
        <w:tc>
          <w:tcPr>
            <w:tcW w:w="558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12,523</w:t>
            </w:r>
          </w:p>
        </w:tc>
        <w:tc>
          <w:tcPr>
            <w:tcW w:w="400" w:type="dxa"/>
            <w:vAlign w:val="bottom"/>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4,673</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7,850</w:t>
            </w:r>
          </w:p>
        </w:tc>
      </w:tr>
      <w:tr>
        <w:trPr>
          <w:trHeight w:val="203"/>
        </w:trPr>
        <w:tc>
          <w:tcPr>
            <w:tcW w:w="5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5,239</w:t>
            </w:r>
          </w:p>
        </w:tc>
        <w:tc>
          <w:tcPr>
            <w:tcW w:w="4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3,195</w:t>
            </w:r>
          </w:p>
        </w:tc>
        <w:tc>
          <w:tcPr>
            <w:tcW w:w="2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2,044</w:t>
            </w:r>
          </w:p>
        </w:tc>
      </w:tr>
      <w:tr>
        <w:trPr>
          <w:trHeight w:val="196"/>
        </w:trPr>
        <w:tc>
          <w:tcPr>
            <w:tcW w:w="558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rPr>
              <w:t>17,762</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7,868</w:t>
            </w: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9,894</w:t>
            </w:r>
          </w:p>
        </w:tc>
      </w:tr>
      <w:tr>
        <w:trPr>
          <w:trHeight w:val="196"/>
        </w:trPr>
        <w:tc>
          <w:tcPr>
            <w:tcW w:w="5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(17,762)</w:t>
            </w:r>
          </w:p>
        </w:tc>
        <w:tc>
          <w:tcPr>
            <w:tcW w:w="4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(7,868)</w:t>
            </w:r>
          </w:p>
        </w:tc>
        <w:tc>
          <w:tcPr>
            <w:tcW w:w="2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(9,894)</w:t>
            </w:r>
          </w:p>
        </w:tc>
      </w:tr>
      <w:tr>
        <w:trPr>
          <w:trHeight w:val="196"/>
        </w:trPr>
        <w:tc>
          <w:tcPr>
            <w:tcW w:w="5580" w:type="dxa"/>
            <w:vAlign w:val="bottom"/>
          </w:tcPr>
          <w:p>
            <w:pPr>
              <w:ind w:left="20"/>
              <w:spacing w:after="0" w:line="196" w:lineRule="exact"/>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105</w:t>
            </w: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w:t>
            </w:r>
          </w:p>
        </w:tc>
      </w:tr>
      <w:tr>
        <w:trPr>
          <w:trHeight w:val="203"/>
        </w:trPr>
        <w:tc>
          <w:tcPr>
            <w:tcW w:w="5580" w:type="dxa"/>
            <w:vAlign w:val="bottom"/>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(56)</w:t>
            </w:r>
          </w:p>
        </w:tc>
        <w:tc>
          <w:tcPr>
            <w:tcW w:w="4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r>
      <w:tr>
        <w:trPr>
          <w:trHeight w:val="196"/>
        </w:trPr>
        <w:tc>
          <w:tcPr>
            <w:tcW w:w="558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Total other income (expense), net</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rPr>
              <w:t>49</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w:t>
            </w: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558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(17,713)</w:t>
            </w:r>
          </w:p>
        </w:tc>
        <w:tc>
          <w:tcPr>
            <w:tcW w:w="400" w:type="dxa"/>
            <w:vAlign w:val="bottom"/>
            <w:tcBorders>
              <w:bottom w:val="single" w:sz="8" w:color="auto"/>
            </w:tcBorders>
            <w:shd w:val="clear" w:color="auto" w:fill="CCEEFF"/>
          </w:tcPr>
          <w:p>
            <w:pPr>
              <w:jc w:val="right"/>
              <w:ind w:right="96"/>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(7,844)</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(9,869)</w:t>
            </w: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Research and development expenses for the three months ended September 30, 2021 were $12.5 million, compared to $4.7 million for the three months ended September 30, 2020. The increase of $7.8 million was primarily due to increased spending in (i) advancing the clinical study of our lead product candidate OP-1250 and the associated contract manufacturing costs, (ii) other nonclinical research and discovery program costs, and (iii) personnel-related costs due to increased headcount, and an increase in the non-cash stock-based compensation of $2.0 million recognized during the three months ended September 30,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General and administrative expenses for the three months ended September 30, 2021 were $5.2 million compared to $3.2 million for the three months ended September 30, 2020. The increase of $2.0 million was primarily due to increased (i) personnel-related costs due to increased headcount, including the expansion of our executive team (ii) expenses associated with external consultants for accounting and regulatory compliance as a result of operating as a public company, and (iii) the non-cash stock-based compensation of $1.6 million recognized during the three months ended September 30,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(expense), net</w:t>
      </w:r>
    </w:p>
    <w:p>
      <w:pPr>
        <w:spacing w:after="0" w:line="230"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Other income (expense), net for the three months ended September 30, 2021 was less than $0.1 million, which primarily consisted of interest income from our marketable securities.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nine months ended September 30, 2021 and 2020</w:t>
      </w:r>
    </w:p>
    <w:p>
      <w:pPr>
        <w:spacing w:after="0" w:line="230"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following table summarizes our results of operations for the nine months ended September 30, 2021 and 2020:</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580" w:type="dxa"/>
            <w:vAlign w:val="bottom"/>
            <w:tcBorders>
              <w:top w:val="single" w:sz="8" w:color="auto"/>
            </w:tcBorders>
          </w:tcPr>
          <w:p>
            <w:pPr>
              <w:spacing w:after="0"/>
              <w:rPr>
                <w:sz w:val="14"/>
                <w:szCs w:val="14"/>
                <w:color w:val="auto"/>
              </w:rPr>
            </w:pPr>
          </w:p>
        </w:tc>
        <w:tc>
          <w:tcPr>
            <w:tcW w:w="2460" w:type="dxa"/>
            <w:vAlign w:val="bottom"/>
            <w:tcBorders>
              <w:top w:val="single" w:sz="8" w:color="auto"/>
            </w:tcBorders>
            <w:gridSpan w:val="4"/>
          </w:tcPr>
          <w:p>
            <w:pPr>
              <w:spacing w:after="0"/>
              <w:rPr>
                <w:sz w:val="20"/>
                <w:szCs w:val="20"/>
                <w:color w:val="auto"/>
              </w:rPr>
            </w:pPr>
            <w:r>
              <w:rPr>
                <w:rFonts w:ascii="Arial" w:cs="Arial" w:eastAsia="Arial" w:hAnsi="Arial"/>
                <w:sz w:val="14"/>
                <w:szCs w:val="14"/>
                <w:b w:val="1"/>
                <w:bCs w:val="1"/>
                <w:color w:val="auto"/>
              </w:rPr>
              <w:t>Nine Months Ended September 30,</w:t>
            </w:r>
          </w:p>
        </w:tc>
        <w:tc>
          <w:tcPr>
            <w:tcW w:w="860" w:type="dxa"/>
            <w:vAlign w:val="bottom"/>
            <w:tcBorders>
              <w:top w:val="single" w:sz="8" w:color="auto"/>
            </w:tcBorders>
          </w:tcPr>
          <w:p>
            <w:pPr>
              <w:spacing w:after="0"/>
              <w:rPr>
                <w:sz w:val="14"/>
                <w:szCs w:val="14"/>
                <w:color w:val="auto"/>
              </w:rPr>
            </w:pPr>
          </w:p>
        </w:tc>
      </w:tr>
      <w:tr>
        <w:trPr>
          <w:trHeight w:val="175"/>
        </w:trPr>
        <w:tc>
          <w:tcPr>
            <w:tcW w:w="5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56"/>
        </w:trPr>
        <w:tc>
          <w:tcPr>
            <w:tcW w:w="5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80" w:type="dxa"/>
            <w:vAlign w:val="bottom"/>
            <w:gridSpan w:val="2"/>
          </w:tcPr>
          <w:p>
            <w:pPr>
              <w:jc w:val="right"/>
              <w:ind w:right="192"/>
              <w:spacing w:after="0" w:line="155" w:lineRule="exact"/>
              <w:rPr>
                <w:sz w:val="20"/>
                <w:szCs w:val="20"/>
                <w:color w:val="auto"/>
              </w:rPr>
            </w:pPr>
            <w:r>
              <w:rPr>
                <w:rFonts w:ascii="Arial" w:cs="Arial" w:eastAsia="Arial" w:hAnsi="Arial"/>
                <w:sz w:val="14"/>
                <w:szCs w:val="14"/>
                <w:color w:val="auto"/>
              </w:rPr>
              <w:t>(in thousands)</w:t>
            </w:r>
          </w:p>
        </w:tc>
        <w:tc>
          <w:tcPr>
            <w:tcW w:w="860" w:type="dxa"/>
            <w:vAlign w:val="bottom"/>
          </w:tcPr>
          <w:p>
            <w:pPr>
              <w:spacing w:after="0"/>
              <w:rPr>
                <w:sz w:val="13"/>
                <w:szCs w:val="13"/>
                <w:color w:val="auto"/>
              </w:rPr>
            </w:pPr>
          </w:p>
        </w:tc>
      </w:tr>
      <w:tr>
        <w:trPr>
          <w:trHeight w:val="203"/>
        </w:trPr>
        <w:tc>
          <w:tcPr>
            <w:tcW w:w="5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558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35,125</w:t>
            </w:r>
          </w:p>
        </w:tc>
        <w:tc>
          <w:tcPr>
            <w:tcW w:w="3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7,415</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  27,710</w:t>
            </w:r>
          </w:p>
        </w:tc>
      </w:tr>
      <w:tr>
        <w:trPr>
          <w:trHeight w:val="203"/>
        </w:trPr>
        <w:tc>
          <w:tcPr>
            <w:tcW w:w="5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14,609</w:t>
            </w:r>
          </w:p>
        </w:tc>
        <w:tc>
          <w:tcPr>
            <w:tcW w:w="3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3,982</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10,627</w:t>
            </w:r>
          </w:p>
        </w:tc>
      </w:tr>
      <w:tr>
        <w:trPr>
          <w:trHeight w:val="196"/>
        </w:trPr>
        <w:tc>
          <w:tcPr>
            <w:tcW w:w="558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color w:val="auto"/>
              </w:rPr>
              <w:t>49,734</w:t>
            </w: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11,397</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38,337</w:t>
            </w:r>
          </w:p>
        </w:tc>
      </w:tr>
      <w:tr>
        <w:trPr>
          <w:trHeight w:val="196"/>
        </w:trPr>
        <w:tc>
          <w:tcPr>
            <w:tcW w:w="5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(49,734)</w:t>
            </w:r>
          </w:p>
        </w:tc>
        <w:tc>
          <w:tcPr>
            <w:tcW w:w="3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(11,397)</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(38,337)</w:t>
            </w:r>
          </w:p>
        </w:tc>
      </w:tr>
      <w:tr>
        <w:trPr>
          <w:trHeight w:val="196"/>
        </w:trPr>
        <w:tc>
          <w:tcPr>
            <w:tcW w:w="5580" w:type="dxa"/>
            <w:vAlign w:val="bottom"/>
          </w:tcPr>
          <w:p>
            <w:pPr>
              <w:ind w:left="20"/>
              <w:spacing w:after="0" w:line="196" w:lineRule="exact"/>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333</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59</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w:t>
            </w:r>
          </w:p>
        </w:tc>
      </w:tr>
      <w:tr>
        <w:trPr>
          <w:trHeight w:val="203"/>
        </w:trPr>
        <w:tc>
          <w:tcPr>
            <w:tcW w:w="5580" w:type="dxa"/>
            <w:vAlign w:val="bottom"/>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7"/>
                <w:szCs w:val="17"/>
                <w:color w:val="auto"/>
              </w:rPr>
            </w:pPr>
          </w:p>
        </w:tc>
        <w:tc>
          <w:tcPr>
            <w:tcW w:w="9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(653)</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653</w:t>
            </w:r>
          </w:p>
        </w:tc>
      </w:tr>
      <w:tr>
        <w:trPr>
          <w:trHeight w:val="203"/>
        </w:trPr>
        <w:tc>
          <w:tcPr>
            <w:tcW w:w="5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income (expense)</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(57)</w:t>
            </w:r>
          </w:p>
        </w:tc>
        <w:tc>
          <w:tcPr>
            <w:tcW w:w="3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r>
      <w:tr>
        <w:trPr>
          <w:trHeight w:val="196"/>
        </w:trPr>
        <w:tc>
          <w:tcPr>
            <w:tcW w:w="558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Total other income (expense), net</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color w:val="auto"/>
              </w:rPr>
              <w:t>276</w:t>
            </w: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(593)</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869</w:t>
            </w:r>
          </w:p>
        </w:tc>
      </w:tr>
      <w:tr>
        <w:trPr>
          <w:trHeight w:val="196"/>
        </w:trPr>
        <w:tc>
          <w:tcPr>
            <w:tcW w:w="558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(49,458)</w:t>
            </w:r>
          </w:p>
        </w:tc>
        <w:tc>
          <w:tcPr>
            <w:tcW w:w="380" w:type="dxa"/>
            <w:vAlign w:val="bottom"/>
            <w:tcBorders>
              <w:bottom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(11,990)</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(37,468)</w:t>
            </w: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Research and development expenses for the nine months ended September 30, 2021 were $35.1 million, compared to $7.4 million for the nine months ended September 30, 2020. The increase of $27.7 million was primarily due to increased spending in (i) advancing the clinical study of our lead product candidate OP-1250 and the associated contract manufacturing costs, (ii) other nonclinical research and discovery program costs, and (iii) personnel-related costs due to increased headcount and an increase in the non-cash stock-based compensation of $5.9 million recognized during the nine months ended September 30,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General and administrative expenses for the nine months ended September 30, 2021 were $ 14.6 million compared to $4.0 million for the nine months ended September 30, 2020. The increase of $10.6 million was primarily due to increased (i) personnel-related costs due to increased headcount, including the expansion of our executive team (ii) expenses associated with external consultants for accounting and regulatory compliance as a result of operating as a public company, and (iii) the non-cash stock-based compensation of $4.6 million recognized during the nine months ended September 30,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(expense), net</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Other income (expense), net for the nine months ended September 30, 2021 was $0.3 million, which primarily consisted of interest income from our marketable securities, compared to $0.6 million expense for the nine months ended September 30, 2020. The increase of $0.9 million was primarily due to the non-cash interest charge recognized in 2020 related to a beneficial conversion feature on a convertible note that was issued in January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Sources of liquidity</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Since our inception, we have not generated any revenue from product sales and have incurred significant operating losses and negative cash flows from our operations. Our net losses were $49.5 million and $12.0 million for the nine months ended September 30, 2021 and 2020, respectively. Through September 30,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had received aggregate gross proceeds of $391.9 million from sales of our common stock from the initial public offering in November 2020, issuances of convertible preferred stock and convertible promissory notes since our inception, stock option exercises, and the sale of stock through the ESPP. As of September 30, 2021, we had $306.0 million in cash, cash equivalents and marketable securities. As of September 30, 2021, we had accumulated deficit of $82.6 million. We had no debt outstanding as of September 30, 2021.</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the nonclinical and clinical development of OP-1250. We expect that our research and development and general and administrative costs will increase in connection with conducting additional nonclinical studies and clinical trials for our current and future research programs and product candidates, contracting with CMOs to support nonclinical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20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primary uses of cash are to fund our research and development activities, including with respect to OP-1250 and other nonclinical programs, business planning, establishing and maintaining our intellectual property portfolio, hiring personnel, raising capital and providing general and administrative support for these operations.</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We currently have no financing commitments, such as lines of credit or guarantees, that are expected to affect our liquidity over the next five years.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Future funding requirements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To date, we have not generated any revenue from product sales. We do not expect to generate any meaningful revenue unless and until we obtain regulatory approval of and commercialize any of our product candidates, and we do not know when, or if at all, that will occur. We expect our expenses to increase in connection with our ongoing activities, particularly as we continue the research and development of, continue or initiate clinical trials of, and seek marketing approval for, our product candidates. In addition, if we obtain marketing approval for our product candidates, we expect to incur significant commercialization expenses related to program sales, marketing, manufacturing and distribution to the extent that such sales, marketing and distribution are not the responsibility of potential collaborators. Furthermore, we have incurred and expect to continue to incur additional costs associated with operating as a public company. The amount and timing of our future funding requirements will depend on many factors, including the pace and results of our development efforts.</w:t>
      </w:r>
    </w:p>
    <w:p>
      <w:pPr>
        <w:spacing w:after="0" w:line="20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expect our existing cash, cash equivalents, and marketable securities will enable us to fund our operating expenses and capital expenditure requirements through the end of 2023 at which point we would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 Our future capital requirements will depend on many factors, including:</w:t>
      </w:r>
    </w:p>
    <w:p>
      <w:pPr>
        <w:spacing w:after="0" w:line="205" w:lineRule="exact"/>
        <w:rPr>
          <w:sz w:val="20"/>
          <w:szCs w:val="20"/>
          <w:color w:val="auto"/>
        </w:rPr>
      </w:pPr>
    </w:p>
    <w:p>
      <w:pPr>
        <w:ind w:left="720" w:hanging="319"/>
        <w:spacing w:after="0"/>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scope, progress, results and costs of product discovery, nonclinical studies and clinical trials;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scope, prioritization and number of our research and development programs;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costs, timing and outcome of regulatory review of our product candidate;</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our ability to establish and maintain collaborations on favorable terms, if at all;</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achievement of milestones or occurrence of other developments that trigger payments under any collaboration agreements we enter into;</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extent to which we are obligated to reimburse, or entitled to reimbursement of, clinical trial costs under collaboration agreements, if any;</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costs of preparing, filing and prosecuting patent applications, maintaining and enforcing our intellectual property rights and defending intellectual property-related claims;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extent to which we acquire or in-license other product candidates and technologies;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costs of securing manufacturing arrangements for commercial production; and</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costs of establishing or contracting for sales and marketing capabilities if we obtain regulatory approvals to market our product candidates.</w:t>
      </w:r>
    </w:p>
    <w:p>
      <w:pPr>
        <w:spacing w:after="0" w:line="19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Identifying potential product candidates and conducting nonclinical studies and clinical trials is a time-consuming, expensive and uncertain process that takes many years to complete, and we may never generate the necessary data or results required to obtain marketing approval and achieve product sales. In addition, our product candidate, if approved, may not achieve commercial success. Our commercial revenues, if any, will be derived from sales of a product candidate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shareholder. Debt financing, if available, may involve agreements that include covenants limiting or restricting our ability to take specific actions, such as incurring additional debt, making capital expenditures or declaring dividends.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shows a summary of our cash flows for each of the periods presented:</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420" w:type="dxa"/>
            <w:vAlign w:val="bottom"/>
            <w:tcBorders>
              <w:top w:val="single" w:sz="8" w:color="auto"/>
            </w:tcBorders>
          </w:tcPr>
          <w:p>
            <w:pPr>
              <w:spacing w:after="0"/>
              <w:rPr>
                <w:sz w:val="15"/>
                <w:szCs w:val="15"/>
                <w:color w:val="auto"/>
              </w:rPr>
            </w:pPr>
          </w:p>
        </w:tc>
        <w:tc>
          <w:tcPr>
            <w:tcW w:w="2480" w:type="dxa"/>
            <w:vAlign w:val="bottom"/>
            <w:tcBorders>
              <w:top w:val="single" w:sz="8" w:color="auto"/>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642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6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(32,087)</w:t>
            </w:r>
          </w:p>
        </w:tc>
        <w:tc>
          <w:tcPr>
            <w:tcW w:w="3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(10,853)</w:t>
            </w:r>
          </w:p>
        </w:tc>
      </w:tr>
      <w:tr>
        <w:trPr>
          <w:trHeight w:val="203"/>
        </w:trPr>
        <w:tc>
          <w:tcPr>
            <w:tcW w:w="642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7"/>
                <w:szCs w:val="17"/>
                <w:color w:val="auto"/>
              </w:rPr>
            </w:pPr>
          </w:p>
        </w:tc>
        <w:tc>
          <w:tcPr>
            <w:tcW w:w="10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(281,438)</w:t>
            </w:r>
          </w:p>
        </w:tc>
        <w:tc>
          <w:tcPr>
            <w:tcW w:w="3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6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573</w:t>
            </w: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138,614</w:t>
            </w:r>
          </w:p>
        </w:tc>
      </w:tr>
      <w:tr>
        <w:trPr>
          <w:trHeight w:val="196"/>
        </w:trPr>
        <w:tc>
          <w:tcPr>
            <w:tcW w:w="64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color w:val="auto"/>
              </w:rPr>
              <w:t>(312,952)</w:t>
            </w:r>
          </w:p>
        </w:tc>
        <w:tc>
          <w:tcPr>
            <w:tcW w:w="3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127,756</w:t>
            </w: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230"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Net cash used in operating activities in the nine months ended September 30, 2021 consisted primarily of our net loss of $49.5 million, partially offset by non-cash charges of $ 11.6 million and a net change of $5.8 million in net operating assets and liabilities. The net loss consisted primarily of $35.1 million in research and development expenses and $14.6 million in general and administrative expenses. The non-cash charges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consisted primarily of stock-based compensation of $11.3 million and depreciation and amortization expenses of $0.3 million, primarily related to premium amortization on our marketable securities. The change in operating assets and liabilities was primarily due to an increase of $5.1 million in other current liabilities, primarily related to the increased spending in (i) research and development related costs, including contract manufacturing and clinical research organization expenses as a result of our continued advancement of our lead product program, and (ii) personnel related expenses, including employee bonuses, due to increased headcount, and a net decrease in prepaid expense and other current assets and other assets of $1.2 million, offset by a decrease in accounts payable of $0.5 million .</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Net cash used in operating activities during the nine months ended September 30, 2020 consisted primarily of our net loss of $12.0 million and cash used in changes in operating assets and liabilities of $0.2 million, partially offset by net non-cash charges of $1.4 million. The changes in operating assets and liabilities consisted primarily of an increase in prepaid expenses and other current assets of $1.3 million and an increase of accounts payable and other current liabilities of $1.1 million. The increase in prepaid expenses and other current assets was driven by an increase in prepaid clinical trial costs. The increase in accounts payable and other liabilities was driven by an increase in costs related to research and development and professional costs incurred in preparation for our planned initial public offering. The non-cash charges primarily consisted of stock compensation of $0.7 million and non-cash interest expense of $0.6 million. The net loss consisted primarily of $7.4 million in research and development expenses and $4.0 million in general and administrative expenses.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Net cash used in investing activities in the nine months ended September 30, 2021 was predominately due to purchases of marketable securities which was financed through the proceeds from the IPO and convertible preferred stock sale, and purchases of equipment, partially offset by the maturities of marketable securities.</w:t>
      </w:r>
    </w:p>
    <w:p>
      <w:pPr>
        <w:spacing w:after="0" w:line="203"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Net cash used in investing activities in the nine months ended September 30, 2020 was for purchases of equipment.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Net cash provided by financing activities in the nine months ended September 30, 2021 consisted of $0.4 million and $0.2 million in net proceeds from the sale of our common stock under the 2020 ESPP and the exercise of stock options, respectively.</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Net cash provided by financing activities during the nine months ended September 30, 2020 consisted primarily of $3.0 million in proceeds from the sale and issuance of our convertible promissory notes, $50.6 million in net proceeds from the sale and issuance of our Series B convertible preferred stock, $87.4 million in net proceeds from the sale and issuance of our Series C convertible preferred stock, $0.6 million of proceeds from the exercise of employee stock options and $0.1 million proceeds from the settlement of non-recourse notes, net of issuance costs. These cash inflows were partially offset by cash outflows of $2.3 million for the repurchase of Series A convertible preferred stock and Series A-1 convertible preferred stock and $0.9 million in payments of offering costs associated with our planned initial public offering.</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Refer to Note 11 of our notes to the Company’s condensed consolidated financial statements contained in this Quarterly Report on Form 10-Q for further information. There have been no significant changes outside the ordinary course of business during the nine months ended September 30, 2021 to our commitments and contingencies disclosed in “Management’s Discussion and Analysis of Financial Condition and Results of Operations” included in our Annual Report on Form 10-K for the year ended December 31, 2020 filed on March 17, 2021 with the SEC.</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3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condensed consolidated financial statements, which have been prepared in accordance with U.S. generally accepted accounting principles, or GAAP. The preparation of our condensed consolidated financial statements and related disclosures requires us to make estimates and judgments that affect the reported amounts of assets, liabilities, expenses and the disclosure of our contingent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206"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During the nine months ended September 30, 2021, there were no material changes to our critical accounting policies as reported in our Annual Report on Form 10-K.</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During the nine months ended September 30, 2021, there were no material changes to our market risk disclosures reported in our Annual Report on Form 10-K.</w:t>
      </w:r>
    </w:p>
    <w:p>
      <w:pPr>
        <w:spacing w:after="0" w:line="175"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of September 30, 2021,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September 30, 2021, the design and operation of our disclosure controls and procedures were effective at a reasonable assurance level.</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Because we now expect to lose our status as an emerging growth company on December 31, 2021, we believe that management will be required to conduct an ICFR assessment for the current fiscal year, and the company to include management’s report in our Annual Report on Form 10-K for the fiscal year ending December 31, 2021. Should this occur, our independent public registered accounting firm will be required to attest to and report on management’s assessment of the effectiveness of the Company’s internal control over financial reporting in connection with its audit of our annual consolidated financial statements to be included in such Form 10-K.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4" w:lineRule="exact"/>
        <w:rPr>
          <w:sz w:val="20"/>
          <w:szCs w:val="20"/>
          <w:color w:val="auto"/>
        </w:rPr>
      </w:pPr>
    </w:p>
    <w:p>
      <w:pPr>
        <w:jc w:val="both"/>
        <w:ind w:left="60" w:right="59"/>
        <w:spacing w:after="0" w:line="251" w:lineRule="auto"/>
        <w:rPr>
          <w:sz w:val="20"/>
          <w:szCs w:val="20"/>
          <w:color w:val="auto"/>
        </w:rPr>
      </w:pPr>
      <w:r>
        <w:rPr>
          <w:rFonts w:ascii="Arial" w:cs="Arial" w:eastAsia="Arial" w:hAnsi="Arial"/>
          <w:sz w:val="17"/>
          <w:szCs w:val="17"/>
          <w:color w:val="auto"/>
        </w:rPr>
        <w:t>During the third quarter of 2021, we completed our new enterprise resource planning (“ERP”) system implementation and migrated our general ledger and consolidation processes onto the new system. In connection with this implementation, we modified the design and documentation of our internal control processes and procedures relating to the new system. Following the implementation, the changes to our control environment were validated according to our established processes. No other changes in our internal control over financial reporting identified in connection with the evaluation required by Rules 13a-15(d) and 15d-15(d) of the Exchange Act that occurred during the three months ended September 30, 2021 that has materially affected, or is reasonably likely to materially affect, our internal control over financial reporting. We have not experienced any material impact to our internal controls over financial reporting despite the fact that most of our employees are working remotely due to the COVID-19 pandemic. We are continually monitoring and assessing the COVID-19 situation to minimize the impact to the design and operating effectiveness of our internal controls.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are not currently a party to any material litigation or other material legal proceedings.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 following risks,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20"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Investing in our common stock involves numerous risks, including the risks described in “Part II, Item 1A. Risk Factors” of this Quarterly Report on Form 10-Q. Below are some of these risks, any one of which could materially adversely affect our business, financial condition, results of operations, and prospects.</w:t>
      </w:r>
    </w:p>
    <w:p>
      <w:pPr>
        <w:spacing w:after="0" w:line="189" w:lineRule="exact"/>
        <w:rPr>
          <w:sz w:val="20"/>
          <w:szCs w:val="20"/>
          <w:color w:val="auto"/>
        </w:rPr>
      </w:pPr>
    </w:p>
    <w:p>
      <w:pPr>
        <w:jc w:val="both"/>
        <w:ind w:left="720" w:right="79" w:hanging="319"/>
        <w:spacing w:after="0" w:line="234"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not completed any clinical trials and have no products approved for commercial sale, which may make it difficult for you to evaluate our current business and predict our future success and viability.</w:t>
      </w:r>
    </w:p>
    <w:p>
      <w:pPr>
        <w:spacing w:after="0" w:line="2"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If we are unable to raise such capital when needed, or on acceptable terms, we may be forced to delay, reduce and/or eliminate one or more of our research and drug development programs of our only product or future commercialization efforts.</w:t>
      </w:r>
    </w:p>
    <w:p>
      <w:pPr>
        <w:spacing w:after="0" w:line="2"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incurred net losses since inception, and we expect to continue to incur net losses for the foreseeable future. We expect to continue to incur increased expenses and operating losses for the foreseeable future as we continue our research and development efforts and seek to obtain regulatory approval for OP-1250. In addition, we may be unable to continue as a going concern over the long term.</w:t>
      </w:r>
    </w:p>
    <w:p>
      <w:pPr>
        <w:spacing w:after="0" w:line="3"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only product candidate, OP-1250, which is currently in the early stages of clinical development. We cannot assure you that our planned clinical development programs for OP-1250 will be completed in a timely manner, or at all, or that we will be able to obtain approval for OP-1250 from the FDA, or any comparable foreign regulatory authority. If we are unable to complete development of, obtain regulatory approval for and commercialize OP-1250</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spacing w:after="0" w:line="234" w:lineRule="auto"/>
        <w:rPr>
          <w:sz w:val="20"/>
          <w:szCs w:val="20"/>
          <w:color w:val="auto"/>
        </w:rPr>
      </w:pPr>
      <w:r>
        <w:rPr>
          <w:rFonts w:ascii="Arial" w:cs="Arial" w:eastAsia="Arial" w:hAnsi="Arial"/>
          <w:sz w:val="18"/>
          <w:szCs w:val="18"/>
          <w:color w:val="auto"/>
        </w:rPr>
        <w:t>in one or more indications and in a timely manner, our business, financial condition, results of operations and prospects will be significantly harmed.</w:t>
      </w:r>
    </w:p>
    <w:p>
      <w:pPr>
        <w:spacing w:after="0" w:line="1" w:lineRule="exact"/>
        <w:rPr>
          <w:sz w:val="20"/>
          <w:szCs w:val="20"/>
          <w:color w:val="auto"/>
        </w:rPr>
      </w:pPr>
    </w:p>
    <w:p>
      <w:pPr>
        <w:jc w:val="both"/>
        <w:ind w:left="720" w:right="79" w:hanging="319"/>
        <w:spacing w:after="0" w:line="23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or NDA, to the FDA or similar drug approval filings to comparable foreign authorities. If we are ultimately unable to obtain regulatory approval for OP-1250, we will be unable to generate product revenue and our business, financial condition, results of operations and prospects will be significantly harmed.</w:t>
      </w:r>
    </w:p>
    <w:p>
      <w:pPr>
        <w:spacing w:after="0" w:line="4"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Even if approved, OP-1250 may not achieve adequate market acceptance among physicians, patients, healthcare payors and others in the medical community necessary for commercial success. The degree of market acceptance would depend on a number of factors. If OP-1250 is approved but does not achieve an adequate level of acceptance by physicians, hospitals, healthcare payors and patients, we may not generate or derive sufficient revenue and could significantly harm our business, financial condition, results of operations and prospects.</w:t>
      </w:r>
    </w:p>
    <w:p>
      <w:pPr>
        <w:spacing w:after="0" w:line="4"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OP-1250, or product candidates we may develop in the future, our commercial opportunities will be negatively impacted.</w:t>
      </w:r>
    </w:p>
    <w:p>
      <w:pPr>
        <w:spacing w:after="0" w:line="2" w:lineRule="exact"/>
        <w:rPr>
          <w:rFonts w:ascii="Arial" w:cs="Arial" w:eastAsia="Arial" w:hAnsi="Arial"/>
          <w:sz w:val="18"/>
          <w:szCs w:val="18"/>
          <w:color w:val="auto"/>
        </w:rPr>
      </w:pPr>
    </w:p>
    <w:p>
      <w:pPr>
        <w:ind w:left="720" w:right="79" w:hanging="319"/>
        <w:spacing w:after="0" w:line="23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obtain U.S. or foreign regulatory approvals and, as a result, may be unable to commercialize OP-1250 or any future product candidate we may develop.</w:t>
      </w:r>
    </w:p>
    <w:p>
      <w:pPr>
        <w:spacing w:after="0" w:line="1" w:lineRule="exact"/>
        <w:rPr>
          <w:rFonts w:ascii="Arial" w:cs="Arial" w:eastAsia="Arial" w:hAnsi="Arial"/>
          <w:sz w:val="18"/>
          <w:szCs w:val="18"/>
          <w:color w:val="auto"/>
        </w:rPr>
      </w:pPr>
    </w:p>
    <w:p>
      <w:pPr>
        <w:ind w:left="720" w:right="79" w:hanging="319"/>
        <w:spacing w:after="0" w:line="23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outbreak of the novel coronavirus disease, COVID-19, could adversely impact our business, including our nonclinical studies and clinical trials.</w:t>
      </w:r>
    </w:p>
    <w:p>
      <w:pPr>
        <w:spacing w:after="0" w:line="1"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order to successfully implement our plans and strategies, we will need to grow the size of our organization, and we may experience difficulties in managing this growth. Given the small size of our organization, we may encounter difficulties managing multiple clinical trials at the same time, which could negatively affect our ability to manage the growth of our organization, particularly as we take on additional responsibility associated with being a public company. If we are not able to effectively expand our organization by hiring new employees and/or engaging additional third-party service providers, we may not be able to successfully implement the tasks necessary to further develop and commercialize OP-1250 and any other future product candidates we may develop and, accordingly, may not achieve our research, development and commercialization goals.</w:t>
      </w:r>
    </w:p>
    <w:p>
      <w:pPr>
        <w:spacing w:after="0" w:line="6"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success depends on our ability to protect our intellectual property and our proprietary technologies. Even issued patents may later be found invalid or unenforceable or may be modified or revoked in proceedings instituted by third parties before various patent offices or in courts. Thus, the degree of future protection for our proprietary rights is uncertain.</w:t>
      </w:r>
    </w:p>
    <w:p>
      <w:pPr>
        <w:spacing w:after="0" w:line="2" w:lineRule="exact"/>
        <w:rPr>
          <w:rFonts w:ascii="Arial" w:cs="Arial" w:eastAsia="Arial" w:hAnsi="Arial"/>
          <w:sz w:val="18"/>
          <w:szCs w:val="18"/>
          <w:color w:val="auto"/>
        </w:rPr>
      </w:pPr>
    </w:p>
    <w:p>
      <w:pPr>
        <w:jc w:val="both"/>
        <w:ind w:left="720" w:right="79" w:hanging="319"/>
        <w:spacing w:after="0" w:line="23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including independent clinical investigators and contract research organizations, or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OP-1250 or future product candidates we may develop and our business, financial condition, results of operations and prospects could be significantly harmed.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position and the need for additional capital</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have not completed any clinical trials and have no products approved for commercial sale, which may make it difficult for you to evaluate our current business and predict our future success and viability.</w:t>
      </w:r>
    </w:p>
    <w:p>
      <w:pPr>
        <w:spacing w:after="0" w:line="19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are a clinical-stage biopharmaceutical company and we have no products approved for commercial sale, have not generated any revenue from product sales and have incurred losses since inception. To date, we have devoted substantially all of our resources and efforts to organizing and staffing our company, business planning, executing partnerships, raising capital, discovering, identifying and developing our product candidate, OP-1250, securing related intellectual property rights and conducting nonclinical studies and initiating a Phase 1/2 clinical trial of OP-1250. We have not yet demonstrated our ability to successfully complete any clinical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than it could be if we had a longer operating history.</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focus to a company capable of successfully executing drug development activities and supporting commercial operations. If we do not adequately address these risks and difficulties or successfully make such a transition, our business, financial condition, results of operations and prospects will be significantly harmed.</w:t>
      </w:r>
    </w:p>
    <w:p>
      <w:pPr>
        <w:spacing w:after="0" w:line="183"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We require substantial additional capital to finance our operations. If we are unable to raise such capital when needed, or on acceptable terms, we may be forced to delay, reduce and/or eliminate one or more of our research and drug development programs of our only product or future commercialization efforts.</w:t>
      </w:r>
    </w:p>
    <w:p>
      <w:pPr>
        <w:spacing w:after="0" w:line="19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Developing pharmaceutical products, including conducting nonclinical studies and clinical trials, is a very time-consuming, expensive and uncertain process that takes years to complete. Our operations have consumed substantial amounts of cash since inception, and we expect our expenses will increase in connection with our ongoing activities, particularly as we initiate and conduct clinical trials of, and seek marketing approval for, OP-1250. With only one product candidate in development, we anticipate incurring significant costs associated with the development of OP-1250. Our expenses could increase beyond expectations if we are required by the U.S. Food and Drug Administration, or the FDA, the European Medicines Agency, or the EMA, or other regulatory agencies to perform clinical trials or nonclinical studies in addition to those that we currently anticipate. Other unanticipated costs may also arise. In addition, if we obtain marketing approval for OP-1250, we expect to incur significant commercialization expenses related to drug sales, marketing, manufacturing and distribution. Because the design and outcome of our planned and anticipated clinical trials are highly uncertain, we cannot reasonably estimate the actual amounts necessary to successfully complete the development and commercialization of any product candidate we develop. We also incur additional costs associated with operating as a public company. Accordingly, we will need to obtain substantial additional funding in order to maintain our continuing operations.</w:t>
      </w:r>
    </w:p>
    <w:p>
      <w:pPr>
        <w:spacing w:after="0" w:line="21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As of September 30, 2021, we had $306.0 million in cash, cash equivalents, and marketable securities. Based on our current operating plans, we believe that our existing cash and cash equivalents, will be sufficient to fund our operating expenses and capital expenditures requirements through the end of 2023. Our estimate as to how long we expect our existing cash and cash equivalents,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including a default in one or several of the financial institutions in which we hold, or a negative return on, our cash and cash equivalents, could cause us to consume capital significantly faster than we currently anticipate, and we may need to seek additional funds sooner than planned. Moreover, it is particularly difficult to estimate with certainty our future expenses given the dynamic nature of our business, the COVID-19 pandemic and the macro-economic environment generally. Advancing the development of OP-1250 and any future product candidates we may develop will require a significant amount of capital, and our existing cash and cash equivalents will not be sufficient to fund all of the activities that are necessary to complete the development of OP-1250.</w:t>
      </w:r>
    </w:p>
    <w:p>
      <w:pPr>
        <w:spacing w:after="0" w:line="21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will be required to obtain additional funding through public or private equity offerings, debt financings, collaborations and licensing arrangements or other sources, which may dilute our stockholders or restrict our operating activities. Adequate additional financing may not be available to us on acceptable terms, or at all. Market volatility, including as a result of the COVID-19 pandemic, could also adversely impact our ability to access capital as and when needed. Our failure to raise capital as and when needed or on acceptable terms would have a negative impact on our financial condition and our ability to pursue our business strategy, and we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may have to delay, reduce the scope of, suspend or eliminate one or more of our research-stage programs, clinical trials or future commercialization efforts.</w:t>
      </w:r>
    </w:p>
    <w:p>
      <w:pPr>
        <w:spacing w:after="0" w:line="17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We have incurred net losses since inception, and we expect to continue to incur net losses for the foreseeable future. In addition, we may be unable to continue as a going concern over the long-term.</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incurred net losses in each reporting period since our inception, have not generated any revenue from product sales to date and have financed our operations principally through our initial public offering and private financings. We have incurred net losses of $49.5 million for the nine months ended September 30, 2021. We had an accumulated deficit of $ 82.6 million as of September 30, 2021. Our losses have resulted principally from expenses incurred in research and development of OP-1250 and from management and administrative costs and other expenses that we have incurred while building our business infrastructure. Our only product candidate, OP-1250, is in early-stage clinical trials. As a result, we expect that it will be several years, if ever, before we have a commercialized product and generate revenue from product sales. Even if we succeed in receiving marketing approval for and commercializing OP-1250 in one of our lead indications, we expect that we will continue to incur substantial research and development and other expenses as we continue the clinical development programs for OP-1250 in other indications.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expect to continue to incur increased expenses and operating losses for the foreseeable future as we continue our research and development efforts and seek to obtain regulatory approval for OP-1250.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In any particular period, our operating results could be below the expectations of securities analysts or investors, which could cause our stock price to decline.</w:t>
      </w:r>
    </w:p>
    <w:p>
      <w:pPr>
        <w:spacing w:after="0" w:line="208"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our condensed consolidated financial statements for the nine months ended September 30, 2021 and 2020 included elsewhere in this report have been prepared assuming we will continue as a going concern. However, we have incurred losses and negative cash flows from operations. As a development stage company, we expect to incur significant and increasing losses until regulatory approval is granted for OP-1250. Regulatory approval is not guaranteed and may never be obtained. As a result, these conditions raise substantial doubt about our ability to continue as a going concern over the long-term.</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23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7"/>
          <w:szCs w:val="17"/>
          <w:color w:val="auto"/>
        </w:rPr>
        <w:t>Our ability to generate revenue from product sales and achieve profitability depends on our ability, alone or with our collaboration partners, to successfully complete the development of, and obtain the regulatory approvals necessary to commercialize, OP-1250 and any future product candidates we may develop. We do not anticipate generating revenue from product sales for the next several years, if ever. Our ability to generate revenue from product sales depends heavily on our and our current and potential future collaborators’ success in:</w:t>
      </w:r>
    </w:p>
    <w:p>
      <w:pPr>
        <w:spacing w:after="0" w:line="190" w:lineRule="exact"/>
        <w:rPr>
          <w:sz w:val="20"/>
          <w:szCs w:val="20"/>
          <w:color w:val="auto"/>
        </w:rPr>
      </w:pPr>
    </w:p>
    <w:p>
      <w:pPr>
        <w:ind w:left="720" w:right="79" w:hanging="319"/>
        <w:spacing w:after="0" w:line="246"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completing clinical and nonclinical development of product candidates and programs and identifying and developing new product candidates;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seeking and obtaining marketing approvals for any product candidates that we develop;</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launching and commercializing product candidates for which we obtain marketing approval by establishing a sales force, marketing, medical affairs and distribution infrastructure or, alternatively, collaborating with a commercialization partner;</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achieving adequate access and reimbursement by government and third-party payors for product candidates that we develop;</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79"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obtaining market acceptance of product candidates that we develop as viable treatment options;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addressing any competing technological and market developments;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negotiating favorable terms in any collaboration, licensing or other arrangements into which we may enter and performing our obligations in such collaborations;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maintaining, protecting, enforcing and expanding our portfolio of intellectual property rights, including patents, trade secrets and know-how;</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defending against third-party interference, infringement or other intellectual property-related claims, if any;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attracting, hiring and retaining qualified personnel.</w:t>
      </w:r>
    </w:p>
    <w:p>
      <w:pPr>
        <w:spacing w:after="0" w:line="22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Even if OP-1250 or any future product candidate that we may develop is approved for commercial sale, we anticipate incurring significant costs associated with commercializing any approved product candidate. Our expenses could increase beyond expectations if we are required by the FDA, the EMA or other comparable regulatory agencies to perform clinical trials or nonclinical studies in addition to those that we currently anticipate. Even if we are able to generate revenue from the sale of any approved products, we may not become profitable and may need to obtain additional funding to continue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We are substantially dependent on the success of our only product candidate, OP-1250, which is currently in the early stages of clinical development. If we are unable to complete development of, obtain regulatory approval for and commercialize OP-1250 in one or more indications and in a timely manner, our business, financial condition, results of operations and prospects will be significantly harmed.</w:t>
      </w:r>
    </w:p>
    <w:p>
      <w:pPr>
        <w:spacing w:after="0" w:line="19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future success is heavily dependent on our ability to timely complete clinical trials, obtain marketing approval for and successfully commercialize OP-1250, our only product candidate. We expect that a substantial portion of our efforts and expenses over the next several years will be devoted to the development of OP-1250 in our ongoing clinical trials in multiple indications. We are investing significant efforts and financial resources in the research and development of OP-1250. OP-1250 will require additional clinical development, evaluation of clinical, nonclinical and manufacturing activities, marketing approval from government regulators, and significant marketing efforts before we can generate any revenues from product sales. We are not permitted to market or promote OP-1250 before we receive marketing approval from the FDA and comparable foreign regulatory authorities, and we may never receive such marketing approvals. Should our planned clinical development of OP-1250 in our lead indications fail to be completed in a timely manner or at all, we will need to rely on our ongoing and planned clinical development of OP-1250 in additional indications, which will require more time and resources to obtain regulatory approval and proceed with commercialization, and may ultimately be unsuccessful.</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cannot assure you that our planned clinical development programs for OP-1250 will be completed in a timely manner, or at all, or that we will be able to obtain approval for OP-1250 from the FDA, EMA, or any comparable foreign regulatory authority. If we are unable to complete development of, obtain regulatory approval for and commercialize OP-1250 in one or more indications and in a timely manner, our business, financial condition, results of operations and prospects will be significantly harmed.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Clinical development is a lengthy and expensive process with an uncertain outcome, and results of earlier studies and trials may not be predictive of future trial results. Failure can occur at any stage of clinical development. We have never completed a clinical trial or submitted a New Drug Application, or NDA, to the FDA or similar drug approval filings to comparable foreign authorities. If we are ultimately unable to obtain regulatory approval for OP-1250, we will be unable to generate product revenue and our business, financial condition, results of operations and prospects will be significantly harmed.</w:t>
      </w:r>
    </w:p>
    <w:p>
      <w:pPr>
        <w:spacing w:after="0" w:line="20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Failure can occur at any time during the clinical trial process. The results of nonclinical studies and early clinical trials of OP-1250 and any future product candidates we may develop may not be predictive of the results of subsequent clinical trials. We have a limited operating history and to date have not demonstrated our ability to complete large scale clinical trials.</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Product candidates in later stages of clinical trials may fail to show the desired safety and efficacy traits despite having progressed through nonclinical studies and initial clinical trials. In addition to the safety and efficacy traits of any product candidate, clinical trial failures may result from a multitude of factors including flaws in trial design, dose selection, placebo effect and patient enrollment criteria. A number of companies in the biopharmaceutical industry have suffered significant setbacks in advanced clinical trials due to lack of efficacy or adverse safety profiles, notwithstanding promising results in earlier trials. Based upon negative or inconclusive results, we or any potential future collaborator may decide, or regulators may require us, to conduct additional clinical trials or nonclinical studies. In addition, data obtained from trials and studies are susceptible to varying interpretations, and regulators may not interpret our data as favorably as we do, which may delay, limit or prevent regulatory approval.</w:t>
      </w:r>
    </w:p>
    <w:p>
      <w:pPr>
        <w:spacing w:after="0" w:line="20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Our future clinical trials may not be successful. If any product candidate is found to be unsafe or lack efficacy, we will not be able to obtain regulatory approval for it and our business, financial condition, results of operations and prospects may be significantly harmed. In some instances,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dropout rate among clinical trial participants. Patients treated with OP-1250 or product candidates we may develop in the future may also be undergoing surgical, radiation and chemotherapy treatments and may be using other approved products or investigational new drugs, which can cause side effects or adverse events that are unrelated to OP-1250 or product candidates we may develop.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OP-1250 or any future product candidates we may develop.</w:t>
      </w:r>
    </w:p>
    <w:p>
      <w:pPr>
        <w:spacing w:after="0" w:line="21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do not know whether our current clinical trial of OP-1250 or any future clinical trials we may conduct will demonstrate consistent or adequate efficacy and safety to obtain regulatory approval to market OP-1250 or any future product candidates we may develop. Most product candidates that begin clinical trials are never approved by regulatory authorities for commercialization. If we are unable to bring OP-1250 or any future product candidates to market, our ability to create long-term shareholder value will be limited.</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we may rely in part on nonclinical, clinical and quality data generated by contract research organizations, or CROs, and other third parties for regulatory submissions for OP-1250. While we have or will have agreements governing these third parties’ services, we have limited influence over their actual performance. If these third parties do not make data available to us, or, if applicable, make regulatory submissions in a timely manner, our development programs may be significantly delayed, and we may need to conduct additional studies or collect additional data independently. In either case, our development costs would increase.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EMA or comparable foreign regulatory authority approval. We cannot guarantee that the FDA or foreign regulatory authorities will interpret trial results as we do, and more trials could be required before we are able to submit an application seeking approval of OP-1250 or any future product candidates we may develop.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OP-1250 or any future product candidates we may develop. Even if regulatory approval is secured for OP-1250, the terms of such approval may limit the scope and use of OP-1250,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OP-1250, including and any other indication we are seeking for approval under OP-1250.</w:t>
      </w:r>
    </w:p>
    <w:p>
      <w:pPr>
        <w:spacing w:after="0" w:line="19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The regulatory approval processes of the FDA, EMA and comparable foreign authorities are lengthy, time consuming and inherently unpredictable, and if we are ultimately unable to obtain regulatory approval for OP-1250 or any future product candidates we may develop, our business, financial condition, results of operations and prospects will be significantly harmed.</w:t>
      </w:r>
    </w:p>
    <w:p>
      <w:pPr>
        <w:spacing w:after="0" w:line="19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time required to obtain approval by the FDA,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Applications for OP-1250 could fail to receive regulatory approval for many reasons, including the following:</w:t>
      </w:r>
    </w:p>
    <w:p>
      <w:pPr>
        <w:spacing w:after="0" w:line="212" w:lineRule="exact"/>
        <w:rPr>
          <w:sz w:val="20"/>
          <w:szCs w:val="20"/>
          <w:color w:val="auto"/>
        </w:rPr>
      </w:pPr>
    </w:p>
    <w:p>
      <w:pPr>
        <w:ind w:left="720" w:right="79" w:hanging="319"/>
        <w:spacing w:after="0" w:line="24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the FDA, EMA or other comparable foreign regulatory authorities may disagree with the design, implementation or results of our clinical trials;</w:t>
      </w:r>
    </w:p>
    <w:p>
      <w:pPr>
        <w:spacing w:after="0" w:line="196"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the FDA, EMA or other comparable foreign regulatory authorities may determine that OP-1250 is not safe and effective, only moderately effective or have undesirable or unintended side effects, toxicities or other characteristics that preclude our obtaining marketing approval or prevent or limit commercial use;</w:t>
      </w:r>
    </w:p>
    <w:p>
      <w:pPr>
        <w:spacing w:after="0" w:line="204"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the population studied in the clinical trial may not be sufficiently broad or representative to assure efficacy and safety in the full population for which we seek approval;</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the FDA, EMA or other comparable foreign regulatory authorities may disagree with our interpretation of data from nonclinical studies or clinical trials;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the data collected from clinical trials of OP-1250 may not be sufficient to support the submission of a NDA, or other submission or to obtain regulatory approval in the United States or elsewhere;</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we may be unable to demonstrate to the FDA, EMA or other comparable foreign regulatory authorities that OP- 1250’s risk-benefit ratio for its proposed indication is acceptable;</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the FDA, EMA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the approval policies or regulations of the FDA, EMA or other comparable foreign regulatory authorities may significantly change in a manner rendering our clinical data insufficient for approval.</w:t>
      </w:r>
    </w:p>
    <w:p>
      <w:pPr>
        <w:spacing w:after="0" w:line="197"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OP-1250, which would significantly harm our business, financial condition, results of operations and prospects.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even if we obtain approval of OP-1250 for a lead indication, regulatory authorities may not approve OP-1250 for other indications, may impose significant limitations in the form of narrow indications, warnings, or a Risk Evaluation and Mitigation Strategy, or REMS. Certain regulatory authorities may grant approval contingent on the performance of costly post-marketing clinical trials or may approve OP-1250 with a label that does not include the labeling claims necessary or desirable for successful. In addition, regulatory authorities in certain countries may not approve the price we intend to charge for the product we develop. If we are unable to obtain regulatory approval of OP-1250, or if regulatory approval is limited, our business, financial condition, results of operation and prospects will be significantly harmed.</w:t>
      </w:r>
    </w:p>
    <w:p>
      <w:pPr>
        <w:spacing w:after="0" w:line="18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Delays in clinical trials are common and have many causes, and any delay could result in increased costs to us and jeopardize or delay our ability to obtain regulatory approval and commence product sales.</w:t>
      </w:r>
    </w:p>
    <w:p>
      <w:pPr>
        <w:spacing w:after="0" w:line="19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may experience delays in clinical trials of OP-1250 or any future product candidate we may develop. Our planned clinical trials may not begin on time, have an effective design, enroll a sufficient number of patients, or be completed on schedule, if at all. Our clinical trials can be delayed for a variety of reasons, including delays related to:</w:t>
      </w:r>
    </w:p>
    <w:p>
      <w:pPr>
        <w:spacing w:after="0" w:line="205" w:lineRule="exact"/>
        <w:rPr>
          <w:sz w:val="20"/>
          <w:szCs w:val="20"/>
          <w:color w:val="auto"/>
        </w:rPr>
      </w:pPr>
    </w:p>
    <w:p>
      <w:pPr>
        <w:ind w:left="720" w:right="79" w:hanging="319"/>
        <w:spacing w:after="0" w:line="24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the FDA, EMA or comparable foreign regulatory authorities disagreeing as to the design or implementation of our clinical trials;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obtaining regulatory authorizations to commence a trial or reaching a consensus with regulatory authorities on trial design;</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any failure or delay in reaching an agreement with CROs and clinical trial sites, the terms of which can be subject to extensive negotiation and may vary significantly among different CROs and trial sites;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obtaining approval from one or more institutional review boards, or IRBs;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IRBs refusing to approve, suspending or terminating the trial at an investigational site, precluding enrollment of additional subjects, or withdrawing their approval of the trial;</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changes to clinical trial protocol;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clinical sites deviating from trial protocol or dropping out of a trial;</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manufacturing sufficient quantities of product candidate or obtaining sufficient quantities of combination therapies for use in clinical trials;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subjects failing to enroll or remain in our trial at the rate we expect, or failing to return for post-treatment follow- up;</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delays in enrollment by subjects, or completion of the trial by subjects, due to the COVID-19 pandemic;</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subjects choosing an alternative treatment for the indication for which we are developing OP-1250, or participating in competing clinical trials;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lack of adequate funding to continue the clinical trial;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subjects experiencing severe or unexpected drug-related adverse effects;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regulatory authorities imposing a clinical hold;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occurrence of serious adverse events in trials of the same class of agents conducted by other companies;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selection of clinical end points that require prolonged periods of clinical observation or analysis of the resulting data;</w:t>
      </w:r>
    </w:p>
    <w:p>
      <w:pPr>
        <w:spacing w:after="0" w:line="196"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shutdowns, either temporarily or permanently, of any facility manufacturing OP-1250 or any future product candidate we may develop or any of their components, including by order from the FDA, EMA or comparable foreign regulatory authorities due to violations of current good manufacturing practice, or cGMP, regulations or other applicable requirements, or infections or cross-contaminations of OP-1250 or any future product candidate we may develop in the manufacturing process;</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any changes to our manufacturing process that may be necessary or desired;</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third-party contractors not performing data collection or analysis in a timely or accurate manner; or</w:t>
      </w:r>
    </w:p>
    <w:p>
      <w:pPr>
        <w:spacing w:after="0" w:line="225"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 We could also encounter delays if a clinical trial is suspended or terminated by us, by the IRBs of the institutions in which such trials are being conducted, by a Data Safety Monitoring Board for such trial or by the FDA, EMA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EMA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Further, conducting clinical trials in foreign countries, as we may do for OP-1250 or product candidates we may develop in the future,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202"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If we experience delays in the completion of, or termination of, any clinical trial of OP-1250 or any product candidates we may develop in the future, the commercial prospects of OP-1250 or any product candidates we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may develop in the future will be harmed, and our ability to generate product revenues from OP-1250 or any product candidates we may develop in the future will be delayed. Moreover, any delays in completing our clinical trials will increase our costs, slow down OP-1250’s or any product candidates we may develop in the future’s development and approval process and jeopardize our ability to commence product sales and generate revenues.</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many of the factors that cause, or lead to, termination or suspension of, or a delay in the commencement or completion of, clinical trials may also ultimately lead to the denial of regulatory approval of OP-1250 or any product candidates we may develop in the future. Any delays in our clinical trials that occur as a result could shorten any period during which we may have the exclusive right to commercialize OP-1250 or any product candidates we may develop in the future and our competitors may be able to bring products to market before we do, and the commercial viability of OP-1250 or any product candidates we may develop in the future could be significantly reduced. Any of these occurrences may significantly harm our business, financial condition, results of operations and prospects.</w:t>
      </w:r>
    </w:p>
    <w:p>
      <w:pPr>
        <w:spacing w:after="0" w:line="18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Because we are pursuing a variety of target indications for OP-1250, we may expend our limited resources to pursue a particular indication and fail to capitalize on indications or additional product candidates that may be more profitable or for which there is a greater likelihood of success.</w:t>
      </w:r>
    </w:p>
    <w:p>
      <w:pPr>
        <w:spacing w:after="0" w:line="19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are currently focused on pursuing a variety of target indications for OP-1250, and we have expended, and plan to continue to expend, significant resources to pursue these and other indications for OP-1250. In addition, we may in the future spend our resources on other research programs and product candidates for specific indications that ultimately do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Because we have limited financial and managerial resources, we must focus our research and development efforts on those product candidates and specific indications that we believe are the most promising. As a result, we may forego or delay pursuit of opportunities with other product candidates or other indications that later prove to have greater commercial potential. Our resource allocation decisions may cause us to fail to capitalize on viable commercial products or profitable market opportunities, which will significantly harm our business, financial condition, results of operations and prospects.</w:t>
      </w:r>
    </w:p>
    <w:p>
      <w:pPr>
        <w:spacing w:after="0" w:line="18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Even if approved, OP-1250 may not achieve adequate market acceptance among physicians, patients, healthcare payors and others in the medical community necessary for commercial success.</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Even if OP-1250 receives regulatory approval, it may not gain adequate market acceptance among physicians, patients, healthcare payors and others in the medical community. The degree of market acceptance would depend on a number of factors, including:</w:t>
      </w:r>
    </w:p>
    <w:p>
      <w:pPr>
        <w:spacing w:after="0" w:line="203" w:lineRule="exact"/>
        <w:rPr>
          <w:sz w:val="20"/>
          <w:szCs w:val="20"/>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efficacy and safety profile as demonstrated in clinical trials compared to alternative treatments;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timing of market introduction of the product candidate as well as competitive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clinical indications for which the product candidate is approved;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restrictions on the use of OP-1250, such as boxed warnings or contraindications in labeling, or a REMS, if any, which may not be required of alternative treatments and competitor products;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potential and perceived advantages of product candidates over alternative treatments;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cost of treatment in relation to alternative treatments;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our pricing and the availability of coverage and adequate reimbursement by third-party payors, including government authorities;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the availability of OP-1250 for use as a combination therapy;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relative convenience and ease of administration;</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the willingness of the target patient population to try new therapies and of physicians to prescribe these therapies;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the effectiveness of sales and marketing efforts;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unfavorable publicity relating to OP-1250 or similar approved products or product candidates in development by third parties;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the approval of other new therapies for the same indications.</w:t>
      </w:r>
    </w:p>
    <w:p>
      <w:pPr>
        <w:spacing w:after="0" w:line="22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If OP-1250 is approved but does not achieve an adequate level of acceptance by physicians, hospitals, healthcare payors and patients, we may not generate or derive sufficient revenue and could significantly harm our business, financial condition, results of operations and prospects.</w:t>
      </w:r>
    </w:p>
    <w:p>
      <w:pPr>
        <w:spacing w:after="0" w:line="18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clinical development activities could be delayed or otherwise adversely affected.</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OP-1250, or any future product candidate we may develop, if we are unable to locate and enroll a sufficient number of eligible patients to participate in these trials to such trial’s conclusion as required by the FDA, EMA or other comparable foreign regulatory authorities. Additionally, certain clinical trials for future product candidates may be focused on indications with relatively small patient populations, which may further limit enrollment of eligible patients or may result in slower enrollment than we anticipate. The eligibility criteria of our clinical trials, once established, may further limit the pool of available trial participants.</w:t>
      </w:r>
    </w:p>
    <w:p>
      <w:pPr>
        <w:spacing w:after="0" w:line="20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Enrollment of patients in our clinical trials and maintaining patients in our ongoing clinical trials may be delayed or limited as our clinical trial sites limit their onsite staff or temporarily close as a result of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These factors resulting from the COVID-19 pandemic could delay the anticipated readouts from our clinical trials and ultimately delay future regulatory submissions.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Patient enrollment may also be affected if our competitors have ongoing clinical trials for product candidates that are under development for the same indications as OP-1250, or any future product candidate we may develop, and patients who would otherwise be eligible for our clinical trials instead enroll in clinical trials of our competitors’ product candidates. Patient enrollment for any of our clinical trials may be affected by other factors, including:</w:t>
      </w:r>
    </w:p>
    <w:p>
      <w:pPr>
        <w:spacing w:after="0" w:line="202" w:lineRule="exact"/>
        <w:rPr>
          <w:sz w:val="20"/>
          <w:szCs w:val="20"/>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size and nature of the patient population;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severity of the disease under investigation;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availability and efficacy of approved drugs for the disease under investigation;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patient eligibility criteria for the trial in question as defined in the protocol;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perceived risks and benefits of the product candidate under study;</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efforts to facilitate timely enrollment in clinical trials;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patient referral practices of physicians;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ability to monitor patients adequately during and after treatment;</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proximity and availability of clinical trial sites for prospective patients;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continued enrollment of prospective patients by clinical trial sites; and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risk that patients enrolled in clinical trials will drop out of the trials before completion or, because they may be late-stage cancer patients, will not survive the full terms of the clinical trials.</w:t>
      </w:r>
    </w:p>
    <w:p>
      <w:pPr>
        <w:spacing w:after="0" w:line="19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inability to enroll and maintain a sufficient number of patients for our clinical trials would result in significant delays or may require us to abandon one or more clinical trials altogether. Enrollment delays in our clinical trials may result in increased development costs for OP-1250 or any future product candidate we may develop and jeopardize our ability to obtain marketing approval for the sale of OP-1250 or any product candidate we may develop in the future. Furthermore, even if we are able to enroll a sufficient number of patients for our clinical trials, we may have difficulty maintaining enrollment of such patients in our clinical trials.</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We intend to develop OP-1250, and may develop future product candidates, in combination with other therapies, which exposes us to additional risks.</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intend to develop OP-1250, and may develop other future product candidates, in combination with one or more other approved or unapproved therapies to treat cancer or other diseases. For example, we plan to initiate a Phase 1b clinical trial of OP-1250 as part of combination therapy with independent arms investigating its potential with a cyclin-dependent kinase 4 and 6 inhibitor and with a phosphatidylinositol 3-kinase alpha inhibitor.</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Even if OP-1250, or any future product candidate we develop, were to receive marketing approval or be commercialized for use in combination with other existing therapies, we would continue to be subject to the risks that the FDA, EMA or comparable foreign regulatory authorities could revoke approval of the therapy used in combination with our product or that safety, efficacy, manufacturing or supply issues could arise with any of those existing therapies. If the therapies we use in combination with OP-1250, or any future product candidate we may develop, are replaced as the standard of care for the indications we choose for OP-1250 or any future product candidate we may develop, the FDA, EMA or comparable foreign regulatory authorities may require us to conduct additional clinical trials. The occurrence of any of these risks could result in our own product, if approved, being removed from the market or being less successful commercially.</w:t>
      </w:r>
    </w:p>
    <w:p>
      <w:pPr>
        <w:spacing w:after="0" w:line="20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7"/>
          <w:szCs w:val="17"/>
          <w:color w:val="auto"/>
        </w:rPr>
        <w:t>We also may choose to evaluate OP-1250 or future product candidates in combination with one or more cancer therapies that have not yet been approved for marketing by the FDA, EMA or comparable foreign regulatory authorities. We will not be able to market and sell OP-1250, or any future product candidate we may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OP-1250 currently in development and clinical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trials, including the potential for serious adverse effects, delay in their clinical trials and lack of FDA, EMA or comparable foreign regulatory approval.</w:t>
      </w:r>
    </w:p>
    <w:p>
      <w:pPr>
        <w:spacing w:after="0" w:line="19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the FDA, EMA or comparable foreign regulatory authorities do not approve these other drugs or revoke their approval of, or if safety, efficacy, quality, manufacturing or supply issues arise with, the drugs we choose to evaluate in combination with OP-1250 or future product candidates we may develop, we may be unable to obtain approval of or market such combination therapy.</w:t>
      </w:r>
    </w:p>
    <w:p>
      <w:pPr>
        <w:spacing w:after="0" w:line="183"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OP-1250 are based on estimates and third-party sources. If the market opportunities for OP-1250,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19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Periodically, we make estimates regarding the incidence and prevalence of target patient populations for particular diseases based on various third-party sources and internally generated analysis and use such estimates in making decisions regarding our drug development strategy, including acquiring or in-licensing product candidates and determining indications on which to focus in nonclinical or clinical trials.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incidence and prevalence for target patient populations of OP-1250 are based on estimates and third-party sources.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If the market opportunities for OP-1250,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18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 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20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our particular program, the approvability or commercialization of our particular product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approval for, and commercialize, OP-1250 or any future product candidates we may develop may be harmed, which could significantly harm our business, financial condition, results of operations and prospects.</w:t>
      </w:r>
    </w:p>
    <w:p>
      <w:pPr>
        <w:spacing w:after="0" w:line="18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OP-1250, or product candidates we may develop in the future, our commercial opportunities will be negatively impacted.</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OP- 1250. Any product candidate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are attempting to develop OP-1250. Products we may develop in the future are also likely to face competition from other products and therapies, some of which we may not currently be aware. In addition, OP-1250 and any product candidate that we may develop in the future may need to compete with off- label drugs used by physicians to treat the indications for which we seek approval. This may make it difficult for us to replace existing therapies with OP-1250 and any product candidate that we may develop in the future.</w:t>
      </w:r>
    </w:p>
    <w:p>
      <w:pPr>
        <w:spacing w:after="0" w:line="20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particular, there is intense competition in the fields of women’s cancer which we are pursuing. 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If we are successful in developing OP-1250, it may compete against existing products and product candidates in development, to the extent any such product candidates are approved, for the treatment of estrogen receptor-positive, or ER+, breast cancer, including fulvestrant, marketed as FASLODEX® by AstraZeneca PLC and generic equivalents of FASLODEX® that are marketed or in development, giredestrant (GDC-9545) being developed by Roche Holding AG/Genentech, Inc., or Genentech, camizestrant (AZD9833) being developed by AstraZeneca PLC, amcenestrant (SAR439859) being developed by Sanofi S.A., LY3484356 being developed by Eli Lilly and Co., ZN-c5 being developed by Zentalis Pharmaceuticals, Inc., elacestrant (RAD1901) being developed by Radius Health, Inc., ARV-471 being developed by Arvinas, Inc., rintodestrant (G1T48) being developed by G1 Therapeutics, Inc., H3B-6545 being developed by H3 Biomedicines, a subsidiary of Eisai Co., Ltd., D-0502 being developed by InventisBio Co., Ltd., and lasofoxifene being developed by Sermonix Pharmaceuticals.</w:t>
      </w:r>
    </w:p>
    <w:p>
      <w:pPr>
        <w:spacing w:after="0" w:line="19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7"/>
          <w:szCs w:val="17"/>
          <w:color w:val="auto"/>
        </w:rPr>
        <w:t>We have chosen to initially address well -validated biochemical targets, and therefore expect to face competition from existing products and products in development. There are a large number of companies developing or marketing treatments for cancer, including many major pharmaceutical and biotechnology companies. Many of these current and potential competitors may have significantly greater financial, manufacturing, commercial, clinical development, research and technical and human resources expertise than we do. Large pharmaceutical and biotechnology companies, in particular, have extensive experience in clinical testing, obtaining regulatory approvals, recruiting patients and manufacturing biotechnology products. These companies also have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20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have a broader label, are marketed more effectively, receive greater levels of reimbursement or are less expensive than products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OP-1250 or other product candidates we may develop in the future achieve marketing approval, they may be priced at a significant premium over competitive products if any have been approved by then, resulting in reduced competitiveness. Technological advances or products developed by our competitors may render our technologies or OP-1250 or product candidates we may develop in the future obsolete, less competitive or not economical. If we are unable to compete effectively, our opportunity to generate revenue from the sale of our product we may develop, if approved, would be adversely affected.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methods of OP-1250 manufacturing or formulation may result in additional costs or delay.</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OP-1250 progresses through nonclinical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OP-1250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OP-1250 and jeopardize our ability to commercialize OP-1250, if approved, and generate revenue.</w:t>
      </w:r>
    </w:p>
    <w:p>
      <w:pPr>
        <w:spacing w:after="0" w:line="18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Any product candidate we develop may become subject to unfavorable third-party coverage and reimbursement practices, as well as pricing regulations.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If we obtain marketing approval of OP-1250, or any future product candidate we may develop, sales of such product will depend substantially, both in the United States and internationally, on the extent to which the costs of the product will be covered and reimbursed by third-party payors. If reimbursement is not available, or is available only at inadequate levels, we may not be able to successfully commercialize OP-1250 or any future product candidates we may develop.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or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 a result, the coverage determination process is often time-consuming and costly. This process will require us to provide scientific and clinical support for the use of our product to each third-party payor separately, with no assurance that coverage and adequate reimbursement will be applied consistently or obtained in the first instance.</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 approved drugs for a particular indication. We may need to conduct expensive pharmaco-economic studies to demonstrate the medical necessity and cost effectiveness of our product. Nonetheless, OP-1250 or any future product candidates we may develop may not be considered medically necessary or cost effective. We cannot be sure that coverage and reimbursement will be available for any product that we commercialize and, if reimbursement is available, what the level of reimbursement will be.</w:t>
      </w:r>
    </w:p>
    <w:p>
      <w:pPr>
        <w:spacing w:after="0" w:line="20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OP-1250 or any future product candidates we may develop.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OP-1250 or any future product candidates we may develop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OP-1250 or any future product candidates we may develop. Accordingly, in markets outside the United States, the reimbursement for any product that we commercialize may be reduced compared with the United States and may be insufficient to generate commercially reasonable revenue and profits.</w:t>
      </w:r>
    </w:p>
    <w:p>
      <w:pPr>
        <w:spacing w:after="0" w:line="21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that we commercialize from third-party payors, the adoption of those products and potential sales revenue would be adversely affected, which, in turn, could adversely affect the ability to market or sell those product candidates, if approved. Coverage policies and third-party payor reimbursement rates may change at any time. Even if favorable coverage and reimbursement status is attained for a product for which we receive regulatory approval, less favorable coverage policies and reimbursement rates may be implemented in the future.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Guidelines and recommendations published by various organizations can reduce the use of OP-1250 or any future product candidates we may develop.</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Government agencies promulgate regulations and guidelines directly applicable to us and to OP-1250 or any future product candidates we may develop. In addition, professional societies, such as practice management groups, private health and science foundations and organizations involved in various diseases from time to time may also publish guidelines or recommendations to the healthcare and patient communities. Recommendations of government agencies or these other groups or organizations may relate to such matters as usage, dosage, route of administration and use of concomitant therapies. Recommendations or guidelines suggesting the reduced use of OP-1250 or any future product candidates we may develop or the use of competitive or alternative products as the standard of care to be followed by patients and healthcare providers could result in decreased use of OP-1250 or any future product candidates we may develop.</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We may be unable to obtain U.S. or foreign regulatory approvals and, as a result, may be unable to commercialize OP-1250 or any future product candidate we may develop.</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OP-1250 is, and any product candidate we develop in the future will be, subject to extensive governmental regulations relating to, among other things, research, testing, development, manufacturing, safety, efficacy, approval, recordkeeping, reporting, labeling, storage, packaging, advertising and promotion, pricing, marketing and distribution of drugs. Rigorous nonclinical testing and clinical trials and an extensive regulatory approval process must be successfully completed in the United States and in many foreign jurisdictions before a new drug can be marketed. Satisfaction of these and other regulatory requirements is costly, time consuming, uncertain and subject to unanticipated delays. We cannot provide any assurance that OP-1250 or any product candidate we may develop will progress through required clinical testing and obtain the regulatory approvals necessary for us to begin selling them.</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EMA or other comparable foreign regulatory authorities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EMA or other comparable foreign regulatory authorities’ policies during the period of drug development, clinical trials and FDA, EMA or other comparable foreign regulatory authorities’ regulatory review.</w:t>
      </w:r>
    </w:p>
    <w:p>
      <w:pPr>
        <w:spacing w:after="0" w:line="20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Any delay or failure in seeking or obtaining required approvals would have a material and adverse effect on our ability to generate revenue from the particular product candidate for which we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20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may also become subject to numerous foreign regulatory requirements governing, among other things, the conduct of clinical trials and manufacturing of OP-1250. The foreign regulatory approval process varies among countries, and generally includes all of the risks associated with FDA approval described above as well as risks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attributable to the satisfaction of local regulations in foreign jurisdictions. Moreover, the time required to obtain approval may differ from that required to obtain FDA approval.</w:t>
      </w:r>
    </w:p>
    <w:p>
      <w:pPr>
        <w:spacing w:after="0" w:line="17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The withdrawal of the United Kingdom from the European Union may adversely impact our ability to obtain regulatory approvals of our product candidates in the United Kingdom, result in restrictions in the importation of our product candidates between the United Kingdom and the European Union, and may require us to incur additional expenses to commercialize our product candidates in the United Kingdom and the European Union.</w:t>
      </w:r>
    </w:p>
    <w:p>
      <w:pPr>
        <w:spacing w:after="0" w:line="198"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Following the result of a referendum in 2016, the United Kingdom left the European Union on January 31, 2020, commonly referred to as Brexit. Pursuant to the formal withdrawal arrangements agreed between the United Kingdom and the European Union, the United Kingdom was subject to a transition period until December 31, 2020, or the Transition Period, during which European Union rules continued to apply. A trade and cooperation agreement, or the Trade and Cooperation Agreement, that outlines the future trading relationship between the United Kingdom and the European Union was provisionally agreed in December 2020 and has since been formally approved.</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Since a significant proportion of the regulatory framework in the United Kingdom applicable to our business and our product candidates is derived from European Union directives and regulations, Brexit has had, and will continue to have, a material impact upon the regulatory regime with respect to the development, manufacture, importation, approval and commercialization of our product candidates in the United Kingdom or the European Union, should any development or manufacturing of our product candidates take place in the United Kingdom.</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Great Britain (made up of England, Scotland, and Wales) is no longer covered by the EEA’s procedures for the grant of marketing authorizations (Northern Ireland will be covered by such procedures). A separate marketing authorization will be required to market drugs in Great Britain. Any delay in obtaining, or an inability to obtain, any marketing approvals in Great Britain, would delay or prevent us from commercializing our product candidates in Great Britain and restrict our ability to generate revenue and achieve and sustain profitability.</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While the Trade and Cooperation Agreement provides for the tariff-free trade of medicinal products between the United Kingdom and the European Union there may be additional non-tariff costs to such trade which did not exist prior to the end of the Transition Period. Further, should the United Kingdom diverge from the European Union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p>
    <w:p>
      <w:pPr>
        <w:spacing w:after="0" w:line="20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Orphan designation in Great Britain following Brexit is, unlike in the European Union, not available pre-marketing authorization. Applications for orphan designation are made at the same time as an application for a marketing authorization. The criteria to be granted an orphan drug designation or essentially identical to those in the European Union but based on the prevalence of the condition in Great Britain. It is therefore possible that conditions that were or would have been designated as orphan conditions in Great Britain prior to the end of the Transition Period are or would no longer be and that conditions that were not currently designated as orphan conditions in the European Union will be designated as such in Great Britain.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significantly harm our business, financial condition, results of operations and prospects.</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regulatory authority investigation of the safety and effectiveness of our product, our manufacturing processes and facilities or our marketing programs. FDA, EMA or other regulatory authority investigations could potentially lead to a recall of our product or more serious enforcement action, limitations on the approved indications for which it may be used or suspension or withdrawal of approvals. Regardless of the merits or eventual outcome, liability claims may also result in decreased demand for our product,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OP-1250,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significantly harm our business, financial condition, results of operations and prospects.</w:t>
      </w:r>
    </w:p>
    <w:p>
      <w:pPr>
        <w:spacing w:after="0" w:line="191"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OP-1250 and any future product candidates we develop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19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is the case with pharmaceuticals generally, it is likely that there may be side effects and adverse events associated with the use of OP-1250 or any future product candidates we may develop. Results of our clinical trials could reveal a high and unacceptable severity and prevalence of side effects or unexpected characteristics. Undesirable side effects caused by OP-1250 or any future product candidates we may develop could cause us or regulatory authorities to interrupt, delay or halt clinical trials and could result in a more restrictive label or the delay or denial of regulatory approval by the FDA, EMA or other comparable foreign regulatory authorities. The drug-related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If OP-1250 or any future product candidates we may develop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a trial, or result in potential product liability claims. Any of these occurrences may prevent us from achieving or maintaining market acceptance of the affected product candidate and may significantly harm our business, financial condition, results of operations and prospects.</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Patients in our ongoing and planned clinical trials may in the future suffer significant adverse events or other side effects not observed in our nonclinical studies or previous clinical trials. OP-1250 or any future product candidates we may develop, may be used as chronic therapies or be used in pediatric populations, for which safety concerns may be particularly scrutinized by regulatory agencies. In addition, if OP-1250 or any future product candidates we may develop, are used in combination with other therapies, OP-1250 or any future product candidates we may develop may exacerbate adverse events associated with the therapy and it may not be possible to determine whether it was caused by our product or the one with which it was combined. Patients treated with OP-1250 or any future candidates we may develop, may also be undergoing surgical,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radiation and chemotherapy treatments, which can cause side effects or adverse events that are unrelated to OP-1250 or any future product candidates we may develop,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significantly harm our business, financial condition, results of operations and prospects. Further, if OP-1250 obtains marketing approval, toxicities associated with OP-1250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OP-1250 will cause toxicities in humans that would preclude or lead to the revocation of regulatory approval based on nonclinical studies or early-stage clinical trials.</w:t>
      </w:r>
    </w:p>
    <w:p>
      <w:pPr>
        <w:spacing w:after="0" w:line="191"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United States population and United States medical practice; (2) the trials are performed by clinical investigators of recognized competence and pursuant to current GCP requirements; and (3)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There can be no assurance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OP-1250 or any future product candidates we may develop not receiving approval for commercialization in the applicable jurisdiction.</w:t>
      </w:r>
    </w:p>
    <w:p>
      <w:pPr>
        <w:spacing w:after="0" w:line="191"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Obtaining and maintaining regulatory approval of OP-1250, or any product candidate we develop in the future, in one jurisdiction does not mean that we will be successful in obtaining regulatory approval of OP-1250, or any product candidate we develop in the future, in other jurisdictions.</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Obtaining and maintaining regulatory approval of OP-1250, or any product candidate we develop in the future, in one jurisdiction does not guarantee that we will be able to obtain or maintain regulatory approval in any other jurisdiction. For example, even if the FDA, EMA or other foreign regulatory authority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 is also subject to approval.</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 in certain countries. If we or any future collaborator fail to comply with the regulatory requirements in international markets or fail to receive applicable marketing approvals, our target market will be reduced and our ability to realize the full market potential of OP-1250, or any product candidate we develop in the future, will be harmed.</w:t>
      </w:r>
    </w:p>
    <w:p>
      <w:pPr>
        <w:spacing w:after="0" w:line="18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Even if OP-1250, or any product candidate we develop in the future, receives regulatory approval, it will be subject to significant post-marketing regulatory requirements and oversight.</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Any regulatory approvals that we may receive for OP-1250, or any product candidate we develop in the future,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OP-1250, which could entail requirements for a medication guide, physician training and communication plans or additional elements to ensure safe use, such as restricted distribution methods, patient registries and other risk minimization tools. In addition, if the FDA, EMA or applicable foreign regulatory authorities approve OP-1250 or any product candidate we develop in the future, the manufacturing processes, labeling, packaging, distribution, adverse event reporting, storage, advertising, promotion, import, export and recordkeeping for OP-1250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212" w:lineRule="exact"/>
        <w:rPr>
          <w:sz w:val="20"/>
          <w:szCs w:val="20"/>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delays in or the rejection of product approvals;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restrictions on our ability to conduct clinical trials, including full or partial clinical holds on ongoing or planned trials;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restrictions on the products, manufacturers or manufacturing process;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warning letters;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civil and criminal penalties;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injunctions;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suspension or withdrawal of regulatory approvals;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product seizures, detentions or import bans;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voluntary or mandatory product recalls and publicity requirements;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total or partial suspension of production;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imposition of restrictions on operations, including costly new manufacturing requirements.</w:t>
      </w:r>
    </w:p>
    <w:p>
      <w:pPr>
        <w:spacing w:after="0" w:line="22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The occurrence of any event or penalty described above may inhibit our ability to commercialize OP-1250, or any product candidate we may develop in the future, and generate revenue and could require us to expend significant time and resources in response and could generate negative publicity.</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OP-1250 or any product candidate we may develop in the future.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Namely, the current U.S.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 impose constraints on FDA’s ability to engage in oversight and implementation activities in the normal course, it may significantly harm our business, financial condition, results of operations and prospects.</w:t>
      </w:r>
    </w:p>
    <w:p>
      <w:pPr>
        <w:spacing w:after="0" w:line="18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OP-1250 or any future product candidate we may develop is approved for marketing, and we are found to have improperly promoted off-label uses of those products, we may become subject to significant liability. The FDA and other regulatory agencies strictly regulate the promotional claims that may be made about prescription products, such as OP-1250 or any future product candidates we may develop, if approved. In particular, a product may not be promoted for uses that are not approved by the FDA or such other regulatory agencies as reflected in the product’s approved labeling. If we receive marketing approval for OP-1250 or any future product candidates we may develop, physicians may nevertheless prescribe it to their patients in a manner that is inconsistent with the approved label based on the physician’s independent medical judgment.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OP-1250 or any future product candidates we may develop, if approved, we could become subject to significant liability, which would significantly harm our business, financial condition, results of operations and prospects.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Disruptions at the FDA, EMA, applicable foreign regulatory authorities, the U.S. Securities and Exchange Commission, or the SEC,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significantly harm our business, financial condition, results of operations and prospects.</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ability of the FDA, EMA or any applicable foreign regulatory authority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 EMA or any applicable foreign regulatory authority’s ability to perform routine functions. Average review times at the agencies have fluctuated in recent years as a result and could be delated by the COVID-19 pandemic or other factors.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in March 2020, the FDA announced its intention to postpone most inspections of foreign and domestic manufacturing facilities and in July 2020 only restarted inspections on a risk-based basis. Regulatory authorities outside the United States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Future government shutdowns or delays could impact our ability to access the public markets and obtain necessary capital in order to properly capitalize and continue our operations.</w:t>
      </w:r>
    </w:p>
    <w:p>
      <w:pPr>
        <w:spacing w:after="0" w:line="181"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We may attempt to secure approval from the FDA, EMA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EMA or comparable foreign regulatory authorities, if our confirmatory trials do not verify clinical benefit, or if we do not comply with rigorous post-marketing requirements, the FDA, EMA or comparable foreign regulatory authorities may seek to withdraw any accelerated approval.</w:t>
      </w:r>
    </w:p>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may in the future seek an accelerated approval for OP-1250 or future product candidates we may develop.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manner, additional post-approval confirmatory studies to verity and describe the drug’s clinical benefit. Third-party payors may refuse to provide coverage or reimbursement for the drug until the confirmatory studies are complete. Additionally, if such post-approval studies fail to confirm the drug’s clinical benefit, the FDA may withdraw its approval of the drug.</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Prior to seeking accelerated approval for OP-1250,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OP-1250,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OP-1250 would result in a longer time period to commercialization of such product candidate, could increase the cost of development of OP-1250 and could harm our competitive position in the marketplace.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OP-1250 or any future product candidates we may develop.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For example, in March 2010, the Patient Protection and Affordable Care Act of 2010, as amended by the Health Care and Education Reconciliation Act of 2010, or collectively the ACA, was passed, which substantially changes the way healthcare is financed by both the government and private insurers, and continues to significantly impact the U.S. pharmaceutical industry. There have been executive, judicial and Congressional challenges to certain aspects of the ACA. While Congress has not passed comprehensive repeal legislation, several bills affecting the implementation of certain taxes under the ACA have passed. On December 22, 2017, President Trump signed into law federal tax legislation commonly referred to as the Tax Cuts and Jobs Act, or the Tax Act, which included a provision repealing,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eliminated the health insurer tax. The Bipartisan Budget Act of 2018 among other things, amended the ACA, effective January 1, 2019, to close the coverage gap in most Medicare Part D drug plans.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subject to judicial or Congressional challenges in the future. It is unclear how any such challenges and the healthcare reform measures of the Biden administration will impact the ACA and our business.</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These changes included aggregate reductions to Medicare payments to providers of 2% per fiscal year, effective April 1, 2013, which, due to subsequent legislative amendments, will stay in effect through 2030, except for a temporary suspension from May 1, 2020 through December 31, 2021 due to the COVID-19 pandemic,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potential customers for our drugs, if approved, and accordingly, our business.</w:t>
      </w:r>
    </w:p>
    <w:p>
      <w:pPr>
        <w:spacing w:after="0" w:line="20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Moreover, there has been heightened governmental scrutiny recently over the manner in which drug manufacturers set prices for their marketed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In addition, Congress is considering additional health reform measures as part of the budget reconciliation process.</w:t>
      </w:r>
    </w:p>
    <w:p>
      <w:pPr>
        <w:spacing w:after="0" w:line="20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For example,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attempted to implement several of the administration’s proposals. The FDA also released a final rule on September 24, 2020, effective November 30, 2020, implementing a portion of the importation executive order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by the Biden administration until January 1, 2023. On November 20, 2020, CMS issued an interim final rule implementing President Trump’s Most Favored Nation executive order, which would tie Medicare Part B payments for certain physician-administered drugs to the lowest price paid in other economically advanced countries. The Most Favored Nation regulations mandate participation by identified Medicare Part B providers and will apply in all U.S. states and territories for a seven-year period beginning January 1, 2021, and ending December 31, 2027. As a result of litigation challenging the Most Favored Nation model, on August 10, 2021, CMS published a proposed rule that seeks to rescind the Most Favored Nation model interim final rule. Further, in July 2021, the Biden administration released an executive order that included multiple provisions aimed at prescription drugs. In response to Biden’s executive order, on September 9, 2021,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No legislation or administrative actions have been finalized to implement these principles.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11"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in additional downward pressure on the price that we receive for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OP-1250 or any future product candidates we may develop. It is possible that additional governmental action is taken in response to the COVID-19 pandemic.</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OP-1250 or any future product candidates we may develop, if any, may be.</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privacy and security laws (including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20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our product candidate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market, sell and distribute our product for which we obtain marketing approval. Restrictions under applicable federal and state healthcare laws and regulations include the following:</w:t>
      </w:r>
    </w:p>
    <w:p>
      <w:pPr>
        <w:spacing w:after="0" w:line="203" w:lineRule="exact"/>
        <w:rPr>
          <w:sz w:val="20"/>
          <w:szCs w:val="20"/>
          <w:color w:val="auto"/>
        </w:rPr>
      </w:pPr>
    </w:p>
    <w:p>
      <w:pPr>
        <w:jc w:val="both"/>
        <w:ind w:left="720" w:right="79" w:hanging="319"/>
        <w:spacing w:after="0" w:line="236"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spacing w:after="0" w:line="206"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the federal false claims and civil monetary penalties laws, including the civil False Claims Act, which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202"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the federal Health Insurance Portability and Accountability Act of 1996, or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202"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HIPAA, as amended by the Health Information Technology for Economic and Clinical Health Act, or HITECH, and their implementing regulations, also imposes obligations, including mandatory contractual terms, on covered entities including certain covered healthcare providers, health plans, and healthcare clearinghouses and their respective business associates and covered subcontractors that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79"/>
        <w:spacing w:after="0"/>
        <w:rPr>
          <w:sz w:val="20"/>
          <w:szCs w:val="20"/>
          <w:color w:val="auto"/>
        </w:rPr>
      </w:pPr>
      <w:r>
        <w:rPr>
          <w:rFonts w:ascii="Arial" w:cs="Arial" w:eastAsia="Arial" w:hAnsi="Arial"/>
          <w:sz w:val="18"/>
          <w:szCs w:val="18"/>
          <w:color w:val="231F20"/>
        </w:rPr>
        <w:t>perform services for them that involve the use, or disclosure of, individually identifiable health information with respect to safeguarding the privacy, security and transmission of individually identifiable health information;</w:t>
      </w:r>
    </w:p>
    <w:p>
      <w:pPr>
        <w:spacing w:after="0" w:line="203" w:lineRule="exact"/>
        <w:rPr>
          <w:sz w:val="20"/>
          <w:szCs w:val="20"/>
          <w:color w:val="auto"/>
        </w:rPr>
      </w:pPr>
    </w:p>
    <w:p>
      <w:pPr>
        <w:jc w:val="both"/>
        <w:ind w:left="720" w:right="79" w:hanging="319"/>
        <w:spacing w:after="0" w:line="236"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w:t>
      </w:r>
      <w:r>
        <w:rPr>
          <w:rFonts w:ascii="Arial" w:cs="Arial" w:eastAsia="Arial" w:hAnsi="Arial"/>
          <w:sz w:val="18"/>
          <w:szCs w:val="18"/>
          <w:color w:val="000000"/>
        </w:rPr>
        <w:t>doctors, dentists,</w:t>
      </w:r>
      <w:r>
        <w:rPr>
          <w:rFonts w:ascii="Arial" w:cs="Arial" w:eastAsia="Arial" w:hAnsi="Arial"/>
          <w:sz w:val="18"/>
          <w:szCs w:val="18"/>
          <w:color w:val="231F20"/>
        </w:rPr>
        <w:t xml:space="preserve"> </w:t>
      </w:r>
      <w:r>
        <w:rPr>
          <w:rFonts w:ascii="Arial" w:cs="Arial" w:eastAsia="Arial" w:hAnsi="Arial"/>
          <w:sz w:val="18"/>
          <w:szCs w:val="18"/>
          <w:color w:val="000000"/>
        </w:rPr>
        <w:t xml:space="preserve">optometrists, podiatrists and chiropractors) </w:t>
      </w:r>
      <w:r>
        <w:rPr>
          <w:rFonts w:ascii="Arial" w:cs="Arial" w:eastAsia="Arial" w:hAnsi="Arial"/>
          <w:sz w:val="18"/>
          <w:szCs w:val="18"/>
          <w:color w:val="231F20"/>
        </w:rPr>
        <w:t>and teaching hospitals, as well as information regarding</w:t>
      </w:r>
      <w:r>
        <w:rPr>
          <w:rFonts w:ascii="Arial" w:cs="Arial" w:eastAsia="Arial" w:hAnsi="Arial"/>
          <w:sz w:val="18"/>
          <w:szCs w:val="18"/>
          <w:color w:val="000000"/>
        </w:rPr>
        <w:t xml:space="preserve"> </w:t>
      </w:r>
      <w:r>
        <w:rPr>
          <w:rFonts w:ascii="Arial" w:cs="Arial" w:eastAsia="Arial" w:hAnsi="Arial"/>
          <w:sz w:val="18"/>
          <w:szCs w:val="18"/>
          <w:color w:val="231F20"/>
        </w:rPr>
        <w:t>ownership and investment interests held by physicians and their immediate family members. Beginning in 2022, applicable manufacturers also will be required to report such information regarding payments and transfers of value provided during the previous year to physician assistants, nurse practitioners, clinical nurse specialists, anesthesiologist assistants, certified nurse anesthetists and certified nurse-midwives. The information reported is publicly available on a searchable website, with disclosure required annually; and</w:t>
      </w:r>
    </w:p>
    <w:p>
      <w:pPr>
        <w:spacing w:after="0" w:line="204"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analogous state and foreign laws and regulations, such as state anti-kickback and false claims laws, may apply to sales or marketing arrangements and claims involving healthcare items or services reimbursed by non- governmental third-party payors, including private insurers.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Some state laws require biotechnology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require biotechnology companies to report information on the pricing of certain drug products. Some state and local laws require the registration of pharmaceutical sales representatives.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State and international laws also govern the privacy and security of health information in some circumstances, many of which differ from each other in significant ways and often are not preempted by HIPAA, thus complicating compliance efforts. For instance, the collection and use of health data in the European Union is governed by the General Data Protection Regulation, or the GDPR, which extends the enforcement of European Union data protection law to non-European Union entities under certain conditions, tightens existing European Union data protection principles, creates new obligations for companies and new rights for individuals. In particular, the GDPR includes obligations and restrictions concerning the consent and rights of individuals to whom the personal data relates, the transfer of personal data out of the European Economic Area, or EEA, or the United Kingdom, security breach notifications and the security and confidentiality of personal data. Further, the UK has implemented legislation similar to the GDPR, including the UK Data Protection Act and legislation similar to the GDPR referred to as the UK GDPR, which provides for fines of up to the greater of 17.5 million British Pounds or 4% of a company’s worldwide turnover, whichever is higher.</w:t>
      </w:r>
    </w:p>
    <w:p>
      <w:pPr>
        <w:spacing w:after="0" w:line="20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to introducing new data protection requirements in the EEA, the GDPR also established potential fines for noncompliant companies. Failure to comply with the GDPR may result in substantial fines up to the greater of €20 million or 4% of annual global revenue and other administrative penalties. Such fines are in addition to any civil litigation claims by data subjects. EEA data protection authorities may interpret the GDPR and national laws differently and impose additional requirements, which contributes to the complexity of processing personal data in or from the EEA or United Kingdom. Guidance on implementation and compliance practices is often updated or otherwise revised. The GDPR may increase our responsibility and liability in relation to personal data that we process and we may be required to put in place additional mechanisms ensuring compliance with the GDPR. This may be onerous and if our efforts to comply with the GDPR or other applicable European Union laws and regulations are not successful, it could adversely affect our business in the European Union.</w:t>
      </w:r>
    </w:p>
    <w:p>
      <w:pPr>
        <w:spacing w:after="0" w:line="20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European data protection laws also generally prohibit the transfer of personal data from Europe, including the EEA, United Kingdom and Switzerland, to the United States and most other countries unless the parties to the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transfer have implemented specific safeguards to protect the transferred personal data. One of the primary safeguards used for transfers of personal data from the European Union to the United States, namely, the Privacy Shield framework administered by the U.S. Department of Commerce, was recently invalidated by a decision of the European Union’s highest court. The same decision also cast doubt on the ability to use one of the primary alternatives to the Privacy Shield, namely, the European Commission’s Standard Contractual Clauses, to lawfully transfer personal data from Europe to the United States and most other countries. At present, there are few if any viable alternatives to the Privacy Shield and the Standard Contractual Clauses. To the extent that we were to rely on the EU-U.S. Privacy Shield Framework or the Standard Contractual Clauses, we will not be able to do so in the future, which could increase our costs and limit our ability to process personal data from the European Union.</w:t>
      </w:r>
    </w:p>
    <w:p>
      <w:pPr>
        <w:spacing w:after="0" w:line="20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Further, the vote in the United Kingdom in favor of exiting the European Union, referred to as Brexit, has complicated data protection regulation in the United Kingdom. In particular, as of January 1, 2021, the GDPR has been converted into United Kingdom law and the United Kingdom is now a “third country” under the GDPR. Pursuant to the Trade and Cooperation Agreement, which went into effect on January 1, 2021, the United Kingdom and European Union agreed to a specified period during which the United Kingdom will be treated like a European Union member state in relation to transfers of personal data to the United Kingdom. Following the expiration of that period, the relationship between the UK and the EU in relation to certain aspects of data protection law remains unclear. On June 28, 2021, the European Commission announced a decision of “adequacy” concluding that the UK ensures an equivalent level of data protection to the GDPR, which provides some relief regarding the legality of continued personal data flows from the EEA to the UK. Some uncertainty remains, however, as this adequacy determination must be renewed after four years and may be modified or revoked in the interim. We cannot fully predict how the Data Protection Act, the UK GDPR, and other UK data protection laws or regulations may develop in the medium to longer term nor the effects of divergent laws and guidance regarding how data transfers to and from the UK will be regulated. In addition, as of January 1, 2021, the United Kingdom Information Commissioner’s Office is not able to be our ‘lead supervisory authority’ in respect of any ‘cross border processing’ for the purposes of the GDPR. In the event that we are unable to, or do not, designate a lead supervisory authority in an EEA member state, we would not be able to benefit from the GDPR’s ‘one stop shop’ mechanism. Amongst other things, this would mean that, in the event of a violation of the GDPR affecting data subjects across the United Kingdom and the EEA, we could be investigated by, and ultimately fined by the United Kingdom Information Commissioner’s Office and the supervisory authority in each and every EEA member state where data subjects have been affected by such violation.</w:t>
      </w:r>
    </w:p>
    <w:p>
      <w:pPr>
        <w:spacing w:after="0" w:line="21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addition, on June 28, 2018, the State of California enacted the California Consumer Privacy Act, or CCPA, which went into effect on January 1, 2020. The CCPA creates individual privacy rights for California consumers and increases the privacy and security obligations of entities handling certain personal information of consumers or households.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and may increase our compliance costs and potential liability. Additionally, California voters approved a new privacy law, the California Privacy Rights Act, or CPRA, in the November 3, 2020 election. Effective starting on January 1, 2023, the CPRA will significantly modify the CCPA, including by expanding consumers’ rights with respect to certain sensitive personal information. The CPRA also creates a new state agency that will be vested with authority to implement and enforce the CCPA and the CPRA. Further, on March 2, 2021, Virginia enacted the Virginia Consumer Data Protection Act, or CDPA, which becomes effective on January 1, 2023, and on June 8, 2021, Colorado enacted the Colorado Privacy Act, or CPA, which takes effect on July 1, 2023. The CPA and CDPA are similar to the CCPA and CPRA but aspects of these state privacy statutes remain unclear, resulting in further legal uncertainty and potentially requiring us to modify our data practices and policies and to incur substantial additional costs and expenses in an effort to comply.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to the foregoing, any breach of privacy laws or data security laws, particularly resulting in a significant security incident or breach involving the misappropriation, loss or other unauthorized use or disclosure of sensitive or confidential patient or consumer information, could have a material adverse effect on our business, reputation and financial condition. As a data controller, we will be accountable for any third-party service providers we engage to process personal data on our behalf, including our CROs. We attempt to mitigate the associated risks but there is no assurance that privacy and security-related safeguards will protect us from all risks associated with the third-party processing, storage and transmission of such information.</w:t>
      </w:r>
    </w:p>
    <w:p>
      <w:pPr>
        <w:spacing w:after="0" w:line="20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New legislation proposed or enacted in Illinois, Massachusetts, Nevada, New Jersey, New York, Rhode Island, Washington and other states, and a proposed right to privacy amendment to the Vermont Constitution, imposes, or has the potential to impose, additional obligations on companies that collect, store, use, retain, disclose, transfer and otherwise process confidential, sensitive and personal information, and will continue to shape the data privacy environment nationally. State laws are changing rapidly and there is discussion in Congress of a new federal data protection and privacy law to which we would become subject if it is enacted. All of these evolving compliance and operational requirements, including the requirement to comply with GDPR, CCPA, CPRA, CDPA, CPA, or other laws, regulations, amendments to or re-interpretations of existing laws and regulations, and contractual or other obligations relating to privacy, data protection, data transfers, data localization, or information security may impose significant costs that are likely to increase over time, may require us to modify our data processing practices and policies, divert resources from other initiatives and projects, modify our data practices and policies, restrict our business operations, and could restrict the way products and services involving data are offered, all of which could significantly harm our business, financial condition, results of operations and prospects. Further,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Any actual or perceived failure by us to comply with these laws, regulations, or other obligations may lead to significant fines, penalties, regulatory investigations, lawsuits, significant costs for remediation, damage to our reputation, or other liabilities.</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Many statutory requirements, both in the United States and abroad, include obligations for companies to notify individuals of security breaches involving certain personal information, which could result from breaches experienced by us or our third-party service providers. For example, laws in all 50 U.S. states and the District of Columbia require businesses to provide notice to consumers whose personal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customers or other counterparties of a security breach. Although we may have contractual protections with our third-party service providers, contractors and consultants,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expect that there will continue to be new proposed laws and regulations concerning data privacy and security,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Because the interpretation and application of health-related and data protection laws, regulations, standards and other obligations are still uncertain, and often contradictory and in flux, it is possible that the scope and requirements of these laws may be interpreted and applied in a manner that is inconsistent with our practices and our efforts to comply with the evolving data protection rules may be unsuccessful. If so, this could result in government-imposed fines or orders requiring that we change our practices, which could adversely affect our business. In addition, these privacy regulations may differ from country to country, and may vary based on whether testing is performed in the United States or in the local country and our operations or business practices may not comply with these regulations in each country.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Complying with these various laws could cause us to incur substantial costs or require us to change our business practices and compliance procedures in a manner adverse to our business.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customers and have a material adverse effect on our business.</w:t>
      </w:r>
    </w:p>
    <w:p>
      <w:pPr>
        <w:spacing w:after="0" w:line="20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9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significantly harm our business, financial condition, results of operations or prospects.</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Certain laws and regulations require us to test our product candidate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83"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Our business activities may be subject to the U.S. Foreign Corrupt Practices Act, or the FCPA, and similar anti- 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19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we expand our operations outside of the United States, we must dedicate additional resources to comply with numerous laws and regulations in each jurisdiction in which we plan to operate. Our business activities may be subject to the FCPA and similar anti-bribery or anti-corruption laws, regulations or rules of other countries in which we operate. The FCPA generally prohibits companies and their employees and third 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 in one or more countries and could materially damage our reputation, our brand, our international activities, our ability to attract and retain employees and our business.</w:t>
      </w:r>
    </w:p>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addition, our product and activities may be subject to U.S. and foreign export controls, trade sanctions and import laws and regulations. Governmental regulation of the import or export of our product, or our failure to obtain any required import or export authorization for our product, when applicable, could harm our international sales and adversely affect our revenue. Compliance with applicable regulatory requirements regarding the export of our product may create delays in the introduction of our product in international markets or, in some cases, prevent the export of our product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 by, or in our decreased ability to export our product to existing or potential customers with international operations. Any decreased use of our product or limitation on our ability to export or sell access to our product would likely significantly harm our business, financial condition, results of operations and prospects.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The outbreak of the novel coronavirus disease, COVID-19, could adversely impact our business, including our nonclinical studies and clinical trials.</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December 2019, a novel strain of the coronavirus disease, COVID-19, was identified in Wuhan, China, and since then has spread globally, including throughout the United States.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closed our offices with our administrative employees working outside of our offices and limited the number of staff in any given research and development laboratory. In October 2021, we re-opened our offices to administrative employees, however we may close our offices again in the future as the COVID-19 pandemic continues to evolve. As a result of the COVID-19 pandemic, we experienced some delays in setting up our current Phase 1/2 clinical trial and in clinical site initiation, including delays in recruiting clinical site investigators and clinical site staff, which we may experience again in the future. Additionally, we may experience further disruptions that could severely impact our business, nonclinical studies and clinical trials, including:</w:t>
      </w:r>
    </w:p>
    <w:p>
      <w:pPr>
        <w:spacing w:after="0" w:line="214" w:lineRule="exact"/>
        <w:rPr>
          <w:sz w:val="20"/>
          <w:szCs w:val="20"/>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delays or difficulties in enrolling and retaining patients in our clinical trials;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difficulties in clinical site initiation, including difficulties in recruiting clinical site investigators and clinical site staff;</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diversion of healthcare resources away from the conduct of clinical trials, including the diversion of hospitals serving as our clinical trial sites and hospital staff supporting the conduct of our clinical trials;</w:t>
      </w:r>
    </w:p>
    <w:p>
      <w:pPr>
        <w:spacing w:after="0" w:line="196"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interruption or delays in the operations of the FDA or other regulatory authorities, which may impact review and approval timelines;</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interruption of, or delays in receiving, supplies of OP-1250 from our contract manufacturing organizations, or CMO, due to staffing shortages, production slowdowns or stoppages and disruptions in delivery systems;</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interruptions in nonclinical studies due to restricted or limited operations at our laboratory facility;</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limitations on employee resources that would otherwise be focused on the conduct of our nonclinical studies and clinical trials, including because of sickness of employees or their families or the desire of employees to avoid contact with large groups of people; and</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interruption or delays to our sourced discovery and clinical activities.</w:t>
      </w:r>
    </w:p>
    <w:p>
      <w:pPr>
        <w:spacing w:after="0" w:line="22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231F20"/>
        </w:rPr>
        <w:t>The COVID-19 pandemic continues to rapidly evolve. The extent to which the outbreak impacts our business, nonclinical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 and key consultants.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We are highly dependent on the management, research and development, clinical, financial and business development expertise of our executive officers, as well as the other members of our scientific and clinical teams, including certain key consultants. For example, Dr. Pamela Klein, our Chief Medical Officer, is a consultant and not an employee. As a result, Dr. Klein may choose to reduce the amount of time she allocates to us, or to terminate her relationship with us, at any time and for any reason, which could impede the achievement of our research, development and commercialization objectives and significantly harm our business, financial condition, results of operations and prospects.</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Furthermore, although we have employment offer letters with each of our executive officers, each of them may terminate their employment with us at any time. We do not maintain “key person” insurance for any of our executives or employees.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spacing w:after="0" w:line="20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OP-1250 or any other product candidate will be limited and the potential for successfully growing our business will be harmed.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If we are unable to establish sales or marketing capabilities or enter into agreements with third parties to sell or market OP-1250 or any product candidate we may develop in the future, we may not be able to successfully sell or market OP-1250 or any future product candidate we may develop that obtain regulatory approval.</w:t>
      </w:r>
    </w:p>
    <w:p>
      <w:pPr>
        <w:spacing w:after="0" w:line="196"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OP-1250 or any future product candidate we may develop. We may not be successful in accomplishing these required tasks.</w:t>
      </w:r>
    </w:p>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Establishing an internal sales or marketing team with technical expertise and supporting distribution capabilities to commercialize OP-1250 or any product candidate we may develop in the future will be expensive and time-consuming, and will require significant attention of our executive officers to manage. Any failure or delay in the development of our internal sales, marketing and distribution capabilities could adversely impact the commercialization of OP-1250 or any product candidate we may develop in the future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OP-1250 or any product candidate we may develop in the future which may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9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9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have never commercialized a product candidate, and we currently have no sales force, marketing or distribution capabilities. To achieve commercial success for a product candidate, which we may license to others, we will rely on the assistance and guidance of those collaborators. For any product candidates for which we retain commercialization rights, we will have to develop our own sales, marketing and supply organization or outsource these activities to a third party.</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Factors that may affect our ability to commercialize OP-1250, or any future product candidate we may develop, on our own include recruiting and retaining adequate numbers of effective sales and marketing personnel, obtaining access to or persuading adequate numbers of physicians to prescribe OP-1250 or any future product candidates we may develop and other unforeseen costs associated with creating an independent sales and marketing organization. Developing a sales and marketing organization will be expensive and time-consuming and could delay the launch of OP-1250 or any future product candidate we may develop. We may not be able to build an effective sales and marketing organization. If we are unable to build our own distribution and marketing capabilities or to find suitable partners for the commercialization of OP-1250 or any future product candidate we may develop, we may not generate revenues from such product candidate or be able to reach or sustain profitability.</w:t>
      </w:r>
    </w:p>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As of September 30, 2021, we had 61 employees, 60 of whom were full-time, including 29 employees engaged in research and development. In order to successfully implement our development and commercialization plans and strategies, and as we transition into operating as a public company, we expect to need additional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managerial, operational, sales, marketing, financial and other personnel. Future growth would impose significant added responsibilities on members of management, including:</w:t>
      </w:r>
    </w:p>
    <w:p>
      <w:pPr>
        <w:spacing w:after="0" w:line="197" w:lineRule="exact"/>
        <w:rPr>
          <w:sz w:val="20"/>
          <w:szCs w:val="20"/>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identifying, recruiting, integrating, maintaining and motivating additional employees;</w:t>
      </w:r>
    </w:p>
    <w:p>
      <w:pPr>
        <w:spacing w:after="0" w:line="225"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managing our internal development efforts effectively, including the clinical, FDA, EMA and other comparable foreign regulatory agencies’ review process for OP-1250 and any other future product candidates we may develop, while complying with any contractual obligations to contractors and other third parties we may have; and</w:t>
      </w:r>
    </w:p>
    <w:p>
      <w:pPr>
        <w:spacing w:after="0" w:line="204"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improving our operational, financial and management controls, reporting systems and procedures.</w:t>
      </w:r>
    </w:p>
    <w:p>
      <w:pPr>
        <w:spacing w:after="0" w:line="22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we expect to be conducting multiple clinical trials of OP-1250 for several different indications concurrently. Given the small size of our organization, we may encounter difficulties managing multiple clinical trials at the same time, which could negatively affect our ability to manage growth of our organization, particularly as we take on additional responsibility associated with being a public company. Our future financial performance and our ability to successfully develop and, if approved, commercialize, OP-1250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OP-1250 and any other future product candidates we may develop or otherwise advance our business. We cannot assure you that we will be able to manage our existing third-party service providers or find other competent outside contractors and consultants on economically reasonable terms, or at all.</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OP-1250 and any other future product candidates we may develop and, accordingly, may not achieve our research, development and commercialization goals.</w:t>
      </w:r>
    </w:p>
    <w:p>
      <w:pPr>
        <w:spacing w:after="0" w:line="183"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consultants, collaborators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9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Despite the implementation of preventative and detective security measures, our internal computer systems and those of our current and any future CROs and other contractors, consultants, collaborators and third-party service providers, are vulnerable to damage or interruption from a variety of sources, including computer viruses, unauthorized access, accidental acts or omissions by those with authorized access, natural disasters, terrorism, war, telecommunication and electrical failure, and cybersecurity threats (including the deployment of harmful malware, ransomware, denial-of-service attacks, supply chain attacks, social engineering, and other means to affect service reliability and threaten the confidentiality, integrity, and availability of information).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such an event were to occur or were alleged to have occurred and cause interruptions in our operations or result in the unauthorized acquisition of or access to personally identifiable information or individually identifiable health information (violating certain privacy laws, as applicable, such as HIPAA, CCPA, HITECH and GDPR), it could result in a material disruption of our drug discovery and development programs and our business operations, whether due to a loss of our trade secrets, personal information,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cause us to incur significant costs, including legal expenses and remediation costs. For example, the loss of clinical trial data from completed or future clinical trials could result in delays or revocation of in our regulatory approval efforts and significantly increase our costs to recover or reproduce the lost data. We also rely on third parties to manufacture OP-1250, and similar events relating to their computer systems could also have a material adverse effect on our business. We may have insufficient recourse against such third parties and we may have to expend significant resources to mitigate the impact of such an event, and to develop and implement protections to prevent future events of this nature from occurring.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OP-1250 could be delayed, and we could be subject to significant fines or penalties for any noncompliance with certain state, federal and/or international privacy and security laws.</w:t>
      </w:r>
    </w:p>
    <w:p>
      <w:pPr>
        <w:spacing w:after="0" w:line="21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8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EU drug marketing and reimbursement regulations may materially affect our ability to market and receive coverage for our product in the European member states.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intend to seek approval to market OP-1250 in both the United States and in selected foreign jurisdictions. If we obtain approval in one or more foreign jurisdictions for OP-1250, we will be subject to rules and regulations in those jurisdictions. In some foreign countries, particularly those in the European Union, the pricing of drugs is subject to governmental control and other market regulations which could put pressure on the pricing and usage of OP-1250. In these countries, pricing negotiations with governmental authorities can take considerable time after obtaining marketing approval of a product candidate. In addition, market acceptance and sales of OP-1250 will depend significantly on the availability of adequate coverage and reimbursement from third-party payors for OP-1250 and may be affected by existing and future healthcare reform measures.</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 Member States, such as the UK Bribery Act 2010. Infringement of these laws could result in substantial fines and imprisonment.</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applicable in the EU Member States. Failure to comply with these requirements could result in reputational risk, public reprimands, administrative penalties, fines or imprisonment.</w:t>
      </w:r>
    </w:p>
    <w:p>
      <w:pPr>
        <w:spacing w:after="0" w:line="197"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addition, in most foreign countries, including a number of EU Member States,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OP-1250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our product.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 is unavailable or limited in scope or amount, our potential revenues from sales and the potential profitability of OP-1250 in those countries would be negatively affected.</w:t>
      </w:r>
    </w:p>
    <w:p>
      <w:pPr>
        <w:spacing w:after="0" w:line="191"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operations, and those of our suppliers, CMOs, CROs and other contractors and consultants, could be subject to earthquakes, power shortages, telecommunications failures, water shortages, floods, hurricanes, typhoons, fires, extreme weather conditions, public health pandemics or epidemics (including, for example, the outbreak of COVID-19), and other natural or man-made disasters or business interruptions, for which we are predominantly self- insured. The occurrence of any of these business disruptions could seriously harm our operations, increase our costs and expenses and significantly harm our business, financial condition, results of operations and prospects.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ability to develop OP-1250 or any future product candidates we may develop could be disrupted if our operations or those of our suppliers are affected by man-made or natural disasters or other business interruptions.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business could suffer in the event of a major earthquake, fire or other natural disaster.</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4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net operating loss, or NOL, carryforwards could expire unused and be unavailable to offset future income tax liabilities because of their limited duration or because of restrictions under U.S. tax law. NOLs generated in tax years ending on or prior to December 31, 2017 are only permitted to be carried forward for 20 taxable years under applicable U.S. federal tax law. Under the Tax Act, as modified by the Coronavirus Aid, Relief, and Economic Security, or CARES, Act signed into law on March 27, 2020, NOLs arising in tax years beginning after December 31, 2017, and before January 1, 2021 may be carried back to each of the five tax years preceding the tax year of such loss, and NOLs arising in tax years beginning after December 31, 2020 may not be carried back. Moreover, under the Tax Act as modified by the CARES Act, federal NOLs generated in tax years ending after December 31, 2017 may be carried forward indefinitely, but the deductibility of such federal NOLs may be limited to 80% of current year taxable income for tax years beginning on or after December 31, 2020. It is uncertain if and to what extent various states will conform to the Tax Act or the CARES Act.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under Sections 382 and 383 of the Internal Revenue Code of 1986, as amended,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ownership changes in the future as a result subsequent shifts in our stock ownership, some of which are outside our control. We have not conducted any studies to determine annual limitations, if any, that could result from such changes in the ownership. Our ability to utilize those NOLs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or future changes to tax laws could materially adversely affect our company.</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and proposals have recently been made in Congress (which have not yet been enacted) to increase the federal income tax rate applicable to corporate income and make other tax law changes that could have a material adverse impact on us. In addition, it is uncertain if and to what extent various states will conform to the Tax Act, the CARES Act or any newly enacted federal tax legislation. The impact of the Tax Act and CARES Act and any future changes in tax laws on holders of our common stock is also uncertain and could be adverse.</w:t>
      </w:r>
    </w:p>
    <w:p>
      <w:pPr>
        <w:spacing w:after="0" w:line="18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A variety of risks associated with marketing OP-1250 or any future product candidate we may develop internationally could significantly harm our business, financial condition, results of operations and prospects.</w:t>
      </w:r>
    </w:p>
    <w:p>
      <w:pPr>
        <w:spacing w:after="0" w:line="19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plan to seek regulatory approval of OP-1250 or any future product candidates we may develop outside of the United States and, accordingly, we expect that we will be subject to additional risks related to operating in foreign countries if we obtain the necessary approvals, including:</w:t>
      </w:r>
    </w:p>
    <w:p>
      <w:pPr>
        <w:spacing w:after="0" w:line="203" w:lineRule="exact"/>
        <w:rPr>
          <w:sz w:val="20"/>
          <w:szCs w:val="20"/>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differing regulatory requirements and reimbursement regimes in foreign countries;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unexpected changes in tariffs, trade barriers, price and exchange controls and other regulatory requirements;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economic weakness, including inflation, or political instability in particular foreign economies and markets;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foreign taxes, including withholding of payroll taxes;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foreign currency fluctuations, which could result in increased operating expenses and reduced revenue, and other obligations incident to doing business in another country;</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difficulties staffing and managing foreign operations;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workforce uncertainty in countries where labor unrest is more common than in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potential liability under the FCPA or comparable foreign regulations;</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challenges enforcing our contractual and intellectual property rights, especially in those foreign countries that do not respect and protect intellectual property rights to the same extent as the United States;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production shortages resulting from any events affecting raw material supply or manufacturing capabilities abroad;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business interruptions resulting from geo-political actions, including war and terrorism.</w:t>
      </w:r>
    </w:p>
    <w:p>
      <w:pPr>
        <w:spacing w:after="0" w:line="22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These and other risks associated with our international operations may significantly harm our business, financial condition, results of operations and prospects.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commercial success depends in part on our ability to obtain and maintain proprietary or intellectual property protection in the United States and other countries for OP-1250 and any future product candidates that we may develop and technologies related to their various uses. We generally seek to protect our proprietary position by, among other things, filing patent applications in the United States and abroad related to OP-1250, our proprietary technologies, and their manufacture and uses that are important to our business, as well as inventions and improvements that are important to the development and implementation of our business. We also rely on trade secrets, know-how and continuing technological innovation to develop and maintain our proprietary and intellectual property position. We may also seek to protect our proprietary position by acquiring or in-licensing relevant issued patents or pending applications from third parties. If we or our potential licensors are unable to obtain or maintain patent protection with respect to OP-1250, proprietary technologies and their uses, our business, financial condition, results of operations and prospects could be significantly harmed.</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Moreover, in the future, some of our owned patents and patent applications, or any future licensed patents or patent applications, may be co-owned with third parties. If we are unable to obtain exclusive licenses to any such co-owners’ interest in such patents or patent applications, then such co-owners may be able to license their rights to other third parties, including our competitors, and our competitors could market competing products and technology. In addition, we may need the cooperation of any such co-owners to enforce such patents against third parties, and such cooperation may not be provided to us.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Thus,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OP-1250 or any future product candidates we may develop could significantly harm our business, financial condition, results of operations and prospects.</w:t>
      </w:r>
    </w:p>
    <w:p>
      <w:pPr>
        <w:spacing w:after="0" w:line="20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We cannot be certain that the claims in our U.S. pending patent applications, and corresponding international patent applications, will be considered patentable by the United States Patent and Trademark Office, or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USPTO, courts in the United States or by the patent offices and courts in foreign countries, nor can we be certain that the claims in our issued patent(s) will not be found invalid or unenforceable if challenged.</w:t>
      </w:r>
    </w:p>
    <w:p>
      <w:pPr>
        <w:spacing w:after="0" w:line="19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OP-1250 or any future product candidates we may develop by obtaining and defending patents. These risks and uncertainties include the following:</w:t>
      </w:r>
    </w:p>
    <w:p>
      <w:pPr>
        <w:spacing w:after="0" w:line="187" w:lineRule="exact"/>
        <w:rPr>
          <w:sz w:val="20"/>
          <w:szCs w:val="20"/>
          <w:color w:val="auto"/>
        </w:rPr>
      </w:pPr>
    </w:p>
    <w:p>
      <w:pPr>
        <w:jc w:val="both"/>
        <w:ind w:left="720" w:right="79" w:hanging="319"/>
        <w:spacing w:after="0" w:line="250"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patent applications must be filed in advance of certain events (</w:t>
      </w:r>
      <w:r>
        <w:rPr>
          <w:rFonts w:ascii="Arial" w:cs="Arial" w:eastAsia="Arial" w:hAnsi="Arial"/>
          <w:sz w:val="18"/>
          <w:szCs w:val="18"/>
          <w:i w:val="1"/>
          <w:iCs w:val="1"/>
          <w:color w:val="231F20"/>
        </w:rPr>
        <w:t>e.g.,</w:t>
      </w:r>
      <w:r>
        <w:rPr>
          <w:rFonts w:ascii="Arial" w:cs="Arial" w:eastAsia="Arial" w:hAnsi="Arial"/>
          <w:sz w:val="18"/>
          <w:szCs w:val="18"/>
          <w:color w:val="231F20"/>
        </w:rPr>
        <w:t xml:space="preserve"> third party filings, certain sales or offers for sale, or other activities that might be legally deemed to be public disclosures) and we might not be aware of such events or otherwise might not succeed in filing applications before they occur;</w:t>
      </w:r>
    </w:p>
    <w:p>
      <w:pPr>
        <w:spacing w:after="0" w:line="194"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204" w:lineRule="exact"/>
        <w:rPr>
          <w:rFonts w:ascii="Arial" w:cs="Arial" w:eastAsia="Arial" w:hAnsi="Arial"/>
          <w:sz w:val="18"/>
          <w:szCs w:val="18"/>
          <w:color w:val="auto"/>
        </w:rPr>
      </w:pPr>
    </w:p>
    <w:p>
      <w:pPr>
        <w:ind w:left="720"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patent applications may not result in any patents being issued;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patents may be challenged, invalidated, modified, revoked, circumvented, found to be unenforceable or otherwise may not provide any competitive advantage;</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there may be significant pressure on the U.S. government and international governmental bodies to limit the scope of patent protection both inside and outside the United States; and</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countries other than the United States may have patent laws less favorable to patentees than those upheld by U.S. courts, allowing foreign competitors a better opportunity to create, develop and market competing product candidates.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patent prosecution process is also expensive, time-consuming and complex,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for example, if patentable aspects are publicly disclosed, by us or a third party, such as by public use, sale or offer for sale, or publication.</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Further, although we require our employees, commercial contractors, and certain consultants and investigators to enter into invention assignment agreements that grant us ownership of any discoveries or inventions made by them while in our employ, we cannot guarantee that we have entered into such agreements with each party, we cannot provide any assurances that all such agreements have been duly executed, and any of these parties may breach such agreements and claim ownership in intellectual property that we believe is owned by us.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spacing w:after="0" w:line="213"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commercialized. As a result, our intellectual property may not provide us with sufficient rights to exclude others from commercializing products similar or identical to ours. Should any of the above events occur, it could significantly harm our business, financial condition, results of operations and prospects.</w:t>
      </w:r>
    </w:p>
    <w:p>
      <w:pPr>
        <w:spacing w:after="0" w:line="18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9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patent positions of biopharmaceutical companies generally are highly uncertain, involve complex legal and factual questions for which important legal principles remain unsolved and have been the subject of much litigation in recent years. As a result, the issuance, scope, validity, enforceability and commercial value of our patent rights are highly uncertain. Our pending and future patent applications may not result in patents being issued which protect OP-1250 or which effectively prevent others from commercializing competitive technologies and product candidates.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Moreover, the coverage claimed in a patent application can be significantly reduced before a patent is issued, and its scope can be reinterpreted after issuance. Legal standards relating to valid and enforceable claim scope are unsettled in the United States and elsewhere and disputes challenging or re-defining scope are common in the biopharmaceutical industry.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OP-1250 or any future product candidates we may develop will be protectable or remain protected by valid and enforceable patents. Our competitors or other third parties may be able to circumvent our patents by developing similar or alternative technologies or products in a non-infringing manner which could significantly harm our business, financial condition, results of operations and prospects.</w:t>
      </w:r>
    </w:p>
    <w:p>
      <w:pPr>
        <w:spacing w:after="0" w:line="20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patents may be challenged in the courts or patent offices in the United States and abroad.</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process by which patent applications are examined and considered for issuance as patents involves consideration by the relevant patent office of “prior art” relative to the invented technology. Different countries have different rules about what information or events can be considered “prior art,” and different requirements regarding when a patent application must be filed relative to any particular piece of potential prior art. Moreover, legal decisions can re-interpret or change whether particular information or events are considered to be “prior art.” Still further, in the United States, patent applicants are required to notify the USPTO of any material “prior art” of which they are aware for the patent examiner to consider in addition to independent searches that the patent examiner is required to do. Also, in the United States and certain other jurisdictions, third parties are entitled to submit prior art to patent offices for consideration during examination.</w:t>
      </w:r>
    </w:p>
    <w:p>
      <w:pPr>
        <w:spacing w:after="0" w:line="20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may not be aware of certain relevant prior art, may fail to identify or timely cite certain prior art, or may not be able to convince a patent examiner that our patent(s) should issue in light of the art. Also, we cannot be certain that all relevant art will be identified during examination of a patent application so that, even if a patent issues, it may be susceptible to challenge that it is not valid over art that was not considered during its examination.</w:t>
      </w:r>
    </w:p>
    <w:p>
      <w:pPr>
        <w:spacing w:after="0" w:line="202" w:lineRule="exact"/>
        <w:rPr>
          <w:sz w:val="20"/>
          <w:szCs w:val="20"/>
          <w:color w:val="auto"/>
        </w:rPr>
      </w:pPr>
    </w:p>
    <w:p>
      <w:pPr>
        <w:jc w:val="both"/>
        <w:ind w:left="60" w:right="79"/>
        <w:spacing w:after="0" w:line="237" w:lineRule="auto"/>
        <w:rPr>
          <w:sz w:val="20"/>
          <w:szCs w:val="20"/>
          <w:color w:val="auto"/>
        </w:rPr>
      </w:pPr>
      <w:r>
        <w:rPr>
          <w:rFonts w:ascii="Arial" w:cs="Arial" w:eastAsia="Arial" w:hAnsi="Arial"/>
          <w:sz w:val="18"/>
          <w:szCs w:val="18"/>
          <w:color w:val="auto"/>
        </w:rPr>
        <w:t xml:space="preserve">We may be subject to a third-party pre-issuance submission of prior art to the USPTO or other jurisdictions, or become involved in post-grant challenges such as opposition, derivation, revocation, reexamination, post-grant review, or PGR,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IPR, or other similar proceedings, or in litigation, challenging our patent rights, including by challenging the validity or the claim of priority of our patents. An adverse determination in any such submission, proceeding or litigation could reduce the scope of, or invalidate or render unenforceable, our patent rights, allow third parties to commercialize OP-1250 or any future product candidates we may develop and compete directly with us, without payment to us. Such challenges may result in loss 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patent rights, loss of exclusivity or in patent claims being narrowed, invalidated or held unenforceable, which could limit our ability to stop others from using or commercializing similar or identical technology and products, or limit the duration of the patent protection of OP-1250 or any future product candidates we may develop. The outcome following legal assertions of invalidity and unenforceability is unpredictable. With respect to the validity question, for example, we cannot be certain that there is no invalidating prior art, including art of which we were unaware, and art which was not raised during prosecution of any of our patent applications. If a third party were to prevail on a legal assertion of invalidity or unenforceability, we would lose at least part, and perhaps all, of the patent protection on our technology or platform, or any product candidates that we may develop. Such a loss of patent protection would significantly impact our business, financial condition, results of operations and prospects.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embolden competitors to launch products or take other steps that could disadvantage us in the marketplace or draw us into additional expensive and time consuming disputes. Should any of these events occur, it could significantly harm our business, financial condition, results of operations and prospects.</w:t>
      </w:r>
    </w:p>
    <w:p>
      <w:pPr>
        <w:spacing w:after="0" w:line="19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203" w:lineRule="exact"/>
        <w:rPr>
          <w:sz w:val="20"/>
          <w:szCs w:val="20"/>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we may not be able to detect infringement of our issued patents;</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others may be able to develop products that are similar to OP-1250, or any future product candidates we may develop, but that are not covered by the claims of the patents that we may in-license in the future or own;</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our competitors may seek or may have already obtained patents that will limit, interfere with or eliminate our ability to make, use and sell OP-1250 or any future product candidates we may develop;</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we, or our current or future collaborators or license partners, might not have been the first to make the inventions covered by the issued patents or patent application that we may in-license in the future or own;</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we, or our current or future collaborators or license partners, might be found not have been the first to file patent applications covering certain of our or their inventions;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others may independently develop similar or alternative technologies or duplicate any of our technologies without infringing our intellectual property rights;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it is possible that the pending patent applications we may in-license in the future or own will not lead to issued patents;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it is possible that there are prior public disclosures that could invalidate our patents, or parts of our patents, for which we are not aware;</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issued patents that we hold rights to may be held invalid or unenforceable, as a result of legal challenges by our competitors;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issued patents may not have sufficient term or geographic scope to provide meaningful protection;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79"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we may not develop additional proprietary technologies that are patentable;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the patents of others may have an adverse effect on our business; and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we may choose not to file a patent in order to maintain certain trade secrets, and a third party may subsequently file a patent covering such intellectual property.</w:t>
      </w:r>
    </w:p>
    <w:p>
      <w:pPr>
        <w:spacing w:after="0" w:line="19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Should any of these events occur, it could significantly harm our business, financial condition, results of operations and prospects.</w:t>
      </w:r>
    </w:p>
    <w:p>
      <w:pPr>
        <w:spacing w:after="0" w:line="1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misappropriating or otherwise violating the patents and other proprietary rights of third parties. Claims by third parties that we infringe, misappropriate or otherwise violate their proprietary rights may result in liability for damages or prevent or delay our developmental and commercialization efforts.</w:t>
      </w:r>
    </w:p>
    <w:p>
      <w:pPr>
        <w:spacing w:after="0" w:line="19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A finding by a court or administrative body that we infringe the claims of issued patents owned by third parties could preclude us from commercializing OP-1250 or any future product candidates we may develop.</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Other entities may have or obtain patents or proprietary rights that could limit our ability to make, use, sell, offer for sale or import OP-1250 or any future product candidates we may develop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and proceedings, such as oppositions, reexaminations, IPR proceedings and PGR proceedings, before the USPTO and/or corresponding foreign patent offices. In addition, many companies in intellectual property-dependent industries, including the biopharmaceutical industry, have employed intellectual property litigation as a means to gain an advantage over their competitors. Numerous third-party U.S. and foreign issued patents and pending patent applications may exist in the fields in which we are developing OP-1250 or any future product candidates we may develop. There may be third-party patents or patent applications with claims to compositions, formulations, methods of manufacture or methods for treatment related to the use or manufacture of OP-1250 or any future product candidates we may develop. For example, we are aware of certain third-party patent applications and patents in the United States and abroad that include disclosure of chemical structures sharing certain similarities with OP-1250. It is possible that one or more of such third parties could pursue patent claims or assert patent claims that allegedly encompass OP-1250.</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It is possible that one or more organizations will hold patent rights to which we will need a license. If those organizations refuse to grant us a license to such patent rights on reasonable terms, we may be unable to develop, manufacture, market, sell and commercialize products or services or perform research and development or other activities covered by these patents. In the event that any of these patents were to issue and be asserted against us, we believe that we would have defenses against any such assertion, including that such patents are not valid. However, if such defenses to such assertion were unsuccessful, we could be liable for damages, which could be significant and include treble damages and attorneys’ fees if we are found to willfully infringe such patents. We could also be required to obtain a license to such patents, which may not be available on commercially reasonable terms or at all. If we are unable to obtain such a license, we could be precluded from commercializing any product candidates that were ultimately held to infringe such patents.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As the biopharmaceutical industry expands and more patents are issued, the risk increases that OP-1250, or any future product candidates we may develop,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OP-1250, or any future product candidates we may develop,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OP-1250 or any future product candidates we may develop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Still further, we cannot rely on our experience that third parties have not so far alleged that we infringe their patent rights, as provisions of U.S. patent laws provide a safe harbor from patent infringement for therapeutic products under clinical development. If and when we submit an NDA that safe harbor will expire.</w:t>
      </w:r>
    </w:p>
    <w:p>
      <w:pPr>
        <w:spacing w:after="0" w:line="21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Any claims of patent infringement, misappropriation or other violations asserted by third parties would be time consuming and could:</w:t>
      </w:r>
    </w:p>
    <w:p>
      <w:pPr>
        <w:spacing w:after="0" w:line="197" w:lineRule="exact"/>
        <w:rPr>
          <w:sz w:val="20"/>
          <w:szCs w:val="20"/>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result in costly litigation that may cause negative publicity;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cause development delays;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prevent us from commercializing OP-1250 or any future product candidates we may develop;</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require us to develop non-infringing technology, which may not be possible on a cost-effective basis;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subject us to significant liability to third parties; or</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Any patent-related legal action against us claiming damages or seeking to enjoin commercial activities relating to our products, or processes could subject us to significant liability for damages, including treble damages if we were determined to willfully infringe, and require us to obtain a license to manufacture or market OP-1250 or any future product candidates we may develop.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OP-1250 or any future product candidates we may develop processes to avoid infringement, if necessary.</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An adverse determination in a judicial or administrative proceeding, or the failure to obtain necessary licenses, could prevent us from developing and commercializing OP-1250 or any future product candidates we may develop, which could significantly harm our business, financial condition and operating results. In addition, intellectual property litigation, regardless of its outcome, may cause negative publicity and could prohibit us from marketing or otherwise commercializing OP-1250 and future product candidates and technologies.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significantly harm our business, financial condition, results of operations and prospects.</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from third parties for that we identify as necessary for OP-1250 through acquisitions and in-licenses.</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w:t>
      </w:r>
    </w:p>
    <w:p>
      <w:pPr>
        <w:spacing w:after="0" w:line="20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While we may have issued patents that cover OP-1250, it is possible that third parties may have blocking patents that prevent us from marketing, manufacturing or commercializing our own patented products and practicing our own patented technology.</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may be unsuccessful in acquiring or in-licensing compositions, methods of use, processes, or other intellectual property rights from third parties that we identify as necessary for practicing inventions claimed by our patents, including the manufacture, sale and use of OP-1250 and any future product candidates we may develop.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significantly harm our business, financial condition, results of operations and prospects.</w:t>
      </w:r>
    </w:p>
    <w:p>
      <w:pPr>
        <w:spacing w:after="0" w:line="18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which could be expensive, time consuming and unsuccessful. Further, our issued patents could be found invalid or unenforceable if challenged in court.</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Competitors or other third parties may infringe, misappropriate or otherwise violate our intellectual property rights. To prevent infringement or unauthorized use, we may be required to file infringement or other intellectual property claims, which can be expensive and time-consuming. In addition, in a patent infringement proceeding, a court may decide that a patent we may in-license in the future or own is not valid, is unenforceable, and/or is not infringed, or may refuse to stop the other party from using the technology at issue on the grounds that our owned patents or future in-licensed patents do not cover the technology in question. If we or any of our potential future collaborators were to initiate legal proceedings against a third party to enforce a patent directed at OP-1250 or any future product candidates we may develop,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214"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7"/>
          <w:szCs w:val="17"/>
          <w:color w:val="auto"/>
        </w:rPr>
        <w:t>The outcome following legal assertions of invalidity and/or unenforceability is unpredictable, and prior art could render our patent invalid. There is no assurance that all potentially relevant prior art relating to our patent and patent applications has been found. There is also no assurance that there is not prior art of which we are aware,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but which we do not believe affects the validity or enforceability of a claim in our patent and patent applications, which may, nonetheless, ultimately be found to affect the validity or enforceability of a claim.</w:t>
      </w:r>
    </w:p>
    <w:p>
      <w:pPr>
        <w:spacing w:after="0" w:line="19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is threatened, it could dissuade companies from collaborating with us to license, develop or commercialize current or future product candidates. Such a loss of patent protection would significantly harm our business, financial condition, results of operations and prospects.</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08"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Should any of these events occur, it could significantly harm our business, financial condition, results of operations and prospects.</w:t>
      </w:r>
    </w:p>
    <w:p>
      <w:pPr>
        <w:spacing w:after="0" w:line="17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significantly harm our business, financial condition, results of operations and prospects.</w:t>
      </w:r>
    </w:p>
    <w:p>
      <w:pPr>
        <w:spacing w:after="0" w:line="18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19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OP-1250 or any future product candidates to market. Should any of these events occur, it could significantly harm our business, financial condition, results of operations and prospects.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or those of our licensors and the enforcement or defense of our issued patents or those of our licensors.</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 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OP-1250 or any future product candidate we may develop or (2) invent any of the inventions claimed in the patents or patent applications.</w:t>
      </w:r>
    </w:p>
    <w:p>
      <w:pPr>
        <w:spacing w:after="0" w:line="21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significantly harm our business, financial condition, results of operations and prospects.</w:t>
      </w:r>
    </w:p>
    <w:p>
      <w:pPr>
        <w:spacing w:after="0" w:line="18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OP-1250 or any future product candidates we may develop.</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our ability to protect our inventions, obtain, maintain and enforce our intellectual property rights and, more generally, could affect the value of our intellectual property. Such changes may also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206"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Further, the U.S. Supreme Court has ruled on several patent cases in recent years, either narrowing the scope of patent protection available in certain circumstances or weakening the rights of patent owners in certain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Any of the foregoing could significantly harm our business, financial condition, results of operations, and prospects.</w:t>
      </w:r>
    </w:p>
    <w:p>
      <w:pPr>
        <w:spacing w:after="0" w:line="18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It is possible that we do not perfect ownership of all patents, patent applications or other intellectual property. This possibility includes the risk that we do not identify all inventors, or identify incorrect inventors, which may lead to claims disputing inventorship or ownership of our patents, patent applications or other intellectual property by former employees or other third parties. There is also a risk that we do not establish an unbroken chain of title from inventors to us. Errors in inventorship or ownership can sometimes also impact priority claims. If we were to lose ability to claim priority for certain patent filings, intervening art or other events may preclude us from issuing patents.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an outcome could significantly harm our business, financial condition, results of operations and prospects. Even if we are successful in defending against such claims, litigation could result in substantial costs and distraction to management and other employees.</w:t>
      </w:r>
    </w:p>
    <w:p>
      <w:pPr>
        <w:spacing w:after="0" w:line="18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OP-1250 or any future product candidates we may develop for an adequate amount of time.</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there can be no assurance that any such extensions will be obtained, and the life of a patent, and the protection it affords, is limited. Even if patents covering OP-1250 or any future product candidates we may develop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07"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In the United States, patent term can be adjusted due to delays that occur during examination of patent applications, which may extend the term of a patent beyond 20 years. There is a risk that we may take action that detracts from any accrued patent term adjustment.</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It is necessary to pay certain maintenance fees, also referred to as annuities or renewal fees in some countries, throughout the lifetime of a patent at regular intervals. Failure to pay these fees can cause a granted patent to prematurely expire, without an opportunity for revival. There is a risk that we may be unable to maintain patent protection for certain patents in all markets due to finite availability of resources. Any of the foregoing could significantly harm our business, financial condition, results of operations and prospects.</w:t>
      </w:r>
    </w:p>
    <w:p>
      <w:pPr>
        <w:spacing w:after="0" w:line="180"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If we do not obtain patent term extension for OP-1250 or any future product candidates we may develop, our business, financial condition, results of operations and prospects may be significantly harmed.</w:t>
      </w:r>
    </w:p>
    <w:p>
      <w:pPr>
        <w:spacing w:after="0" w:line="19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Depending upon the timing, duration and specifics of FDA marketing approval of OP-1250 or any future product candidates we may develop, one or more of our U.S. patents or those of our licensors may be eligible for limited patent term restoration under the Drug Price Competition and Patent Term Restoration Act of 1984, or the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Hatch- 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OP-1250 or any future product candidates we may develop.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business, financial condition, results of operations and prospects could be significantly harmed. Further, if this occurs, our competitors may take advantage of our investment in development and trials by referencing our clinical and nonclinical data and launch their product earlier than might otherwise be the case.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infringing products may compete with OP-1250 or any future product candidates we may develop, without any available recourse.</w:t>
      </w:r>
    </w:p>
    <w:p>
      <w:pPr>
        <w:spacing w:after="0" w:line="20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 laws of some other countries do not protect intellectual property rights to the same extent as the laws of the United States.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As a result, many companies have encountered significant problems in protecting and defending intellectual property rights in foreign jurisdictions. Because the legal systems of many foreign countries do not favor the enforcement of patents and other intellectual property protection, particularly those relating to biopharmaceutical products, it could be difficult for us to stop the infringement, misappropriation or violation of our patents or our licensors’ patents or marketing of competing products in violation of our proprietary rights. Proceedings to enforce our intellectual property and other proprietary rights in foreign jurisdictions could result in substantial costs and divert our efforts and attention from other aspects of our business, could put our patents or the patents of our licensors at risk of being invalidated or interpreted narrowly, could put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1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diminish the value of such patent. If we are forced to grant a license to third parties with respect to any patents relevant to our business, our competitive position may be impaired, and our business, financial condition, results of operations and prospects may be significantly harmed.</w:t>
      </w:r>
    </w:p>
    <w:p>
      <w:pPr>
        <w:spacing w:after="0" w:line="181"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9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patent applications.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significantly harm our business, financial condition, results of operations and prospects.</w:t>
      </w:r>
    </w:p>
    <w:p>
      <w:pPr>
        <w:spacing w:after="0" w:line="182"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financial condition, results of operations and prospects could be significantly harmed.</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results of operations and prospects may be significantly harmed. Our efforts to enforce or protect our proprietary rights related to trademarks, trade secrets, domain names, copyrights or other intellectual property may be ineffective and could result in substantial costs and diversion of resources and could significantly harm our business, financial condition, results of operations and prospects.</w:t>
      </w:r>
    </w:p>
    <w:p>
      <w:pPr>
        <w:spacing w:after="0" w:line="19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financial condition, results of operations, prospects and competitive position would be significantly harmed.</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 that we have entered into such agreements with each party that may have or have had access to our trade secrets or proprietary technology or processes. Further, we cannot provide any assurances that all such agreements have been duly executed, and any of these parties may breach the agreements and disclose our proprietary information, including our trade secrets, or claim ownership in intellectual property that we believe is owned by us. Monitoring unauthorized uses and disclosures of our intellectual property is difficult, and we do not know whether the steps we have taken to protect our intellectual property will be effective. In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addition,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Moreover, if any of our trade secrets were to be lawfully obtained or independently developed by a competitor or other third party,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Any of the foregoing could significantly harm our business, financial condition, results of operations and prospects.</w:t>
      </w:r>
    </w:p>
    <w:p>
      <w:pPr>
        <w:spacing w:after="0" w:line="18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Many of our employees and consultants were previously employed at, or may have previously provided or may be currently providing consulting services to, other biopharmaceutical companies, including our competitors or potential competitors. Although we try to ensure that our employees, consultants, and advisors do not use the proprietary information or know-how of others in their work for us, we may become subject to litigation where a third party asserts that we or our employees or consultants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OP-1250 or any future product candidates or technologies we may develop. Failure to defend against any such claim could subject us to significant liability for monetary damages or prevent or delay our developmental and commercialization efforts, and cause us to lose valuable intellectual property rights or personnel, which could significantly harm our business, financial condition, results of operations and prospects. Even if we are successful in defending against these claims, litigation could result in substantial costs and be a distraction to our management team and other employees.</w:t>
      </w:r>
    </w:p>
    <w:p>
      <w:pPr>
        <w:spacing w:after="0" w:line="21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significantly harm our business, financial condition, results of operations and prospects.</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 may be subject, in part, to the terms and conditions of licenses granted to us by others.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may enter into license agreements in the future with others to advance our research or allow commercialization of OP-1250 or any future product candidates we may develop.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our licenses.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we fail to comply with our obligations under any such license agreements, including obligations to make various milestone payments and royalty payments and other obligations, the licensor may have the right to terminate the license. If these agreements are terminated, we could lose intellectual property rights that are important to our business, be liable for any damages to such licensors or be prevented from developing and commercializing our product candidates, and competitors could have the freedom to seek regulatory approval 7of, and to market, products identical to ours. Termination of these agreements or reduction or elimination of our rights under these agreements may also result in our being required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spacing w:after="0" w:line="21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including the payment of all applicable fees for patents covering our product candidates.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 Further, we may not be able to prevent competitors from making, using and selling competing products. In addition, even where we have the right to control the prosecution of patents and patent applications we have licensed to and from third parties, we may still be adversely affected or prejudiced by the actions or inactions of our licensees, our licensors and their counsel that took place prior to the date upon which we assumed control over patent prosecution.</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may need to obtain additional licenses from existing licensors and others to advance our research or allow commercialization of product candidates we develop. 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Should any of these events occur, it could significantly harm our business, financial condition, results of operations and prospects.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91"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Disputes may arise between us and our past, current or future licensors regarding intellectual property subject to a license agreement, including:</w:t>
      </w:r>
    </w:p>
    <w:p>
      <w:pPr>
        <w:spacing w:after="0" w:line="197" w:lineRule="exact"/>
        <w:rPr>
          <w:sz w:val="20"/>
          <w:szCs w:val="20"/>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whether and the extent to which our technology and processes infringe on intellectual property of the licensor that is not subject to the licensing agreement;</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our right to sublicense patents and other rights to third parties;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our diligence obligations under the license agreement and what activities satisfy those diligence obligations;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our right to transfer or assign the license;</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inventorship and ownership of inventions and know-how resulting from the joint creation or use of intellectual property by our licensors and us and our partners;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priority of invention of patented technology.</w:t>
      </w:r>
    </w:p>
    <w:p>
      <w:pPr>
        <w:spacing w:after="0" w:line="22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significantly harm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significantly harm our business, financial condition and prospects.</w:t>
      </w:r>
    </w:p>
    <w:p>
      <w:pPr>
        <w:spacing w:after="0" w:line="20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significantly harm our competitive position, business, financial condition and prospects.</w:t>
      </w:r>
    </w:p>
    <w:p>
      <w:pPr>
        <w:spacing w:after="0" w:line="183"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9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 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2"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OP-1250 or future product candidates we may develop and our business, financial condition, results of operations and prospects could be significantly harmed.</w:t>
      </w:r>
    </w:p>
    <w:p>
      <w:pPr>
        <w:spacing w:after="0" w:line="20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have relied upon and plan to continue to rely upon third parties, including independent clinical investigators and third-party CROs, to conduct certain aspects of our nonclinical studies and clinical trials and to monitor and manage data for our ongoing nonclinical and clinical programs. We rely on these parties for execution of our nonclinical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OP-1250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spacing w:after="0" w:line="21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Further, these investigators and CROs are not our employees and we will not be able to control, other than by contract, the amount of resources, including time, which they devote to OP-1250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OP-1250, or if CROs do not successfully carry out their contractual duties or obligations or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OP-1250. As a result, our results of operations and the commercial prospects for OP-1250 would be harmed, our costs could increase and our ability to generate revenues could be delayed or precluded entirely, and our business, financial condition, results of operations and prospects could be significantly harmed.</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COVID-19 pandemic and government measures taken in response have also had a significant impact on our CROs, and we expect that they will face further disruption which may affect our ability to initiate and complete our nonclinical studies and clinical trials.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or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There can be no assurance that we will not encounter challenges or delays with CROs in the future or that these delays or challenges will not significantly harm our business, financial condition, results of operations and prospects.</w:t>
      </w:r>
    </w:p>
    <w:p>
      <w:pPr>
        <w:spacing w:after="0" w:line="18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We contract with third parties for the manufacture of OP-1250 for nonclinical studies and our ongoing clinical trials, and expect to continue to do so for additional clinical trials and ultimately for commercialization. This reliance on third parties increases the risk that we will not have sufficient quantities of OP-1250 or other drugs necessary for the development or commercialization of OP-1250 or such quantities at an acceptable cost, which could delay, prevent or impair our development or commercialization efforts.</w:t>
      </w:r>
    </w:p>
    <w:p>
      <w:pPr>
        <w:spacing w:after="0" w:line="20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do not currently have the infrastructure or internal capability to manufacture supplies of OP-1250 for use in development and commercialization. We rely, and expect to continue to rely, on third-party manufacturers for the production of OP-1250 for nonclinical studies and clinical trials under the guidance of members of our organization. We do not have long-term supply agreements for OP-1250. Furthermore, the raw materials for OP-1250 are sourced, in some cases, from a single-source supplier. If we were to experience an unexpected loss of supply of OP-1250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OP-1250 in the future will depend on the severity and duration of the spread of the virus, and the actions undertaken to contain COVID-19 or treat its effects.</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expect to continue to rely on third-party manufacturers for the commercial supply of OP-1250, if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205" w:lineRule="exact"/>
        <w:rPr>
          <w:sz w:val="20"/>
          <w:szCs w:val="20"/>
          <w:color w:val="auto"/>
        </w:rPr>
      </w:pPr>
    </w:p>
    <w:p>
      <w:pPr>
        <w:jc w:val="both"/>
        <w:ind w:left="720" w:right="79"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failure of the third party to manufacture OP-1250 according to our schedule, or at all, including if our third-party contractors give greater priority to the supply of other products over OP-1250 or otherwise do not satisfactorily perform according to the terms of the agreements between us and them;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disruptions resulting from the impact of public health pandemics or epidemics (including, for example, the ongoing COVID-19 pandemic;</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 reduction or termination of production or deliveries by suppliers, or the raising of prices or renegotiation of terms;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 termination or nonrenewal of arrangements or agreements by our third-party contractors at a time that is costly or inconvenient for us;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 breach by the third-party contractors of our agreements with them;</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 failure of third-party contractors to comply with applicable regulatory requirements;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 failure of the third party to manufacture OP-1250 according to our specifications;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 mislabeling of clinical supplies, potentially resulting in the wrong dose amounts being supplied or active drug or placebo not being properly identified;</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 misappropriation of our proprietary information, including our trade secrets and know-how.</w:t>
      </w:r>
    </w:p>
    <w:p>
      <w:pPr>
        <w:spacing w:after="0" w:line="22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do not have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OP-1250, or if it withdraws any such approval in the future, we may need to find alternative manufacturing facilities, which would significantly impact our ability to develop, obtain marketing approval for or market OP-1250,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OP-1250 or other drugs necessary for the development or commercialization of OP-1250 and significantly harm our business, financial condition, results of operations and prospects.</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Furthermore, if the third-party providers of therapies or therapies in development used in combination with OP-1250 are unable to produce sufficient quantities for clinical trials or for commercialization of OP-1250, or if the cost of combination therapies are prohibitive, our development and commercialization efforts would be impaired, which would significantly harm our business, financial condition, results of operations and prospects. For example, for our planned Phase 1b clinical trial of OP-1250 in combination with KISQALI® (ribociclib) or PIQRAY® (alpelisib), or the Novartis Study Drugs, in patients with metastatic ER+ breast cancer, we entered into a Clinical Collaboration and Supply Agreement with Novartis Institutes for BioMedical Research, Inc., or Novartis, or the Novartis Agreement. Under the terms of the Novartis Agreement, Novartis is providing KISQALI® (ribociclib) and PIQRAY® (alpelisib) for the clinical trial. If Novartis is unable to timely manufacture or provide KISQALI® (ribociclib) or PIQRAY® (alpelisib), or if the Novartis Agreement terminates and we are unable to obtain KISQALI® (ribociclib) or PIQRAY® (alpelisib) on the current terms, our planned Phase 1b</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clinical trial may be delayed and the cost to us to conduct this trial may significantly increase, which would significantly harm our business, financial condition, results of operations and prospects. For a description of the Novartis Agreement, see the section titled “Business - Clinical Trial Collaboration and Supply Agreement with Novartis” in our Annual Report on Form 10-K.</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current and anticipated future dependence upon others for the manufacture of OP-1250 or other drugs necessary for the development or commercialization of OP-1250 may adversely affect our future profit margins and our ability to commercialize any product candidates that receive marketing approval on a timely and competitive basis.</w:t>
      </w:r>
    </w:p>
    <w:p>
      <w:pPr>
        <w:spacing w:after="0" w:line="183"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OP-1250 for clinical trials or our product for patients, if approved, could be delayed or prevented.</w:t>
      </w:r>
    </w:p>
    <w:p>
      <w:pPr>
        <w:spacing w:after="0" w:line="19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nonclinical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significantly harm our business, financial condition, results of operations and prospects.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significantly harm our business, financial condition, results of operations and prospects.</w:t>
      </w:r>
    </w:p>
    <w:p>
      <w:pPr>
        <w:spacing w:after="0" w:line="19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9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From time to time, we may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203" w:lineRule="exact"/>
        <w:rPr>
          <w:sz w:val="20"/>
          <w:szCs w:val="20"/>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increased operating expenses and cash requirements;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the assumption of contingent liabilities;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the issuance of our equity securities;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assimilation of operations, intellectual property and products of an acquired company, including difficulties associated with integrating new personnel;</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the diversion of our management’s attention from our existing programs and initiatives in pursuing such a strategic merger or acquisition;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retention of key employees, the loss of key personnel and uncertainties in our ability to maintain key business relationships;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risks and uncertainties associated with the other party to such a transaction, including the prospects of that party and their existing products or product candidates and marketing approvals; and</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our inability to generate revenue from acquired technology and/or products sufficient to meet our objectives in undertaking the acquisition or even to offset the associated acquisition and maintenance costs.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18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have entered into collaborations with third parties for the development and commercialization of OP-1250. If those collaborations are not successful, we may not be able to capitalize on the market potential of OP-1250.</w:t>
      </w:r>
    </w:p>
    <w:p>
      <w:pPr>
        <w:spacing w:after="0" w:line="19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have third-party collaborators for the development and commercialization of OP-1250. Our likely collaborators for any future collaboration arrangements include large and mid-size pharmaceutical companies, regional and national pharmaceutical companies and biotechnology companies.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have, and will likely continue to have, limited control over the amount and timing of resources that our collaborators dedicate to the development or commercialization of OP-1250. Our ability to generate revenues from these arrangements will depend on our collaborators’ abilities and efforts to successfully perform the functions assigned to them in these arrangements. Collaborations involving OP-1250 could pose numerous risks to us, including the following:</w:t>
      </w:r>
    </w:p>
    <w:p>
      <w:pPr>
        <w:spacing w:after="0" w:line="202" w:lineRule="exact"/>
        <w:rPr>
          <w:sz w:val="20"/>
          <w:szCs w:val="20"/>
          <w:color w:val="auto"/>
        </w:rPr>
      </w:pPr>
    </w:p>
    <w:p>
      <w:pPr>
        <w:ind w:left="720" w:right="79" w:hanging="319"/>
        <w:spacing w:after="0" w:line="246"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collaborators have significant discretion in determining the efforts and resources that they will apply to these collaborations and may not perform their obligations as expected;</w:t>
      </w:r>
    </w:p>
    <w:p>
      <w:pPr>
        <w:spacing w:after="0" w:line="196"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collaborators may deemphasize or not pursue development and commercialization of OP-1250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202"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02"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collaborators could independently develop, or develop with third parties, products that compete directly or indirectly with OP-1250 if the collaborators believe that competitive products are more likely to be successfully developed or can be commercialized under terms that are more economically attractive than ours;</w:t>
      </w:r>
    </w:p>
    <w:p>
      <w:pPr>
        <w:spacing w:after="0" w:line="204"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a collaborator with marketing and distribution rights to multiple products may not commit sufficient resources to the marketing and distribution of our product relative to other products;</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collaborators may not properly obtain, maintain, defend or enforce our intellectual property rights or may use our proprietary information and intellectual property in such a way as to invite litigation or other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79"/>
        <w:spacing w:after="0"/>
        <w:rPr>
          <w:sz w:val="20"/>
          <w:szCs w:val="20"/>
          <w:color w:val="auto"/>
        </w:rPr>
      </w:pPr>
      <w:r>
        <w:rPr>
          <w:rFonts w:ascii="Arial" w:cs="Arial" w:eastAsia="Arial" w:hAnsi="Arial"/>
          <w:sz w:val="18"/>
          <w:szCs w:val="18"/>
          <w:color w:val="231F20"/>
        </w:rPr>
        <w:t>intellectual property related proceedings that could jeopardize or invalidate our proprietary information and intellectual property or expose us to potential litigation or other intellectual property related proceedings;</w:t>
      </w:r>
    </w:p>
    <w:p>
      <w:pPr>
        <w:spacing w:after="0" w:line="203" w:lineRule="exact"/>
        <w:rPr>
          <w:sz w:val="20"/>
          <w:szCs w:val="20"/>
          <w:color w:val="auto"/>
        </w:rPr>
      </w:pPr>
    </w:p>
    <w:p>
      <w:pPr>
        <w:jc w:val="both"/>
        <w:ind w:left="720" w:right="79"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disputes may arise between the collaborators and us that result in the delay or termination of the research, development or commercialization of OP-1250 or that result in costly litigation or arbitration that diverts management attention and resources;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collaborations may be terminated and, if terminated, may result in a need for additional capital to pursue further development or commercialization of the applicable product candidates;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collaboration agreements may not lead to development or commercialization of product candidates in the most efficient manner or at all; and</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if a collaborator of ours were to be involved in a business combination, the continued pursuit and emphasis on our drug development or commercialization program could be delayed, diminished or terminated.</w:t>
      </w:r>
    </w:p>
    <w:p>
      <w:pPr>
        <w:spacing w:after="0" w:line="18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If we decide to establish collaborations in the future, but are not able to establish those collaborations on commercially reasonable terms, we may have to alter our development and commercialization plans.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drug development programs and the potential commercialization of OP-1250 or any future product candidates we may develop will require substantial additional cash to fund expenses. We may continue to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we seek collaborations in the future, we will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OP-1250 or any future product candidates we may develop.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21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we elect to increase our expenditures to fund development or commercialization activities on our own, we may need to obtain additional capital, which may not be available to us on acceptable terms or at all. If we do not have sufficient funds, we may not be able to further develop OP-1250 or any future product candidates we may develop or bring them to market and generate product revenue.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common stock is currently listed on The Nasdaq Global Select Market under the symbol “OLMA.” However, we cannot assure you that an active trading market for our common stock will be sustained. Accordingly, we cannot assure you of the liquidity of any trading market, your ability to sell your shares of our common stock when desired, or the prices that you may obtain for your shares. Further, an inactive market may also impair our ability to raise capital by selling our common stock and may impair our ability to enter into strategic partnerships or acquire businesses, products, or technologies using our common stock as consideration.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234"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The trading price of our common stock may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Broad market and industry factors may negatively affect the market price of our common stock, regardless of our actual operating performance. In addition to the factors discussed in this “Risk Factors” section and elsewhere in this Quarterly Report, these factors include:</w:t>
      </w:r>
    </w:p>
    <w:p>
      <w:pPr>
        <w:spacing w:after="0" w:line="203" w:lineRule="exact"/>
        <w:rPr>
          <w:sz w:val="20"/>
          <w:szCs w:val="20"/>
          <w:color w:val="auto"/>
        </w:rPr>
      </w:pPr>
    </w:p>
    <w:p>
      <w:pPr>
        <w:ind w:left="720" w:right="79" w:hanging="319"/>
        <w:spacing w:after="0" w:line="246"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the timing and results of nonclinical studies and clinical trials of OP-1250 or any future product candidates we may develop or those of our competitors;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the success of competitive products or announcements by potential competitors of their product development efforts;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regulatory actions with respect to our product candidate or our competitors’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actual or anticipated changes in our growth rate relative to our competitors;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regulatory or legal developments in the United States and other countries;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the recruitment or departure of key personnel;</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announcements by us or our competitors of significant acquisitions, strategic collaborations, joint ventures, collaborations or capital commitments;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actual or anticipated changes in estimates as to financial results, development timelines or recommendations by securities analysts;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fluctuations in the valuation of companies perceived by investors to be comparable to us;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market conditions in the pharmaceutical and biotechnology sector;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231F20"/>
        </w:rPr>
        <w:t>changes in the structure of healthcare payment systems;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231F20"/>
        </w:rPr>
        <w:t>share price and volume fluctuations attributable to inconsistent trading volume levels of our shares;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231F20"/>
        </w:rPr>
        <w:t>announcement or expectation of additional financing efforts;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231F20"/>
        </w:rPr>
        <w:t>sales of our common stock by us, our insiders or our other stockholders;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231F20"/>
        </w:rPr>
        <w:t>general economic, industry and market conditions.</w:t>
      </w:r>
    </w:p>
    <w:p>
      <w:pPr>
        <w:spacing w:after="0" w:line="22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the trading prices for common stock of other biopharmaceutical companies have been highly volatile as a result of factors unrelated to the specific company or its technology, as well as due to the COVID-19 pandemic. The COVID-19 pandemic continues to rapidly evolve and the extent to which it may impact our business, nonclinical studies and clinical trials will depend on future developments, which are highly uncertain and cannot be predicted with confidence.</w:t>
      </w:r>
    </w:p>
    <w:p>
      <w:pPr>
        <w:spacing w:after="0" w:line="202"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9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trading market for our common stock is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76"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97" w:lineRule="exact"/>
        <w:rPr>
          <w:sz w:val="20"/>
          <w:szCs w:val="20"/>
          <w:color w:val="auto"/>
        </w:rPr>
      </w:pPr>
    </w:p>
    <w:p>
      <w:pPr>
        <w:ind w:left="720" w:right="79" w:hanging="319"/>
        <w:spacing w:after="0" w:line="246"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timing and variations in the level of expense related to the ongoing development of OP-1250 or future development programs;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timing and status of enrollment for our clinical trials;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impacts from the COVID-19 pandemic on us or third parties with which we engage;</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results of clinical trials, or the addition or termination of clinical trials or funding support by us or potential future partners;</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our execution of any collaboration, licensing or similar arrangements, and the timing of payments we may make or receive under potential future arrangements or the termination or modification of any such potential future arrangements;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any intellectual property infringement, misappropriation or violation lawsuit or opposition, interference or cancellation proceeding in which we may become involved;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additions and departures of key personnel;</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strategic decisions by us or our competitors, such as acquisitions, divestitures, spin-offs, joint ventures, strategic investments or changes in business strategy;</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if OP-1250 or any future product candidate we may develop receive regulatory approval, the timing and terms of such approval and market acceptance and demand for such product candidates;</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the timing and cost to establish a sales, marketing and distribution infrastructure to commercialize any products for which we may obtain marketing approval and intend to commercialize on our own or jointly with current or future collaborators;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regulatory developments affecting OP-1250 or any future product candidate we may develop or those of our competitors;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changes in general market and economic conditions.</w:t>
      </w:r>
    </w:p>
    <w:p>
      <w:pPr>
        <w:spacing w:after="0" w:line="22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8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executive officers, directors, significant stockholders and their respective affiliates beneficially own a significant percentage of our common stock. Therefore, these stockholders are able to significantly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203"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As of September 30, 2021, we had 39,681,298 shares of common stock outstanding. Shares issued upon the exercise of stock options and warrants outstanding under our equity incentive plans or pursuant to future awards granted under those plans will become available for sale in the public market to the extent permitted by the provisions of applicable vesting schedules, and Rules 144 and 701 under the Securities Act.</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Moreover, certain holders of shares of our common stock, have rights, subject to certain conditions, to require us to file registration statements covering the sale of their shares or to include their shares in registration statements that we may file for ourselves or our other stockholders. We also register the offer and sale of all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applicable securities laws.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18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OP-1250 or future product candidates we may develop on unfavorable terms to us.</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OP-1250 or future product candidates we may develop,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8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205" w:lineRule="exact"/>
        <w:rPr>
          <w:sz w:val="20"/>
          <w:szCs w:val="20"/>
          <w:color w:val="auto"/>
        </w:rPr>
      </w:pPr>
    </w:p>
    <w:p>
      <w:pPr>
        <w:ind w:left="720" w:right="79" w:hanging="319"/>
        <w:spacing w:after="0" w:line="246"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not being required to comply with the auditor attestation requirements of Section 404 of the Sarbanes-Oxley Act of 2002, or the Sarbanes-Oxley Act;</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reduced disclosure obligations regarding executive compensation in our annual and periodic reports and proxy statements; and</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exemptions from the requirements of holding nonbinding advisory stockholder votes on executive compensation and stockholder approval of any golden parachute payments not previously approved.</w:t>
      </w:r>
    </w:p>
    <w:p>
      <w:pPr>
        <w:spacing w:after="0" w:line="19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03"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 million of equity securities held by non-affiliates; (3) the date on which we have issued more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than $1.0 billion in non-convertible debt securities during the prior three-year period; and (4) December 31, 2025. We will be deemed a “large accelerated filer” as of the end of the fourth quarter of 2021 as our public float as of June 30, 2021 exceeded $700 million.</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intend to take advantage of the extended transition period for adopting new or revised accounting standards under the JOBS Act as an emerging growth company. As a result of this election, our financial statements may not be comparable to companies that comply with public company effective dates.</w:t>
      </w:r>
    </w:p>
    <w:p>
      <w:pPr>
        <w:spacing w:after="0" w:line="18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result in more litigation and divert management’s attention.</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or the Exchange Act, the Sarbanes-Oxley Act, the Dodd-Frank Wall Street Reform and Consumer Protection Act, the listing requirements of The Nasdaq Stock Market LLC and other applicable securities rules and regulations. Complying with these rules and regulations has increased and will continue to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may also need to hire additional employees or engage outside consultants to comply with these requirements, which will increase our costs and expenses.</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spacing w:after="0" w:line="20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These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as a result of our disclosure obligations as a public company, our business and financial condition has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 financial condition, results of operations and prospects.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96"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During August 2020, in connection with the preparation of our financial statements as of and for the years ended December 31, 2019 and 2018, we identified material weaknesses in our control over financial reporting. While these materials weaknesses did not result in a misstatement for the years ended December 31, 2019 and 2018, these material weaknesses could have resulted in a misstatement of account balances or disclosures that would have resulted in a material misstatement to the annual or interim financial statements that would not be prevented or detected. To remediate the material weakness in our internal control over financial reporting and address the material weakness in our accounting processes, we established, and continue to establish, more robust accounting policies and procedures, reviews on the adoption of new accounting positions and the need for financial statement disclosures, and selection and engagement of consultants to assist us in determining positions and evaluating new accounting policies. As of December 31, 2020, we have remediated these material weaknesses. While we have implemented processes and controls over financial reporting to address the historical internal control deficiencies, there remains risk that future deficiencies may arise. Overall, we will continue with the implementation of additional measures around internal controls and these will require validation and testing of the design and operating effectiveness of internal controls over a sustained period of financial reporting cycles. If we are unable to avoid future material weaknesses, our operations, financial reporting, or financial results could be harmed. Inferior internal controls could also cause investors to lose confidence in our reported financial information, which could have a negative effect on the trading price of our stock.</w:t>
      </w:r>
    </w:p>
    <w:p>
      <w:pPr>
        <w:spacing w:after="0" w:line="200" w:lineRule="exact"/>
        <w:rPr>
          <w:sz w:val="20"/>
          <w:szCs w:val="20"/>
          <w:color w:val="auto"/>
        </w:rPr>
      </w:pPr>
    </w:p>
    <w:p>
      <w:pPr>
        <w:spacing w:after="0" w:line="21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 an emerging growth company, our independent registered public accounting firm will not be required to attest to the effectiveness of our internal controls over financial reporting pursuant to Section 404 of the Sarbanes- Oxley Act. We could be an emerging growth company until December 31, 2025.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market price of our common stock has been and may continue to be volatile and, in the past, companies that have experienced volatility in the market price of their stock have been subject to securities class action litigation and shareholder derivative actions. We may be the target of these types of litigation and claims in the future. These claims and litigation against us could result in substantial costs and divert our management’s attention from other business concerns, which could seriously harm our business, financial condition, results of operations and prospects.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our common stock, which is not certain.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amended and restated certificate of incorporation and amended and restated bylaws may discourage, delay or prevent a merger, acquisition or other change in control of us that stockholders may consider favorable, including transactions in which holders of our common stock might otherwise receive a premium.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08" w:lineRule="exact"/>
        <w:rPr>
          <w:sz w:val="20"/>
          <w:szCs w:val="20"/>
          <w:color w:val="auto"/>
        </w:rPr>
      </w:pPr>
    </w:p>
    <w:p>
      <w:pPr>
        <w:ind w:left="720" w:hanging="319"/>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231F20"/>
        </w:rPr>
        <w:t>establish a classified board of directors such that not all members of the board are elected at one time;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231F20"/>
        </w:rPr>
        <w:t>allow the authorized number of our directors to be changed only by resolution of our board of directors;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231F20"/>
        </w:rPr>
        <w:t>limit the manner in which stockholders can remove directors from the board;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231F20"/>
        </w:rPr>
        <w:t>establish advance notice requirements for stockholder proposals that can be acted on at stockholder meetings and nominations to our board of directors;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231F20"/>
        </w:rPr>
        <w:t>require that stockholder actions must be effected at a duly called stockholder meeting and prohibit actions by our stockholders by written consent;</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231F20"/>
        </w:rPr>
        <w:t>prohibit our stockholders from calling a special meeting of our stockholders;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231F20"/>
        </w:rPr>
        <w:t>prohibit cumulative voting;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79" w:hanging="319"/>
        <w:spacing w:after="0" w:line="238"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231F20"/>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195" w:lineRule="exact"/>
        <w:rPr>
          <w:rFonts w:ascii="Arial" w:cs="Arial" w:eastAsia="Arial" w:hAnsi="Arial"/>
          <w:sz w:val="18"/>
          <w:szCs w:val="18"/>
          <w:color w:val="auto"/>
        </w:rPr>
      </w:pPr>
    </w:p>
    <w:p>
      <w:pPr>
        <w:jc w:val="both"/>
        <w:ind w:left="720" w:right="79" w:hanging="319"/>
        <w:spacing w:after="0" w:line="235"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231F20"/>
        </w:rPr>
        <w:t>require the approval of the holders of at least 66</w:t>
      </w:r>
      <w:r>
        <w:rPr>
          <w:rFonts w:ascii="Arial" w:cs="Arial" w:eastAsia="Arial" w:hAnsi="Arial"/>
          <w:sz w:val="20"/>
          <w:szCs w:val="20"/>
          <w:color w:val="231F20"/>
          <w:vertAlign w:val="superscript"/>
        </w:rPr>
        <w:t>2⁄3</w:t>
      </w:r>
      <w:r>
        <w:rPr>
          <w:rFonts w:ascii="Arial" w:cs="Arial" w:eastAsia="Arial" w:hAnsi="Arial"/>
          <w:sz w:val="18"/>
          <w:szCs w:val="18"/>
          <w:color w:val="231F20"/>
        </w:rPr>
        <w:t>% of the votes that all our stockholders would be entitled to cast to amend or repeal certain provisions of our amended and restated certificate of incorporations or amended and restated bylaws.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8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9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203" w:lineRule="exact"/>
        <w:rPr>
          <w:sz w:val="20"/>
          <w:szCs w:val="20"/>
          <w:color w:val="auto"/>
        </w:rPr>
      </w:pPr>
    </w:p>
    <w:p>
      <w:pPr>
        <w:ind w:left="720" w:hanging="319"/>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231F20"/>
        </w:rPr>
        <w:t>any derivative action or proceeding brought on our behalf;</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231F20"/>
        </w:rPr>
        <w:t>any action asserting a claim of breach of fiduciary duty;</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231F20"/>
        </w:rPr>
        <w:t>any action asserting a claim against us arising under the DGCL, our amended and restated certificate of incorporation or our amended and restated bylaws; and</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231F20"/>
        </w:rPr>
        <w:t>any action asserting a claim against us that is governed by the internal-affairs doctrine or otherwise related to our internal affairs.</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This exclusive-forum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results of operations and prospects.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 from our Initial Public Offering of Common Stock</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November 2020, our Registration Statement on Form S-1 (No. 333-249748) was declared effective by the SEC and we issued and sold an aggregate of 12,650,000 shares of common stock (inclusive of 1,650,000 shares of common stock pursuant to the underwriters’ exercise of their option to purchase additional shares) at a public offering price of $19.00 per share for aggregate net cash proceeds of approximately $220.6 million, after deducting underwriting discounts, commissions and offering costs. No payments for such expenses were made directly or indirectly to (i) any of our officers or directors or their associates, (ii) any persons owning 10% or more of any class of our equity securities or (iii) any of our affiliates.</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sale and issuance of 12,650,000 shares in the IPO closed on November 23, 2020, J.P. Morgan Securities LLC, Jefferies LLC and Cowen and Company, LLC acted as joint book-running managers for the offering.</w:t>
      </w:r>
    </w:p>
    <w:p>
      <w:pPr>
        <w:spacing w:after="0" w:line="19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November 19, 2020.</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5240" w:type="dxa"/>
            <w:vAlign w:val="bottom"/>
            <w:gridSpan w:val="11"/>
          </w:tcPr>
          <w:p>
            <w:pPr>
              <w:spacing w:after="0"/>
              <w:rPr>
                <w:sz w:val="20"/>
                <w:szCs w:val="20"/>
                <w:color w:val="auto"/>
              </w:rPr>
            </w:pPr>
            <w:r>
              <w:rPr>
                <w:rFonts w:ascii="Arial" w:cs="Arial" w:eastAsia="Arial" w:hAnsi="Arial"/>
                <w:sz w:val="18"/>
                <w:szCs w:val="18"/>
                <w:b w:val="1"/>
                <w:bCs w:val="1"/>
                <w:color w:val="auto"/>
              </w:rPr>
              <w:t>Item 6. Exhibits.</w:t>
            </w:r>
          </w:p>
        </w:tc>
        <w:tc>
          <w:tcPr>
            <w:tcW w:w="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260" w:type="dxa"/>
            <w:vAlign w:val="bottom"/>
            <w:gridSpan w:val="13"/>
          </w:tcPr>
          <w:p>
            <w:pPr>
              <w:spacing w:after="0"/>
              <w:rPr>
                <w:sz w:val="20"/>
                <w:szCs w:val="20"/>
                <w:color w:val="auto"/>
              </w:rPr>
            </w:pPr>
            <w:r>
              <w:rPr>
                <w:rFonts w:ascii="Arial" w:cs="Arial" w:eastAsia="Arial" w:hAnsi="Arial"/>
                <w:sz w:val="18"/>
                <w:szCs w:val="18"/>
                <w:color w:val="auto"/>
              </w:rPr>
              <w:t>Furnish the exhibits required by Item 601 of Regulation S-K (§ 229.601 of this chapter).</w:t>
            </w: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Exhibit</w:t>
            </w: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87"/>
        </w:trPr>
        <w:tc>
          <w:tcPr>
            <w:tcW w:w="78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1090"/>
              <w:spacing w:after="0" w:line="187" w:lineRule="exact"/>
              <w:rPr>
                <w:sz w:val="20"/>
                <w:szCs w:val="20"/>
                <w:color w:val="auto"/>
              </w:rPr>
            </w:pPr>
            <w:r>
              <w:rPr>
                <w:rFonts w:ascii="Arial" w:cs="Arial" w:eastAsia="Arial" w:hAnsi="Arial"/>
                <w:sz w:val="18"/>
                <w:szCs w:val="18"/>
                <w:b w:val="1"/>
                <w:bCs w:val="1"/>
                <w:color w:val="auto"/>
                <w:w w:val="99"/>
              </w:rPr>
              <w:t>Schedule</w:t>
            </w:r>
          </w:p>
        </w:tc>
        <w:tc>
          <w:tcPr>
            <w:tcW w:w="700" w:type="dxa"/>
            <w:vAlign w:val="bottom"/>
          </w:tcPr>
          <w:p>
            <w:pPr>
              <w:spacing w:after="0"/>
              <w:rPr>
                <w:sz w:val="16"/>
                <w:szCs w:val="16"/>
                <w:color w:val="auto"/>
              </w:rPr>
            </w:pPr>
          </w:p>
        </w:tc>
        <w:tc>
          <w:tcPr>
            <w:tcW w:w="940" w:type="dxa"/>
            <w:vAlign w:val="bottom"/>
          </w:tcPr>
          <w:p>
            <w:pPr>
              <w:jc w:val="center"/>
              <w:spacing w:after="0" w:line="187" w:lineRule="exact"/>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25"/>
        </w:trPr>
        <w:tc>
          <w:tcPr>
            <w:tcW w:w="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Number</w:t>
            </w:r>
          </w:p>
        </w:tc>
        <w:tc>
          <w:tcPr>
            <w:tcW w:w="14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9"/>
          </w:tcPr>
          <w:p>
            <w:pPr>
              <w:ind w:left="240"/>
              <w:spacing w:after="0"/>
              <w:rPr>
                <w:sz w:val="20"/>
                <w:szCs w:val="20"/>
                <w:color w:val="auto"/>
              </w:rPr>
            </w:pPr>
            <w:r>
              <w:rPr>
                <w:rFonts w:ascii="Arial" w:cs="Arial" w:eastAsia="Arial" w:hAnsi="Arial"/>
                <w:sz w:val="18"/>
                <w:szCs w:val="18"/>
                <w:b w:val="1"/>
                <w:bCs w:val="1"/>
                <w:color w:val="auto"/>
              </w:rPr>
              <w:t>Description</w:t>
            </w:r>
          </w:p>
        </w:tc>
        <w:tc>
          <w:tcPr>
            <w:tcW w:w="6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rPr>
              <w:t>Form</w:t>
            </w:r>
          </w:p>
        </w:tc>
        <w:tc>
          <w:tcPr>
            <w:tcW w:w="13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File Number</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183"/>
        </w:trPr>
        <w:tc>
          <w:tcPr>
            <w:tcW w:w="780" w:type="dxa"/>
            <w:vAlign w:val="bottom"/>
          </w:tcPr>
          <w:p>
            <w:pPr>
              <w:spacing w:after="0" w:line="182" w:lineRule="exact"/>
              <w:rPr>
                <w:sz w:val="20"/>
                <w:szCs w:val="20"/>
                <w:color w:val="auto"/>
              </w:rPr>
            </w:pPr>
            <w:r>
              <w:rPr>
                <w:rFonts w:ascii="Arial" w:cs="Arial" w:eastAsia="Arial" w:hAnsi="Arial"/>
                <w:sz w:val="18"/>
                <w:szCs w:val="18"/>
                <w:color w:val="auto"/>
              </w:rPr>
              <w:t>3.1</w:t>
            </w:r>
          </w:p>
        </w:tc>
        <w:tc>
          <w:tcPr>
            <w:tcW w:w="406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r:id="rId133">
              <w:r>
                <w:rPr>
                  <w:rFonts w:ascii="Arial" w:cs="Arial" w:eastAsia="Arial" w:hAnsi="Arial"/>
                  <w:sz w:val="18"/>
                  <w:szCs w:val="18"/>
                  <w:color w:val="0000EE"/>
                  <w:w w:val="99"/>
                </w:rPr>
                <w:t>Amended and Restated Certificate of Incorporation</w:t>
              </w:r>
            </w:hyperlink>
          </w:p>
        </w:tc>
        <w:tc>
          <w:tcPr>
            <w:tcW w:w="400" w:type="dxa"/>
            <w:vAlign w:val="bottom"/>
            <w:gridSpan w:val="3"/>
          </w:tcPr>
          <w:p>
            <w:pPr>
              <w:spacing w:after="0"/>
              <w:rPr>
                <w:sz w:val="15"/>
                <w:szCs w:val="15"/>
                <w:color w:val="auto"/>
              </w:rPr>
            </w:pPr>
          </w:p>
        </w:tc>
        <w:tc>
          <w:tcPr>
            <w:tcW w:w="660" w:type="dxa"/>
            <w:vAlign w:val="bottom"/>
          </w:tcPr>
          <w:p>
            <w:pPr>
              <w:jc w:val="center"/>
              <w:ind w:left="90"/>
              <w:spacing w:after="0" w:line="182" w:lineRule="exact"/>
              <w:rPr>
                <w:sz w:val="20"/>
                <w:szCs w:val="20"/>
                <w:color w:val="auto"/>
              </w:rPr>
            </w:pPr>
            <w:r>
              <w:rPr>
                <w:rFonts w:ascii="Arial" w:cs="Arial" w:eastAsia="Arial" w:hAnsi="Arial"/>
                <w:sz w:val="18"/>
                <w:szCs w:val="18"/>
                <w:color w:val="auto"/>
                <w:w w:val="99"/>
              </w:rPr>
              <w:t>8-K</w:t>
            </w:r>
          </w:p>
        </w:tc>
        <w:tc>
          <w:tcPr>
            <w:tcW w:w="1360" w:type="dxa"/>
            <w:vAlign w:val="bottom"/>
          </w:tcPr>
          <w:p>
            <w:pPr>
              <w:jc w:val="center"/>
              <w:ind w:left="90"/>
              <w:spacing w:after="0" w:line="182" w:lineRule="exact"/>
              <w:rPr>
                <w:sz w:val="20"/>
                <w:szCs w:val="20"/>
                <w:color w:val="auto"/>
              </w:rPr>
            </w:pPr>
            <w:r>
              <w:rPr>
                <w:rFonts w:ascii="Arial" w:cs="Arial" w:eastAsia="Arial" w:hAnsi="Arial"/>
                <w:sz w:val="18"/>
                <w:szCs w:val="18"/>
                <w:color w:val="auto"/>
                <w:w w:val="99"/>
              </w:rPr>
              <w:t>001-39712</w:t>
            </w:r>
          </w:p>
        </w:tc>
        <w:tc>
          <w:tcPr>
            <w:tcW w:w="700" w:type="dxa"/>
            <w:vAlign w:val="bottom"/>
          </w:tcPr>
          <w:p>
            <w:pPr>
              <w:jc w:val="center"/>
              <w:spacing w:after="0" w:line="182" w:lineRule="exact"/>
              <w:rPr>
                <w:sz w:val="20"/>
                <w:szCs w:val="20"/>
                <w:color w:val="auto"/>
              </w:rPr>
            </w:pPr>
            <w:r>
              <w:rPr>
                <w:rFonts w:ascii="Arial" w:cs="Arial" w:eastAsia="Arial" w:hAnsi="Arial"/>
                <w:sz w:val="18"/>
                <w:szCs w:val="18"/>
                <w:color w:val="auto"/>
              </w:rPr>
              <w:t>3.1</w:t>
            </w: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99"/>
              </w:rPr>
              <w:t>11/23/2020</w:t>
            </w: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252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r:id="rId134">
              <w:r>
                <w:rPr>
                  <w:rFonts w:ascii="Arial" w:cs="Arial" w:eastAsia="Arial" w:hAnsi="Arial"/>
                  <w:sz w:val="18"/>
                  <w:szCs w:val="18"/>
                  <w:color w:val="0000EE"/>
                  <w:w w:val="99"/>
                </w:rPr>
                <w:t>Amended and Restated Bylaws</w:t>
              </w:r>
            </w:hyperlink>
          </w:p>
        </w:tc>
        <w:tc>
          <w:tcPr>
            <w:tcW w:w="1940" w:type="dxa"/>
            <w:vAlign w:val="bottom"/>
            <w:gridSpan w:val="8"/>
          </w:tcPr>
          <w:p>
            <w:pPr>
              <w:spacing w:after="0"/>
              <w:rPr>
                <w:sz w:val="17"/>
                <w:szCs w:val="17"/>
                <w:color w:val="auto"/>
              </w:rPr>
            </w:pPr>
          </w:p>
        </w:tc>
        <w:tc>
          <w:tcPr>
            <w:tcW w:w="660" w:type="dxa"/>
            <w:vAlign w:val="bottom"/>
          </w:tcPr>
          <w:p>
            <w:pPr>
              <w:jc w:val="center"/>
              <w:ind w:left="90"/>
              <w:spacing w:after="0" w:line="196" w:lineRule="exact"/>
              <w:rPr>
                <w:sz w:val="20"/>
                <w:szCs w:val="20"/>
                <w:color w:val="auto"/>
              </w:rPr>
            </w:pPr>
            <w:r>
              <w:rPr>
                <w:rFonts w:ascii="Arial" w:cs="Arial" w:eastAsia="Arial" w:hAnsi="Arial"/>
                <w:sz w:val="18"/>
                <w:szCs w:val="18"/>
                <w:color w:val="auto"/>
                <w:w w:val="99"/>
              </w:rPr>
              <w:t>8-K</w:t>
            </w:r>
          </w:p>
        </w:tc>
        <w:tc>
          <w:tcPr>
            <w:tcW w:w="1360" w:type="dxa"/>
            <w:vAlign w:val="bottom"/>
          </w:tcPr>
          <w:p>
            <w:pPr>
              <w:jc w:val="center"/>
              <w:ind w:left="90"/>
              <w:spacing w:after="0" w:line="196" w:lineRule="exact"/>
              <w:rPr>
                <w:sz w:val="20"/>
                <w:szCs w:val="20"/>
                <w:color w:val="auto"/>
              </w:rPr>
            </w:pPr>
            <w:r>
              <w:rPr>
                <w:rFonts w:ascii="Arial" w:cs="Arial" w:eastAsia="Arial" w:hAnsi="Arial"/>
                <w:sz w:val="18"/>
                <w:szCs w:val="18"/>
                <w:color w:val="auto"/>
                <w:w w:val="99"/>
              </w:rPr>
              <w:t>001-39712</w:t>
            </w: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rPr>
              <w:t>3.2</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9"/>
              </w:rPr>
              <w:t>11/23/2020</w:t>
            </w: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4460" w:type="dxa"/>
            <w:vAlign w:val="bottom"/>
            <w:gridSpan w:val="10"/>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Certification of Chief Executive Officer Pursuant to</w:t>
              </w:r>
            </w:hyperlink>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80" w:type="dxa"/>
            <w:vAlign w:val="bottom"/>
          </w:tcPr>
          <w:p>
            <w:pPr>
              <w:spacing w:after="0"/>
              <w:rPr>
                <w:sz w:val="15"/>
                <w:szCs w:val="15"/>
                <w:color w:val="auto"/>
              </w:rPr>
            </w:pPr>
          </w:p>
        </w:tc>
        <w:tc>
          <w:tcPr>
            <w:tcW w:w="4460" w:type="dxa"/>
            <w:vAlign w:val="bottom"/>
            <w:gridSpan w:val="10"/>
          </w:tcPr>
          <w:p>
            <w:pPr>
              <w:spacing w:after="0" w:line="182" w:lineRule="exact"/>
              <w:rPr>
                <w:rFonts w:ascii="Arial" w:cs="Arial" w:eastAsia="Arial" w:hAnsi="Arial"/>
                <w:sz w:val="18"/>
                <w:szCs w:val="18"/>
                <w:color w:val="0000EE"/>
              </w:rPr>
            </w:pPr>
            <w:hyperlink w:anchor="page104">
              <w:r>
                <w:rPr>
                  <w:rFonts w:ascii="Arial" w:cs="Arial" w:eastAsia="Arial" w:hAnsi="Arial"/>
                  <w:sz w:val="18"/>
                  <w:szCs w:val="18"/>
                  <w:color w:val="0000EE"/>
                </w:rPr>
                <w:t>Rules 13a-14(a) and 15d-14(a) under the Securities</w:t>
              </w:r>
            </w:hyperlink>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412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104">
              <w:r>
                <w:rPr>
                  <w:rFonts w:ascii="Arial" w:cs="Arial" w:eastAsia="Arial" w:hAnsi="Arial"/>
                  <w:sz w:val="18"/>
                  <w:szCs w:val="18"/>
                  <w:color w:val="0000EE"/>
                </w:rPr>
                <w:t>Exchange Act of 1934, as Adopted Pursuant to</w:t>
              </w:r>
            </w:hyperlink>
          </w:p>
        </w:tc>
        <w:tc>
          <w:tcPr>
            <w:tcW w:w="34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4460" w:type="dxa"/>
            <w:vAlign w:val="bottom"/>
            <w:gridSpan w:val="10"/>
          </w:tcPr>
          <w:p>
            <w:pPr>
              <w:spacing w:after="0" w:line="182" w:lineRule="exact"/>
              <w:rPr>
                <w:rFonts w:ascii="Arial" w:cs="Arial" w:eastAsia="Arial" w:hAnsi="Arial"/>
                <w:sz w:val="18"/>
                <w:szCs w:val="18"/>
                <w:color w:val="0000EE"/>
              </w:rPr>
            </w:pPr>
            <w:hyperlink w:anchor="page104">
              <w:r>
                <w:rPr>
                  <w:rFonts w:ascii="Arial" w:cs="Arial" w:eastAsia="Arial" w:hAnsi="Arial"/>
                  <w:sz w:val="18"/>
                  <w:szCs w:val="18"/>
                  <w:color w:val="0000EE"/>
                </w:rPr>
                <w:t>Section 302 of the Sarbanes-Oxley Act of 2002.</w:t>
              </w:r>
            </w:hyperlink>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400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Certification of Chief Financial Officer Pursuant to</w:t>
              </w:r>
            </w:hyperlink>
          </w:p>
        </w:tc>
        <w:tc>
          <w:tcPr>
            <w:tcW w:w="46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4460" w:type="dxa"/>
            <w:vAlign w:val="bottom"/>
            <w:gridSpan w:val="10"/>
          </w:tcPr>
          <w:p>
            <w:pPr>
              <w:spacing w:after="0" w:line="182" w:lineRule="exact"/>
              <w:rPr>
                <w:rFonts w:ascii="Arial" w:cs="Arial" w:eastAsia="Arial" w:hAnsi="Arial"/>
                <w:sz w:val="18"/>
                <w:szCs w:val="18"/>
                <w:color w:val="0000EE"/>
              </w:rPr>
            </w:pPr>
            <w:hyperlink w:anchor="page105">
              <w:r>
                <w:rPr>
                  <w:rFonts w:ascii="Arial" w:cs="Arial" w:eastAsia="Arial" w:hAnsi="Arial"/>
                  <w:sz w:val="18"/>
                  <w:szCs w:val="18"/>
                  <w:color w:val="0000EE"/>
                </w:rPr>
                <w:t>Rules 13a-14(a) and 15d-14(a) under the Securities</w:t>
              </w:r>
            </w:hyperlink>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412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105">
              <w:r>
                <w:rPr>
                  <w:rFonts w:ascii="Arial" w:cs="Arial" w:eastAsia="Arial" w:hAnsi="Arial"/>
                  <w:sz w:val="18"/>
                  <w:szCs w:val="18"/>
                  <w:color w:val="0000EE"/>
                </w:rPr>
                <w:t>Exchange Act of 1934, as Adopted Pursuant to</w:t>
              </w:r>
            </w:hyperlink>
          </w:p>
        </w:tc>
        <w:tc>
          <w:tcPr>
            <w:tcW w:w="34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4460" w:type="dxa"/>
            <w:vAlign w:val="bottom"/>
            <w:gridSpan w:val="10"/>
          </w:tcPr>
          <w:p>
            <w:pPr>
              <w:spacing w:after="0" w:line="182" w:lineRule="exact"/>
              <w:rPr>
                <w:rFonts w:ascii="Arial" w:cs="Arial" w:eastAsia="Arial" w:hAnsi="Arial"/>
                <w:sz w:val="18"/>
                <w:szCs w:val="18"/>
                <w:color w:val="0000EE"/>
              </w:rPr>
            </w:pPr>
            <w:hyperlink w:anchor="page105">
              <w:r>
                <w:rPr>
                  <w:rFonts w:ascii="Arial" w:cs="Arial" w:eastAsia="Arial" w:hAnsi="Arial"/>
                  <w:sz w:val="18"/>
                  <w:szCs w:val="18"/>
                  <w:color w:val="0000EE"/>
                </w:rPr>
                <w:t>Section 302 of the Sarbanes-Oxley Act of 2002.</w:t>
              </w:r>
            </w:hyperlink>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386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106">
              <w:r>
                <w:rPr>
                  <w:rFonts w:ascii="Arial" w:cs="Arial" w:eastAsia="Arial" w:hAnsi="Arial"/>
                  <w:sz w:val="18"/>
                  <w:szCs w:val="18"/>
                  <w:color w:val="0000EE"/>
                  <w:w w:val="99"/>
                </w:rPr>
                <w:t>Certification of Chief Executive Officer and Chief</w:t>
              </w:r>
            </w:hyperlink>
          </w:p>
        </w:tc>
        <w:tc>
          <w:tcPr>
            <w:tcW w:w="60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426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106">
              <w:r>
                <w:rPr>
                  <w:rFonts w:ascii="Arial" w:cs="Arial" w:eastAsia="Arial" w:hAnsi="Arial"/>
                  <w:sz w:val="18"/>
                  <w:szCs w:val="18"/>
                  <w:color w:val="0000EE"/>
                  <w:w w:val="99"/>
                </w:rPr>
                <w:t>Financial Officer Pursuant to 18 U.S.C. Section 1350,</w:t>
              </w:r>
            </w:hyperlink>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4460" w:type="dxa"/>
            <w:vAlign w:val="bottom"/>
            <w:gridSpan w:val="10"/>
          </w:tcPr>
          <w:p>
            <w:pPr>
              <w:spacing w:after="0" w:line="182" w:lineRule="exact"/>
              <w:rPr>
                <w:rFonts w:ascii="Arial" w:cs="Arial" w:eastAsia="Arial" w:hAnsi="Arial"/>
                <w:sz w:val="18"/>
                <w:szCs w:val="18"/>
                <w:color w:val="0000EE"/>
              </w:rPr>
            </w:pPr>
            <w:hyperlink w:anchor="page106">
              <w:r>
                <w:rPr>
                  <w:rFonts w:ascii="Arial" w:cs="Arial" w:eastAsia="Arial" w:hAnsi="Arial"/>
                  <w:sz w:val="18"/>
                  <w:szCs w:val="18"/>
                  <w:color w:val="0000EE"/>
                </w:rPr>
                <w:t>as Adopted Pursuant to Section 906 of the Sarbanes-</w:t>
              </w:r>
            </w:hyperlink>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48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9"/>
              </w:rPr>
            </w:pPr>
            <w:hyperlink w:anchor="page106">
              <w:r>
                <w:rPr>
                  <w:rFonts w:ascii="Arial" w:cs="Arial" w:eastAsia="Arial" w:hAnsi="Arial"/>
                  <w:sz w:val="18"/>
                  <w:szCs w:val="18"/>
                  <w:color w:val="0000EE"/>
                  <w:w w:val="99"/>
                </w:rPr>
                <w:t>Oxley Act of 2002.</w:t>
              </w:r>
            </w:hyperlink>
          </w:p>
        </w:tc>
        <w:tc>
          <w:tcPr>
            <w:tcW w:w="2780" w:type="dxa"/>
            <w:vAlign w:val="bottom"/>
            <w:tcBorders>
              <w:top w:val="single" w:sz="8" w:color="0000EE"/>
            </w:tcBorders>
            <w:gridSpan w:val="8"/>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4460" w:type="dxa"/>
            <w:vAlign w:val="bottom"/>
            <w:gridSpan w:val="10"/>
          </w:tcPr>
          <w:p>
            <w:pPr>
              <w:spacing w:after="0"/>
              <w:rPr>
                <w:sz w:val="20"/>
                <w:szCs w:val="20"/>
                <w:color w:val="auto"/>
              </w:rPr>
            </w:pPr>
            <w:r>
              <w:rPr>
                <w:rFonts w:ascii="Arial" w:cs="Arial" w:eastAsia="Arial" w:hAnsi="Arial"/>
                <w:sz w:val="18"/>
                <w:szCs w:val="18"/>
                <w:color w:val="auto"/>
              </w:rPr>
              <w:t>XBRL Instance Document – the instance document</w:t>
            </w: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4460" w:type="dxa"/>
            <w:vAlign w:val="bottom"/>
            <w:gridSpan w:val="10"/>
          </w:tcPr>
          <w:p>
            <w:pPr>
              <w:spacing w:after="0" w:line="202" w:lineRule="exact"/>
              <w:rPr>
                <w:sz w:val="20"/>
                <w:szCs w:val="20"/>
                <w:color w:val="auto"/>
              </w:rPr>
            </w:pPr>
            <w:r>
              <w:rPr>
                <w:rFonts w:ascii="Arial" w:cs="Arial" w:eastAsia="Arial" w:hAnsi="Arial"/>
                <w:sz w:val="18"/>
                <w:szCs w:val="18"/>
                <w:color w:val="auto"/>
              </w:rPr>
              <w:t>does not appear in the Interactive Data File because its</w:t>
            </w:r>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4460" w:type="dxa"/>
            <w:vAlign w:val="bottom"/>
            <w:gridSpan w:val="10"/>
          </w:tcPr>
          <w:p>
            <w:pPr>
              <w:spacing w:after="0" w:line="202" w:lineRule="exact"/>
              <w:rPr>
                <w:sz w:val="20"/>
                <w:szCs w:val="20"/>
                <w:color w:val="auto"/>
              </w:rPr>
            </w:pPr>
            <w:r>
              <w:rPr>
                <w:rFonts w:ascii="Arial" w:cs="Arial" w:eastAsia="Arial" w:hAnsi="Arial"/>
                <w:sz w:val="18"/>
                <w:szCs w:val="18"/>
                <w:color w:val="auto"/>
              </w:rPr>
              <w:t>XBRL tags are embedded within the Inline XBRL</w:t>
            </w:r>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46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8"/>
          <w:szCs w:val="18"/>
          <w:color w:val="auto"/>
        </w:rPr>
        <w:t>101.SCH XBRL Taxonomy Extension Schema Document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101.CAL XBRL Taxonomy Extension Calculation Linkbase</w:t>
      </w:r>
    </w:p>
    <w:p>
      <w:pPr>
        <w:ind w:left="840"/>
        <w:spacing w:after="0"/>
        <w:rPr>
          <w:sz w:val="20"/>
          <w:szCs w:val="20"/>
          <w:color w:val="auto"/>
        </w:rPr>
      </w:pPr>
      <w:r>
        <w:rPr>
          <w:rFonts w:ascii="Arial" w:cs="Arial" w:eastAsia="Arial" w:hAnsi="Arial"/>
          <w:sz w:val="18"/>
          <w:szCs w:val="18"/>
          <w:color w:val="auto"/>
        </w:rPr>
        <w:t>Document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101.DEF XBRL Taxonomy Extension Definition Linkbase</w:t>
      </w:r>
    </w:p>
    <w:p>
      <w:pPr>
        <w:ind w:left="840"/>
        <w:spacing w:after="0"/>
        <w:rPr>
          <w:sz w:val="20"/>
          <w:szCs w:val="20"/>
          <w:color w:val="auto"/>
        </w:rPr>
      </w:pPr>
      <w:r>
        <w:rPr>
          <w:rFonts w:ascii="Arial" w:cs="Arial" w:eastAsia="Arial" w:hAnsi="Arial"/>
          <w:sz w:val="18"/>
          <w:szCs w:val="18"/>
          <w:color w:val="auto"/>
        </w:rPr>
        <w:t>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101.LAB XBRL Taxonomy Extension Label Linkbase Document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101.PRE XBRL Taxonomy Extension Presentation Linkbase</w:t>
      </w:r>
    </w:p>
    <w:p>
      <w:pPr>
        <w:ind w:left="840"/>
        <w:spacing w:after="0"/>
        <w:rPr>
          <w:sz w:val="20"/>
          <w:szCs w:val="20"/>
          <w:color w:val="auto"/>
        </w:rPr>
      </w:pPr>
      <w:r>
        <w:rPr>
          <w:rFonts w:ascii="Arial" w:cs="Arial" w:eastAsia="Arial" w:hAnsi="Arial"/>
          <w:sz w:val="18"/>
          <w:szCs w:val="18"/>
          <w:color w:val="auto"/>
        </w:rPr>
        <w:t>Document</w:t>
      </w:r>
    </w:p>
    <w:p>
      <w:pPr>
        <w:spacing w:after="0" w:line="9" w:lineRule="exact"/>
        <w:rPr>
          <w:sz w:val="20"/>
          <w:szCs w:val="20"/>
          <w:color w:val="auto"/>
        </w:rPr>
      </w:pPr>
    </w:p>
    <w:p>
      <w:pPr>
        <w:ind w:left="840" w:right="3859" w:hanging="780"/>
        <w:spacing w:after="0" w:line="238" w:lineRule="auto"/>
        <w:tabs>
          <w:tab w:leader="none" w:pos="8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39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5640" w:type="dxa"/>
            <w:vAlign w:val="bottom"/>
            <w:gridSpan w:val="2"/>
          </w:tcPr>
          <w:p>
            <w:pPr>
              <w:ind w:left="1180"/>
              <w:spacing w:after="0"/>
              <w:rPr>
                <w:sz w:val="20"/>
                <w:szCs w:val="20"/>
                <w:color w:val="auto"/>
              </w:rPr>
            </w:pPr>
            <w:r>
              <w:rPr>
                <w:rFonts w:ascii="Arial" w:cs="Arial" w:eastAsia="Arial" w:hAnsi="Arial"/>
                <w:sz w:val="18"/>
                <w:szCs w:val="18"/>
                <w:color w:val="auto"/>
              </w:rPr>
              <w:t>Olema Pharmaceuticals, Inc.</w:t>
            </w:r>
          </w:p>
        </w:tc>
      </w:tr>
      <w:tr>
        <w:trPr>
          <w:trHeight w:val="203"/>
        </w:trPr>
        <w:tc>
          <w:tcPr>
            <w:tcW w:w="3260" w:type="dxa"/>
            <w:vAlign w:val="bottom"/>
          </w:tcPr>
          <w:p>
            <w:pPr>
              <w:spacing w:after="0" w:line="203" w:lineRule="exact"/>
              <w:rPr>
                <w:sz w:val="20"/>
                <w:szCs w:val="20"/>
                <w:color w:val="auto"/>
              </w:rPr>
            </w:pPr>
            <w:r>
              <w:rPr>
                <w:rFonts w:ascii="Arial" w:cs="Arial" w:eastAsia="Arial" w:hAnsi="Arial"/>
                <w:sz w:val="18"/>
                <w:szCs w:val="18"/>
                <w:color w:val="auto"/>
              </w:rPr>
              <w:t>Date: November 10, 2021</w:t>
            </w:r>
          </w:p>
        </w:tc>
        <w:tc>
          <w:tcPr>
            <w:tcW w:w="1460" w:type="dxa"/>
            <w:vAlign w:val="bottom"/>
          </w:tcPr>
          <w:p>
            <w:pPr>
              <w:ind w:left="1180"/>
              <w:spacing w:after="0" w:line="203" w:lineRule="exact"/>
              <w:rPr>
                <w:sz w:val="20"/>
                <w:szCs w:val="20"/>
                <w:color w:val="auto"/>
              </w:rPr>
            </w:pPr>
            <w:r>
              <w:rPr>
                <w:rFonts w:ascii="Arial" w:cs="Arial" w:eastAsia="Arial" w:hAnsi="Arial"/>
                <w:sz w:val="18"/>
                <w:szCs w:val="18"/>
                <w:color w:val="auto"/>
                <w:w w:val="99"/>
              </w:rPr>
              <w:t>By:</w:t>
            </w:r>
          </w:p>
        </w:tc>
        <w:tc>
          <w:tcPr>
            <w:tcW w:w="41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/s/ Sean Bohen, M.D., Ph.D.</w:t>
            </w:r>
          </w:p>
        </w:tc>
      </w:tr>
      <w:tr>
        <w:trPr>
          <w:trHeight w:val="200"/>
        </w:trPr>
        <w:tc>
          <w:tcPr>
            <w:tcW w:w="3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180" w:type="dxa"/>
            <w:vAlign w:val="bottom"/>
          </w:tcPr>
          <w:p>
            <w:pPr>
              <w:jc w:val="center"/>
              <w:spacing w:after="0" w:line="201" w:lineRule="exact"/>
              <w:rPr>
                <w:sz w:val="20"/>
                <w:szCs w:val="20"/>
                <w:color w:val="auto"/>
              </w:rPr>
            </w:pPr>
            <w:r>
              <w:rPr>
                <w:rFonts w:ascii="Arial" w:cs="Arial" w:eastAsia="Arial" w:hAnsi="Arial"/>
                <w:sz w:val="18"/>
                <w:szCs w:val="18"/>
                <w:color w:val="auto"/>
                <w:w w:val="99"/>
              </w:rPr>
              <w:t>Sean Bohen, M.D., Ph.D.</w:t>
            </w:r>
          </w:p>
        </w:tc>
      </w:tr>
      <w:tr>
        <w:trPr>
          <w:trHeight w:val="239"/>
        </w:trPr>
        <w:tc>
          <w:tcPr>
            <w:tcW w:w="3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99"/>
              </w:rPr>
              <w:t>President and Chief Executive Officer</w:t>
            </w:r>
          </w:p>
        </w:tc>
      </w:tr>
      <w:tr>
        <w:trPr>
          <w:trHeight w:val="229"/>
        </w:trPr>
        <w:tc>
          <w:tcPr>
            <w:tcW w:w="3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Principal Executive Officer</w:t>
            </w:r>
            <w:r>
              <w:rPr>
                <w:rFonts w:ascii="Arial" w:cs="Arial" w:eastAsia="Arial" w:hAnsi="Arial"/>
                <w:sz w:val="18"/>
                <w:szCs w:val="18"/>
                <w:color w:val="auto"/>
                <w:w w:val="99"/>
              </w:rPr>
              <w:t>)</w:t>
            </w:r>
          </w:p>
        </w:tc>
      </w:tr>
      <w:tr>
        <w:trPr>
          <w:trHeight w:val="203"/>
        </w:trPr>
        <w:tc>
          <w:tcPr>
            <w:tcW w:w="3260" w:type="dxa"/>
            <w:vAlign w:val="bottom"/>
          </w:tcPr>
          <w:p>
            <w:pPr>
              <w:spacing w:after="0"/>
              <w:rPr>
                <w:sz w:val="17"/>
                <w:szCs w:val="17"/>
                <w:color w:val="auto"/>
              </w:rPr>
            </w:pPr>
          </w:p>
        </w:tc>
        <w:tc>
          <w:tcPr>
            <w:tcW w:w="564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Olema Pharmaceuticals, Inc.</w:t>
            </w:r>
          </w:p>
        </w:tc>
      </w:tr>
      <w:tr>
        <w:trPr>
          <w:trHeight w:val="217"/>
        </w:trPr>
        <w:tc>
          <w:tcPr>
            <w:tcW w:w="3260" w:type="dxa"/>
            <w:vAlign w:val="bottom"/>
          </w:tcPr>
          <w:p>
            <w:pPr>
              <w:spacing w:after="0"/>
              <w:rPr>
                <w:sz w:val="20"/>
                <w:szCs w:val="20"/>
                <w:color w:val="auto"/>
              </w:rPr>
            </w:pPr>
            <w:r>
              <w:rPr>
                <w:rFonts w:ascii="Arial" w:cs="Arial" w:eastAsia="Arial" w:hAnsi="Arial"/>
                <w:sz w:val="18"/>
                <w:szCs w:val="18"/>
                <w:color w:val="auto"/>
              </w:rPr>
              <w:t>Date: November 10, 2021</w:t>
            </w:r>
          </w:p>
        </w:tc>
        <w:tc>
          <w:tcPr>
            <w:tcW w:w="1460" w:type="dxa"/>
            <w:vAlign w:val="bottom"/>
          </w:tcPr>
          <w:p>
            <w:pPr>
              <w:ind w:left="1180"/>
              <w:spacing w:after="0"/>
              <w:rPr>
                <w:sz w:val="20"/>
                <w:szCs w:val="20"/>
                <w:color w:val="auto"/>
              </w:rPr>
            </w:pPr>
            <w:r>
              <w:rPr>
                <w:rFonts w:ascii="Arial" w:cs="Arial" w:eastAsia="Arial" w:hAnsi="Arial"/>
                <w:sz w:val="18"/>
                <w:szCs w:val="18"/>
                <w:color w:val="auto"/>
                <w:w w:val="99"/>
              </w:rPr>
              <w:t>By:</w:t>
            </w:r>
          </w:p>
        </w:tc>
        <w:tc>
          <w:tcPr>
            <w:tcW w:w="4180" w:type="dxa"/>
            <w:vAlign w:val="bottom"/>
          </w:tcPr>
          <w:p>
            <w:pPr>
              <w:jc w:val="center"/>
              <w:spacing w:after="0"/>
              <w:rPr>
                <w:sz w:val="20"/>
                <w:szCs w:val="20"/>
                <w:color w:val="auto"/>
              </w:rPr>
            </w:pPr>
            <w:r>
              <w:rPr>
                <w:rFonts w:ascii="Arial" w:cs="Arial" w:eastAsia="Arial" w:hAnsi="Arial"/>
                <w:sz w:val="18"/>
                <w:szCs w:val="18"/>
                <w:color w:val="auto"/>
                <w:w w:val="99"/>
              </w:rPr>
              <w:t>/s/ Shane Kovacs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-8255</wp:posOffset>
            </wp:positionV>
            <wp:extent cx="26574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2" w:lineRule="exact"/>
        <w:rPr>
          <w:sz w:val="20"/>
          <w:szCs w:val="20"/>
          <w:color w:val="auto"/>
        </w:rPr>
      </w:pPr>
    </w:p>
    <w:p>
      <w:pPr>
        <w:jc w:val="center"/>
        <w:ind w:left="4700"/>
        <w:spacing w:after="0"/>
        <w:rPr>
          <w:sz w:val="20"/>
          <w:szCs w:val="20"/>
          <w:color w:val="auto"/>
        </w:rPr>
      </w:pPr>
      <w:r>
        <w:rPr>
          <w:rFonts w:ascii="Arial" w:cs="Arial" w:eastAsia="Arial" w:hAnsi="Arial"/>
          <w:sz w:val="18"/>
          <w:szCs w:val="18"/>
          <w:color w:val="auto"/>
        </w:rPr>
        <w:t>Shane Kovacs</w:t>
      </w:r>
    </w:p>
    <w:p>
      <w:pPr>
        <w:jc w:val="center"/>
        <w:ind w:left="4700"/>
        <w:spacing w:after="0" w:line="234" w:lineRule="auto"/>
        <w:rPr>
          <w:sz w:val="20"/>
          <w:szCs w:val="20"/>
          <w:color w:val="auto"/>
        </w:rPr>
      </w:pPr>
      <w:r>
        <w:rPr>
          <w:rFonts w:ascii="Arial" w:cs="Arial" w:eastAsia="Arial" w:hAnsi="Arial"/>
          <w:sz w:val="18"/>
          <w:szCs w:val="18"/>
          <w:b w:val="1"/>
          <w:bCs w:val="1"/>
          <w:color w:val="auto"/>
        </w:rPr>
        <w:t>Chief Operating and Financial Officer</w:t>
      </w:r>
    </w:p>
    <w:p>
      <w:pPr>
        <w:jc w:val="center"/>
        <w:ind w:left="470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 and Principal Accounting</w:t>
      </w:r>
    </w:p>
    <w:p>
      <w:pPr>
        <w:spacing w:after="0" w:line="1" w:lineRule="exact"/>
        <w:rPr>
          <w:sz w:val="20"/>
          <w:szCs w:val="20"/>
          <w:color w:val="auto"/>
        </w:rPr>
      </w:pPr>
    </w:p>
    <w:p>
      <w:pPr>
        <w:jc w:val="center"/>
        <w:ind w:left="470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Sean Bohen, certify that:</w:t>
      </w:r>
    </w:p>
    <w:p>
      <w:pPr>
        <w:spacing w:after="0" w:line="225"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Olema Pharmaceuticals, Inc.;</w:t>
      </w:r>
    </w:p>
    <w:p>
      <w:pPr>
        <w:spacing w:after="0" w:line="225"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60" w:hanging="328"/>
        <w:spacing w:after="0" w:line="286" w:lineRule="auto"/>
        <w:tabs>
          <w:tab w:leader="none" w:pos="6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300" w:hanging="328"/>
        <w:spacing w:after="0" w:line="263" w:lineRule="auto"/>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340" w:hanging="328"/>
        <w:spacing w:after="0" w:line="311" w:lineRule="auto"/>
        <w:tabs>
          <w:tab w:leader="none" w:pos="6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20" w:hanging="332"/>
        <w:spacing w:after="0" w:line="263"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November 10, 2021</w:t>
            </w:r>
          </w:p>
        </w:tc>
        <w:tc>
          <w:tcPr>
            <w:tcW w:w="6500" w:type="dxa"/>
            <w:vAlign w:val="bottom"/>
            <w:gridSpan w:val="2"/>
          </w:tcPr>
          <w:p>
            <w:pPr>
              <w:ind w:left="1540"/>
              <w:spacing w:after="0"/>
              <w:rPr>
                <w:sz w:val="20"/>
                <w:szCs w:val="20"/>
                <w:color w:val="auto"/>
              </w:rPr>
            </w:pPr>
            <w:r>
              <w:rPr>
                <w:rFonts w:ascii="Arial" w:cs="Arial" w:eastAsia="Arial" w:hAnsi="Arial"/>
                <w:sz w:val="18"/>
                <w:szCs w:val="18"/>
                <w:color w:val="auto"/>
              </w:rPr>
              <w:t>By:/s/ Sean Bohen</w:t>
            </w:r>
          </w:p>
        </w:tc>
      </w:tr>
      <w:tr>
        <w:trPr>
          <w:trHeight w:val="195"/>
        </w:trPr>
        <w:tc>
          <w:tcPr>
            <w:tcW w:w="34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Bohen</w:t>
            </w:r>
          </w:p>
        </w:tc>
      </w:tr>
      <w:tr>
        <w:trPr>
          <w:trHeight w:val="216"/>
        </w:trPr>
        <w:tc>
          <w:tcPr>
            <w:tcW w:w="3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776"/>
        </w:trPr>
        <w:tc>
          <w:tcPr>
            <w:tcW w:w="34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Shane Kovacs, certify that:</w:t>
      </w:r>
    </w:p>
    <w:p>
      <w:pPr>
        <w:spacing w:after="0" w:line="225"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Olema Pharmaceuticals, Inc.;</w:t>
      </w:r>
    </w:p>
    <w:p>
      <w:pPr>
        <w:spacing w:after="0" w:line="225"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60" w:hanging="328"/>
        <w:spacing w:after="0" w:line="286" w:lineRule="auto"/>
        <w:tabs>
          <w:tab w:leader="none" w:pos="6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300" w:hanging="328"/>
        <w:spacing w:after="0" w:line="263" w:lineRule="auto"/>
        <w:tabs>
          <w:tab w:leader="none" w:pos="6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340" w:hanging="328"/>
        <w:spacing w:after="0" w:line="311" w:lineRule="auto"/>
        <w:tabs>
          <w:tab w:leader="none" w:pos="660" w:val="left"/>
        </w:tabs>
        <w:numPr>
          <w:ilvl w:val="1"/>
          <w:numId w:val="6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20" w:hanging="332"/>
        <w:spacing w:after="0" w:line="263"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November 10, 2021</w:t>
            </w:r>
          </w:p>
        </w:tc>
        <w:tc>
          <w:tcPr>
            <w:tcW w:w="6500" w:type="dxa"/>
            <w:vAlign w:val="bottom"/>
            <w:gridSpan w:val="2"/>
          </w:tcPr>
          <w:p>
            <w:pPr>
              <w:ind w:left="1540"/>
              <w:spacing w:after="0"/>
              <w:rPr>
                <w:sz w:val="20"/>
                <w:szCs w:val="20"/>
                <w:color w:val="auto"/>
              </w:rPr>
            </w:pPr>
            <w:r>
              <w:rPr>
                <w:rFonts w:ascii="Arial" w:cs="Arial" w:eastAsia="Arial" w:hAnsi="Arial"/>
                <w:sz w:val="18"/>
                <w:szCs w:val="18"/>
                <w:color w:val="auto"/>
              </w:rPr>
              <w:t>By:/s/ Shane Kovacs</w:t>
            </w:r>
          </w:p>
        </w:tc>
      </w:tr>
      <w:tr>
        <w:trPr>
          <w:trHeight w:val="195"/>
        </w:trPr>
        <w:tc>
          <w:tcPr>
            <w:tcW w:w="34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Shane Kovacs</w:t>
            </w:r>
          </w:p>
        </w:tc>
      </w:tr>
      <w:tr>
        <w:trPr>
          <w:trHeight w:val="216"/>
        </w:trPr>
        <w:tc>
          <w:tcPr>
            <w:tcW w:w="3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Operating and Financial Officer</w:t>
            </w:r>
          </w:p>
        </w:tc>
      </w:tr>
      <w:tr>
        <w:trPr>
          <w:trHeight w:val="230"/>
        </w:trPr>
        <w:tc>
          <w:tcPr>
            <w:tcW w:w="3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776"/>
        </w:trPr>
        <w:tc>
          <w:tcPr>
            <w:tcW w:w="34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Sean Bohen, M.D. Ph.D., Chief Executive Officer of Olema Pharmaceuticals, Inc. (the “Company”), and Shane Kovacs, Chief Financial Officer of the Company, each hereby certifies that, to the best of his knowledge:</w:t>
      </w:r>
    </w:p>
    <w:p>
      <w:pPr>
        <w:spacing w:after="0" w:line="187" w:lineRule="exact"/>
        <w:rPr>
          <w:sz w:val="20"/>
          <w:szCs w:val="20"/>
          <w:color w:val="auto"/>
        </w:rPr>
      </w:pPr>
    </w:p>
    <w:p>
      <w:pPr>
        <w:ind w:left="660" w:hanging="328"/>
        <w:spacing w:after="0" w:line="263"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2021, to which this Certification is attached as Exhibit 32.1 (the “Periodic Report”), fully complies with the requirements of Section 13(a) or Section 15(d) of the Exchange Act; and</w:t>
      </w:r>
    </w:p>
    <w:p>
      <w:pPr>
        <w:spacing w:after="0" w:line="183"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November 10, 2021</w:t>
            </w:r>
          </w:p>
        </w:tc>
        <w:tc>
          <w:tcPr>
            <w:tcW w:w="6500" w:type="dxa"/>
            <w:vAlign w:val="bottom"/>
            <w:gridSpan w:val="2"/>
          </w:tcPr>
          <w:p>
            <w:pPr>
              <w:ind w:left="1540"/>
              <w:spacing w:after="0"/>
              <w:rPr>
                <w:sz w:val="20"/>
                <w:szCs w:val="20"/>
                <w:color w:val="auto"/>
              </w:rPr>
            </w:pPr>
            <w:r>
              <w:rPr>
                <w:rFonts w:ascii="Arial" w:cs="Arial" w:eastAsia="Arial" w:hAnsi="Arial"/>
                <w:sz w:val="18"/>
                <w:szCs w:val="18"/>
                <w:color w:val="auto"/>
              </w:rPr>
              <w:t>By:/s/ Sean Bohen</w:t>
            </w:r>
          </w:p>
        </w:tc>
      </w:tr>
      <w:tr>
        <w:trPr>
          <w:trHeight w:val="195"/>
        </w:trPr>
        <w:tc>
          <w:tcPr>
            <w:tcW w:w="34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Bohen</w:t>
            </w:r>
          </w:p>
        </w:tc>
      </w:tr>
      <w:tr>
        <w:trPr>
          <w:trHeight w:val="230"/>
        </w:trPr>
        <w:tc>
          <w:tcPr>
            <w:tcW w:w="3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48"/>
        </w:trPr>
        <w:tc>
          <w:tcPr>
            <w:tcW w:w="3420" w:type="dxa"/>
            <w:vAlign w:val="bottom"/>
          </w:tcPr>
          <w:p>
            <w:pPr>
              <w:spacing w:after="0"/>
              <w:rPr>
                <w:sz w:val="20"/>
                <w:szCs w:val="20"/>
                <w:color w:val="auto"/>
              </w:rPr>
            </w:pPr>
            <w:r>
              <w:rPr>
                <w:rFonts w:ascii="Arial" w:cs="Arial" w:eastAsia="Arial" w:hAnsi="Arial"/>
                <w:sz w:val="18"/>
                <w:szCs w:val="18"/>
                <w:color w:val="auto"/>
              </w:rPr>
              <w:t>Date: November 10, 2021</w:t>
            </w:r>
          </w:p>
        </w:tc>
        <w:tc>
          <w:tcPr>
            <w:tcW w:w="6500" w:type="dxa"/>
            <w:vAlign w:val="bottom"/>
            <w:gridSpan w:val="2"/>
          </w:tcPr>
          <w:p>
            <w:pPr>
              <w:ind w:left="1540"/>
              <w:spacing w:after="0"/>
              <w:rPr>
                <w:sz w:val="20"/>
                <w:szCs w:val="20"/>
                <w:color w:val="auto"/>
              </w:rPr>
            </w:pPr>
            <w:r>
              <w:rPr>
                <w:rFonts w:ascii="Arial" w:cs="Arial" w:eastAsia="Arial" w:hAnsi="Arial"/>
                <w:sz w:val="18"/>
                <w:szCs w:val="18"/>
                <w:color w:val="auto"/>
              </w:rPr>
              <w:t>By:/s/ Shane Kovacs</w:t>
            </w:r>
          </w:p>
        </w:tc>
      </w:tr>
      <w:tr>
        <w:trPr>
          <w:trHeight w:val="195"/>
        </w:trPr>
        <w:tc>
          <w:tcPr>
            <w:tcW w:w="34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Shane Kovacs</w:t>
            </w:r>
          </w:p>
        </w:tc>
      </w:tr>
      <w:tr>
        <w:trPr>
          <w:trHeight w:val="230"/>
        </w:trPr>
        <w:tc>
          <w:tcPr>
            <w:tcW w:w="3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Olema Pharmaceuticals,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2"/>
    </w:lvl>
  </w:abstractNum>
  <w:abstractNum w:abstractNumId="3">
    <w:nsid w:val="22221A70"/>
    <w:multiLevelType w:val="hybridMultilevel"/>
    <w:lvl w:ilvl="0">
      <w:lvlJc w:val="left"/>
      <w:lvlText w:val="%1."/>
      <w:numFmt w:val="decimal"/>
      <w:start w:val="3"/>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1."/>
      <w:numFmt w:val="decimal"/>
      <w:start w:val="8"/>
    </w:lvl>
  </w:abstractNum>
  <w:abstractNum w:abstractNumId="6">
    <w:nsid w:val="614FD4A1"/>
    <w:multiLevelType w:val="hybridMultilevel"/>
    <w:lvl w:ilvl="0">
      <w:lvlJc w:val="left"/>
      <w:lvlText w:val="%1."/>
      <w:numFmt w:val="decimal"/>
      <w:start w:val="9"/>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1)"/>
      <w:numFmt w:val="decimal"/>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
      <w:numFmt w:val="bullet"/>
      <w:start w:val="1"/>
    </w:lvl>
    <w:lvl w:ilvl="1">
      <w:lvlJc w:val="left"/>
      <w:lvlText w:val="%2"/>
      <w:numFmt w:val="decimal"/>
      <w:start w:val="104"/>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3" Type="http://schemas.openxmlformats.org/officeDocument/2006/relationships/hyperlink" Target="https://www.sec.gov/Archives/edgar/data/1750284/000110465920128482/tm2027048d18_ex3-1.htm" TargetMode="External"/><Relationship Id="rId134" Type="http://schemas.openxmlformats.org/officeDocument/2006/relationships/hyperlink" Target="https://www.sec.gov/Archives/edgar/data/1750284/000110465920128482/tm2027048d18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2021-11-10T15:46:41Z</dcterms:created>
  <dcterms:modified xsi:type="dcterms:W3CDTF">2021-11-10T15:46:41Z</dcterms:modified>
</cp:coreProperties>
</file>