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olma-20230630x10q.htm"/>
        <w:bookmarkStart w:id="1" w:name="ksolma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36"/>
        </w:rPr>
      </w:pPr>
      <w:bookmarkStart w:id="2" w:name="_173befb2_d4cb_4be9_bb76_3fb0dbc25f68"/>
      <w:bookmarkEnd w:id="2"/>
      <w:r>
        <w:rPr>
          <w:rFonts w:ascii="Arial;Helvetica;sans-serif" w:hAnsi="Arial;Helvetica;sans-serif"/>
          <w:b/>
          <w:sz w:val="36"/>
        </w:rPr>
        <w:t>UNITED STATES</w:t>
      </w:r>
    </w:p>
    <w:p>
      <w:pPr>
        <w:pStyle w:val="TextBody"/>
        <w:bidi w:val="0"/>
        <w:spacing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bidi w:val="0"/>
        <w:spacing w:before="0" w:after="14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before="0" w:after="140"/>
        <w:ind w:left="0" w:right="0" w:hanging="0"/>
        <w:jc w:val="center"/>
        <w:rPr>
          <w:rFonts w:ascii="Arial;Helvetica;sans-serif" w:hAnsi="Arial;Helvetica;sans-serif"/>
          <w:b/>
          <w:sz w:val="36"/>
        </w:rPr>
      </w:pPr>
      <w:r>
        <w:rPr>
          <w:rFonts w:ascii="Arial;Helvetica;sans-serif" w:hAnsi="Arial;Helvetica;sans-serif"/>
          <w:b/>
          <w:sz w:val="36"/>
        </w:rPr>
        <w:t>FORM 10-Q</w:t>
      </w:r>
    </w:p>
    <w:p>
      <w:pPr>
        <w:pStyle w:val="TextBody"/>
        <w:bidi w:val="0"/>
        <w:spacing w:before="0" w:after="240"/>
        <w:ind w:left="0" w:right="0" w:hanging="0"/>
        <w:jc w:val="center"/>
        <w:rPr/>
      </w:pPr>
      <w:r>
        <w:rPr/>
        <w:t>​</w:t>
      </w:r>
    </w:p>
    <w:p>
      <w:pPr>
        <w:pStyle w:val="TextBody"/>
        <w:bidi w:val="0"/>
        <w:spacing w:before="0" w:after="140"/>
        <w:ind w:left="0" w:right="0" w:hanging="0"/>
        <w:jc w:val="left"/>
        <w:rPr>
          <w:rFonts w:ascii="Arial;Helvetica;sans-serif" w:hAnsi="Arial;Helvetica;sans-serif"/>
          <w:b/>
          <w:sz w:val="16"/>
        </w:rPr>
      </w:pPr>
      <w:r>
        <w:rPr>
          <w:rFonts w:ascii="Arial;Helvetica;sans-serif" w:hAnsi="Arial;Helvetica;sans-serif"/>
          <w:b/>
          <w:sz w:val="16"/>
        </w:rPr>
        <w:t>(Mark One)</w:t>
      </w:r>
    </w:p>
    <w:p>
      <w:pPr>
        <w:pStyle w:val="Normal"/>
        <w:bidi w:val="0"/>
        <w:spacing w:before="0" w:after="0"/>
        <w:jc w:val="left"/>
        <w:rPr>
          <w:sz w:val="4"/>
          <w:szCs w:val="4"/>
        </w:rPr>
      </w:pPr>
      <w:r>
        <w:rPr>
          <w:sz w:val="4"/>
          <w:szCs w:val="4"/>
        </w:rPr>
      </w:r>
      <w:bookmarkStart w:id="3" w:name="Tc_ODtVJrV9LkSVc2b2BiJltQ_1_1"/>
      <w:bookmarkStart w:id="4" w:name="_bfe7ed3b_44ab_4753_a074_d8d944fe88b7"/>
      <w:bookmarkStart w:id="5" w:name="Tc_ODtVJrV9LkSVc2b2BiJltQ_1_1"/>
      <w:bookmarkStart w:id="6" w:name="_bfe7ed3b_44ab_4753_a074_d8d944fe88b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2023</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OR</w:t>
      </w:r>
    </w:p>
    <w:p>
      <w:pPr>
        <w:pStyle w:val="Normal"/>
        <w:bidi w:val="0"/>
        <w:spacing w:before="0" w:after="0"/>
        <w:jc w:val="left"/>
        <w:rPr>
          <w:sz w:val="4"/>
          <w:szCs w:val="4"/>
        </w:rPr>
      </w:pPr>
      <w:r>
        <w:rPr>
          <w:sz w:val="4"/>
          <w:szCs w:val="4"/>
        </w:rPr>
      </w:r>
      <w:bookmarkStart w:id="7" w:name="Tc_iFHy6B--wUCsYI4nWWN-Sw_1_1"/>
      <w:bookmarkStart w:id="8" w:name="_8418304c_393a_49f4_a6d6_864d5844c8c1"/>
      <w:bookmarkStart w:id="9" w:name="Tc_iFHy6B--wUCsYI4nWWN-Sw_1_1"/>
      <w:bookmarkStart w:id="10" w:name="_8418304c_393a_49f4_a6d6_864d5844c8c1"/>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transition period from _______ to _______</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Commission File Number: 001-39712</w:t>
      </w:r>
    </w:p>
    <w:p>
      <w:pPr>
        <w:pStyle w:val="TextBody"/>
        <w:bidi w:val="0"/>
        <w:spacing w:before="0" w:after="0"/>
        <w:ind w:left="0" w:right="0" w:hanging="0"/>
        <w:jc w:val="center"/>
        <w:rPr>
          <w:rFonts w:ascii="Arial;Helvetica;sans-serif" w:hAnsi="Arial;Helvetica;sans-serif"/>
          <w:b/>
          <w:sz w:val="48"/>
        </w:rPr>
      </w:pPr>
      <w:r>
        <w:rPr>
          <w:rFonts w:ascii="Arial;Helvetica;sans-serif" w:hAnsi="Arial;Helvetica;sans-serif"/>
          <w:b/>
          <w:sz w:val="48"/>
        </w:rPr>
        <w:t>OLEMA PHARMACEUTICALS, INC.</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(Exact Name of Registrant as Specified in its Charter)</w:t>
      </w:r>
    </w:p>
    <w:p>
      <w:pPr>
        <w:pStyle w:val="Normal"/>
        <w:bidi w:val="0"/>
        <w:spacing w:before="0" w:after="0"/>
        <w:jc w:val="left"/>
        <w:rPr>
          <w:sz w:val="4"/>
          <w:szCs w:val="4"/>
        </w:rPr>
      </w:pPr>
      <w:r>
        <w:rPr>
          <w:sz w:val="4"/>
          <w:szCs w:val="4"/>
        </w:rPr>
      </w:r>
      <w:bookmarkStart w:id="11" w:name="Tc_mUZzQGUxw0Cxy94dIRZs7Q_4_1"/>
      <w:bookmarkStart w:id="12" w:name="Tc_NnKYPMqoC0qgTfTab3zAIQ_4_0"/>
      <w:bookmarkStart w:id="13" w:name="Tc_erKaSf4I0kmlFwEoOInSFg_3_0"/>
      <w:bookmarkStart w:id="14" w:name="Tc_T0FlYcHmN0K4lIeoRmNirw_2_1"/>
      <w:bookmarkStart w:id="15" w:name="Tc_Ra_emGs-mEqeVW3IN3qZIg_2_0"/>
      <w:bookmarkStart w:id="16" w:name="_ff2997ac_9b48_48f0_959a_f7c7c3fb3d13"/>
      <w:bookmarkStart w:id="17" w:name="Tc_mUZzQGUxw0Cxy94dIRZs7Q_4_1"/>
      <w:bookmarkStart w:id="18" w:name="Tc_NnKYPMqoC0qgTfTab3zAIQ_4_0"/>
      <w:bookmarkStart w:id="19" w:name="Tc_erKaSf4I0kmlFwEoOInSFg_3_0"/>
      <w:bookmarkStart w:id="20" w:name="Tc_T0FlYcHmN0K4lIeoRmNirw_2_1"/>
      <w:bookmarkStart w:id="21" w:name="Tc_Ra_emGs-mEqeVW3IN3qZIg_2_0"/>
      <w:bookmarkStart w:id="22" w:name="_ff2997ac_9b48_48f0_959a_f7c7c3fb3d13"/>
      <w:bookmarkEnd w:id="17"/>
      <w:bookmarkEnd w:id="18"/>
      <w:bookmarkEnd w:id="19"/>
      <w:bookmarkEnd w:id="20"/>
      <w:bookmarkEnd w:id="21"/>
      <w:bookmarkEnd w:id="22"/>
    </w:p>
    <w:tbl>
      <w:tblPr>
        <w:tblW w:w="3947" w:type="dxa"/>
        <w:jc w:val="left"/>
        <w:tblInd w:w="0" w:type="dxa"/>
        <w:tblLayout w:type="fixed"/>
        <w:tblCellMar>
          <w:top w:w="0" w:type="dxa"/>
          <w:left w:w="0" w:type="dxa"/>
          <w:bottom w:w="0" w:type="dxa"/>
          <w:right w:w="0" w:type="dxa"/>
        </w:tblCellMar>
      </w:tblPr>
      <w:tblGrid>
        <w:gridCol w:w="2656"/>
        <w:gridCol w:w="12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2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30-0409740</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(State or other jurisdiction of</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incorporation or organization)</w:t>
            </w:r>
          </w:p>
        </w:tc>
        <w:tc>
          <w:tcPr>
            <w:tcW w:w="129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b/>
                <w:sz w:val="14"/>
              </w:rPr>
              <w:t>(I.R.S. Employer</w:t>
            </w:r>
            <w:r>
              <w:rPr>
                <w:rFonts w:ascii="Arial;Helvetica;sans-serif" w:hAnsi="Arial;Helvetica;sans-serif"/>
                <w:sz w:val="14"/>
              </w:rPr>
              <w:br/>
            </w:r>
            <w:r>
              <w:rPr>
                <w:rFonts w:ascii="Arial;Helvetica;sans-serif" w:hAnsi="Arial;Helvetica;sans-serif"/>
                <w:b/>
                <w:sz w:val="14"/>
              </w:rPr>
              <w:t>Identification No.)</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780 Brannan Street</w:t>
            </w:r>
          </w:p>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San Francisco, CA</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94103</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(Address of principal executive offices)</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(Zip Code)</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Registrant’s telephone number, including area code: (650) 243-5555</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(Former name, former address and former fiscal year, if changed since last report)</w:t>
      </w:r>
    </w:p>
    <w:p>
      <w:pPr>
        <w:pStyle w:val="TextBody"/>
        <w:bidi w:val="0"/>
        <w:spacing w:before="120" w:after="14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jc w:val="left"/>
        <w:rPr>
          <w:sz w:val="4"/>
          <w:szCs w:val="4"/>
        </w:rPr>
      </w:pPr>
      <w:r>
        <w:rPr>
          <w:sz w:val="4"/>
          <w:szCs w:val="4"/>
        </w:rPr>
      </w:r>
      <w:bookmarkStart w:id="23" w:name="Tc_JgZBoKz4ski-yVzzjbrMfw_2_0"/>
      <w:bookmarkStart w:id="24" w:name="Tc_P-niz2qwPk208A2dLKMHlg_1_2"/>
      <w:bookmarkStart w:id="25" w:name="Tc_y4OC3ol0qkWHfiIDFVrMzQ_1_1"/>
      <w:bookmarkStart w:id="26" w:name="Tc_oeMkV6jFHkS8sXOYsu79Rw_1_0"/>
      <w:bookmarkStart w:id="27" w:name="_1ac96aaa_9ea1_4f0c_8041_b91cad9d5f19"/>
      <w:bookmarkStart w:id="28" w:name="Tc_JgZBoKz4ski-yVzzjbrMfw_2_0"/>
      <w:bookmarkStart w:id="29" w:name="Tc_P-niz2qwPk208A2dLKMHlg_1_2"/>
      <w:bookmarkStart w:id="30" w:name="Tc_y4OC3ol0qkWHfiIDFVrMzQ_1_1"/>
      <w:bookmarkStart w:id="31" w:name="Tc_oeMkV6jFHkS8sXOYsu79Rw_1_0"/>
      <w:bookmarkStart w:id="32" w:name="_1ac96aaa_9ea1_4f0c_8041_b91cad9d5f19"/>
      <w:bookmarkEnd w:id="28"/>
      <w:bookmarkEnd w:id="29"/>
      <w:bookmarkEnd w:id="30"/>
      <w:bookmarkEnd w:id="31"/>
      <w:bookmarkEnd w:id="32"/>
    </w:p>
    <w:tbl>
      <w:tblPr>
        <w:tblW w:w="10205" w:type="dxa"/>
        <w:jc w:val="left"/>
        <w:tblInd w:w="0" w:type="dxa"/>
        <w:tblLayout w:type="fixed"/>
        <w:tblCellMar>
          <w:top w:w="0" w:type="dxa"/>
          <w:left w:w="0" w:type="dxa"/>
          <w:bottom w:w="0" w:type="dxa"/>
          <w:right w:w="0" w:type="dxa"/>
        </w:tblCellMar>
      </w:tblPr>
      <w:tblGrid>
        <w:gridCol w:w="3702"/>
        <w:gridCol w:w="1410"/>
        <w:gridCol w:w="5093"/>
      </w:tblGrid>
      <w:tr>
        <w:trPr/>
        <w:tc>
          <w:tcPr>
            <w:tcW w:w="3702" w:type="dxa"/>
            <w:tcBorders/>
            <w:vAlign w:val="center"/>
          </w:tcPr>
          <w:p>
            <w:pPr>
              <w:pStyle w:val="TableContents"/>
              <w:bidi w:val="0"/>
              <w:spacing w:before="0" w:after="283"/>
              <w:ind w:left="0" w:right="0" w:hanging="0"/>
              <w:jc w:val="left"/>
              <w:rPr>
                <w:sz w:val="4"/>
                <w:szCs w:val="4"/>
              </w:rPr>
            </w:pPr>
            <w:r>
              <w:rPr>
                <w:sz w:val="4"/>
                <w:szCs w:val="4"/>
              </w:rPr>
            </w:r>
          </w:p>
        </w:tc>
        <w:tc>
          <w:tcPr>
            <w:tcW w:w="1410" w:type="dxa"/>
            <w:tcBorders/>
            <w:vAlign w:val="center"/>
          </w:tcPr>
          <w:p>
            <w:pPr>
              <w:pStyle w:val="TableContents"/>
              <w:bidi w:val="0"/>
              <w:spacing w:before="0" w:after="283"/>
              <w:ind w:left="0" w:right="0" w:hanging="0"/>
              <w:jc w:val="left"/>
              <w:rPr>
                <w:sz w:val="4"/>
                <w:szCs w:val="4"/>
              </w:rPr>
            </w:pPr>
            <w:r>
              <w:rPr>
                <w:sz w:val="4"/>
                <w:szCs w:val="4"/>
              </w:rPr>
            </w:r>
          </w:p>
        </w:tc>
        <w:tc>
          <w:tcPr>
            <w:tcW w:w="5093" w:type="dxa"/>
            <w:tcBorders/>
            <w:vAlign w:val="center"/>
          </w:tcPr>
          <w:p>
            <w:pPr>
              <w:pStyle w:val="TableContents"/>
              <w:bidi w:val="0"/>
              <w:spacing w:before="0" w:after="283"/>
              <w:ind w:left="0" w:right="0" w:hanging="0"/>
              <w:jc w:val="left"/>
              <w:rPr>
                <w:sz w:val="4"/>
                <w:szCs w:val="4"/>
              </w:rPr>
            </w:pPr>
            <w:r>
              <w:rPr>
                <w:sz w:val="4"/>
                <w:szCs w:val="4"/>
              </w:rPr>
            </w:r>
          </w:p>
        </w:tc>
      </w:tr>
      <w:tr>
        <w:trPr/>
        <w:tc>
          <w:tcPr>
            <w:tcW w:w="3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Title of Each Class of Securities Registered</w:t>
            </w:r>
          </w:p>
        </w:tc>
        <w:tc>
          <w:tcPr>
            <w:tcW w:w="1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Trading Symbol</w:t>
            </w:r>
          </w:p>
        </w:tc>
        <w:tc>
          <w:tcPr>
            <w:tcW w:w="5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Name of Each Exchange on which Securities are Registered</w:t>
            </w:r>
          </w:p>
        </w:tc>
      </w:tr>
      <w:tr>
        <w:trPr/>
        <w:tc>
          <w:tcPr>
            <w:tcW w:w="3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par value $0.0001 per share</w:t>
            </w:r>
          </w:p>
        </w:tc>
        <w:tc>
          <w:tcPr>
            <w:tcW w:w="1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OLMA</w:t>
            </w:r>
          </w:p>
        </w:tc>
        <w:tc>
          <w:tcPr>
            <w:tcW w:w="5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The Nasdaq Global Select Market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14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33" w:name="Tc_d2RIvmPVAkuJp8pEIkz6oA_3_0"/>
      <w:bookmarkStart w:id="34" w:name="Tc_PhfIfDe4tUqWeZzGwj3PSA_2_3"/>
      <w:bookmarkStart w:id="35" w:name="Tc_hkeqrLN3L0WRf0aRv9MTBQ_2_1"/>
      <w:bookmarkStart w:id="36" w:name="Tc_AAsdXJmJ9kCGps_o_fwhFw_1_4"/>
      <w:bookmarkStart w:id="37" w:name="Tc_rJnFfbDLh0K6yoZPacS6mg_1_3"/>
      <w:bookmarkStart w:id="38" w:name="Tc_WdWihLMlqECzd8Xre7-sTg_1_1"/>
      <w:bookmarkStart w:id="39" w:name="Tc__DvrcqAWqkWwzjxbPrOTOg_1_0"/>
      <w:bookmarkStart w:id="40" w:name="_9331af3b_6a68_463c_9a7c_80fba0e0dec0"/>
      <w:bookmarkStart w:id="41" w:name="Tc_d2RIvmPVAkuJp8pEIkz6oA_3_0"/>
      <w:bookmarkStart w:id="42" w:name="Tc_PhfIfDe4tUqWeZzGwj3PSA_2_3"/>
      <w:bookmarkStart w:id="43" w:name="Tc_hkeqrLN3L0WRf0aRv9MTBQ_2_1"/>
      <w:bookmarkStart w:id="44" w:name="Tc_AAsdXJmJ9kCGps_o_fwhFw_1_4"/>
      <w:bookmarkStart w:id="45" w:name="Tc_rJnFfbDLh0K6yoZPacS6mg_1_3"/>
      <w:bookmarkStart w:id="46" w:name="Tc_WdWihLMlqECzd8Xre7-sTg_1_1"/>
      <w:bookmarkStart w:id="47" w:name="Tc__DvrcqAWqkWwzjxbPrOTOg_1_0"/>
      <w:bookmarkStart w:id="48" w:name="_9331af3b_6a68_463c_9a7c_80fba0e0dec0"/>
      <w:bookmarkEnd w:id="41"/>
      <w:bookmarkEnd w:id="42"/>
      <w:bookmarkEnd w:id="43"/>
      <w:bookmarkEnd w:id="44"/>
      <w:bookmarkEnd w:id="45"/>
      <w:bookmarkEnd w:id="46"/>
      <w:bookmarkEnd w:id="47"/>
      <w:bookmarkEnd w:id="48"/>
    </w:p>
    <w:tbl>
      <w:tblPr>
        <w:tblW w:w="5408" w:type="dxa"/>
        <w:jc w:val="left"/>
        <w:tblInd w:w="0" w:type="dxa"/>
        <w:tblLayout w:type="fixed"/>
        <w:tblCellMar>
          <w:top w:w="0" w:type="dxa"/>
          <w:left w:w="0" w:type="dxa"/>
          <w:bottom w:w="0" w:type="dxa"/>
          <w:right w:w="0" w:type="dxa"/>
        </w:tblCellMar>
      </w:tblPr>
      <w:tblGrid>
        <w:gridCol w:w="2311"/>
        <w:gridCol w:w="316"/>
        <w:gridCol w:w="109"/>
        <w:gridCol w:w="2311"/>
        <w:gridCol w:w="36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As of August 4, 2023, the number of outstanding shares of the Registrant’s common stock was 41,352,381.</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9" w:name="TOC"/>
      <w:bookmarkStart w:id="50" w:name="_0c698776_7770_44e9_8da9_b268102c82d6"/>
      <w:bookmarkEnd w:id="49"/>
      <w:bookmarkEnd w:id="50"/>
      <w:r>
        <w:rPr>
          <w:rFonts w:ascii="Arial;Helvetica;sans-serif" w:hAnsi="Arial;Helvetica;sans-serif"/>
          <w:b/>
          <w:sz w:val="20"/>
        </w:rPr>
        <w:t>Table of Contents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 xml:space="preserve">PART I-FINANCIAL INFORMATION </w:t>
      </w:r>
    </w:p>
    <w:tbl>
      <w:tblPr>
        <w:tblW w:w="9246" w:type="dxa"/>
        <w:jc w:val="left"/>
        <w:tblInd w:w="0" w:type="dxa"/>
        <w:tblLayout w:type="fixed"/>
        <w:tblCellMar>
          <w:top w:w="0" w:type="dxa"/>
          <w:left w:w="0" w:type="dxa"/>
          <w:bottom w:w="0" w:type="dxa"/>
          <w:right w:w="0" w:type="dxa"/>
        </w:tblCellMar>
      </w:tblPr>
      <w:tblGrid>
        <w:gridCol w:w="8536"/>
        <w:gridCol w:w="109"/>
        <w:gridCol w:w="601"/>
      </w:tblGrid>
      <w:tr>
        <w:trPr/>
        <w:tc>
          <w:tcPr>
            <w:tcW w:w="8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420360" cy="175260"/>
                      <wp:effectExtent l="0" t="0" r="0" b="0"/>
                      <wp:wrapNone/>
                      <wp:docPr id="1" name="Frame1"/>
                      <a:graphic xmlns:a="http://schemas.openxmlformats.org/drawingml/2006/main">
                        <a:graphicData uri="http://schemas.microsoft.com/office/word/2010/wordprocessingShape">
                          <wps:wsp>
                            <wps:cNvSpPr txBox="1"/>
                            <wps:spPr>
                              <a:xfrm>
                                <a:off x="0" y="0"/>
                                <a:ext cx="542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81635" cy="175260"/>
                      <wp:effectExtent l="0" t="0" r="0" b="0"/>
                      <wp:wrapNone/>
                      <wp:docPr id="3" name="Frame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3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Item 1. Financial Statements.</w:t>
            </w:r>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240"/>
              <w:ind w:left="0" w:right="0" w:hanging="0"/>
              <w:jc w:val="center"/>
              <w:rPr/>
            </w:pPr>
            <w:r>
              <w:rPr/>
              <w:t>​</w:t>
            </w:r>
          </w:p>
        </w:tc>
      </w:tr>
      <w:tr>
        <w:trPr/>
        <w:tc>
          <w:tcPr>
            <w:tcW w:w="8536"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8536" w:type="dxa"/>
            <w:tcBorders/>
            <w:vAlign w:val="center"/>
          </w:tcPr>
          <w:p>
            <w:pPr>
              <w:pStyle w:val="TableContents"/>
              <w:bidi w:val="0"/>
              <w:spacing w:before="0" w:after="0"/>
              <w:ind w:left="0" w:right="0" w:hanging="0"/>
              <w:jc w:val="both"/>
              <w:rPr/>
            </w:pPr>
            <w:hyperlink w:anchor="PARTIFINANCIALINFORMATION_243352">
              <w:r>
                <w:rPr>
                  <w:rStyle w:val="InternetLink"/>
                  <w:rFonts w:ascii="Arial;Helvetica;sans-serif" w:hAnsi="Arial;Helvetica;sans-serif"/>
                  <w:b w:val="false"/>
                  <w:i w:val="false"/>
                  <w:caps w:val="false"/>
                  <w:smallCaps w:val="false"/>
                  <w:sz w:val="20"/>
                </w:rPr>
                <w:t>PART I. FINANCIAL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Item1FinancialStatements_533031">
              <w:r>
                <w:rPr>
                  <w:rStyle w:val="InternetLink"/>
                  <w:rFonts w:ascii="Arial;Helvetica;sans-serif" w:hAnsi="Arial;Helvetica;san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CondensedConsolidatedBalanceSheets_65975">
              <w:r>
                <w:rPr>
                  <w:rStyle w:val="InternetLink"/>
                  <w:rFonts w:ascii="Arial;Helvetica;sans-serif" w:hAnsi="Arial;Helvetica;sans-serif"/>
                  <w:b w:val="false"/>
                  <w:i w:val="false"/>
                  <w:caps w:val="false"/>
                  <w:smallCaps w:val="false"/>
                  <w:sz w:val="20"/>
                </w:rPr>
                <w:t>Condensed Consolidated Balance Sheets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536" w:type="dxa"/>
            <w:tcBorders/>
            <w:vAlign w:val="center"/>
          </w:tcPr>
          <w:p>
            <w:pPr>
              <w:pStyle w:val="TableContents"/>
              <w:bidi w:val="0"/>
              <w:spacing w:before="0" w:after="0"/>
              <w:ind w:left="0" w:right="0" w:hanging="0"/>
              <w:jc w:val="both"/>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 Equity</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536" w:type="dxa"/>
            <w:tcBorders/>
            <w:vAlign w:val="center"/>
          </w:tcPr>
          <w:p>
            <w:pPr>
              <w:pStyle w:val="TableContents"/>
              <w:bidi w:val="0"/>
              <w:spacing w:before="0" w:after="0"/>
              <w:ind w:left="0" w:right="0" w:hanging="0"/>
              <w:jc w:val="both"/>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536" w:type="dxa"/>
            <w:tcBorders/>
            <w:vAlign w:val="center"/>
          </w:tcPr>
          <w:p>
            <w:pPr>
              <w:pStyle w:val="TableContents"/>
              <w:bidi w:val="0"/>
              <w:spacing w:before="0" w:after="0"/>
              <w:ind w:left="0" w:right="0" w:hanging="0"/>
              <w:jc w:val="both"/>
              <w:rPr/>
            </w:pPr>
            <w:hyperlink w:anchor="Notestocondensedconsolidatedfinancialsta">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536"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r>
      <w:tr>
        <w:trPr/>
        <w:tc>
          <w:tcPr>
            <w:tcW w:w="8536" w:type="dxa"/>
            <w:tcBorders/>
            <w:vAlign w:val="center"/>
          </w:tcPr>
          <w:p>
            <w:pPr>
              <w:pStyle w:val="TableContents"/>
              <w:bidi w:val="0"/>
              <w:spacing w:before="0" w:after="0"/>
              <w:ind w:left="0" w:right="0" w:hanging="0"/>
              <w:jc w:val="both"/>
              <w:rPr/>
            </w:pPr>
            <w:hyperlink w:anchor="Item3Quantitative">
              <w:r>
                <w:rPr>
                  <w:rStyle w:val="InternetLink"/>
                  <w:rFonts w:ascii="Arial;Helvetica;sans-serif" w:hAnsi="Arial;Helvetica;san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536" w:type="dxa"/>
            <w:tcBorders/>
            <w:vAlign w:val="center"/>
          </w:tcPr>
          <w:p>
            <w:pPr>
              <w:pStyle w:val="TableContents"/>
              <w:bidi w:val="0"/>
              <w:spacing w:before="0" w:after="0"/>
              <w:ind w:left="0" w:right="0" w:hanging="0"/>
              <w:jc w:val="both"/>
              <w:rPr/>
            </w:pPr>
            <w:hyperlink w:anchor="Item4ControlsandProcedures">
              <w:r>
                <w:rPr>
                  <w:rStyle w:val="InternetLink"/>
                  <w:rFonts w:ascii="Arial;Helvetica;sans-serif" w:hAnsi="Arial;Helvetica;sans-serif"/>
                  <w:b w:val="false"/>
                  <w:i w:val="false"/>
                  <w:caps w:val="false"/>
                  <w:smallCaps w:val="false"/>
                  <w:sz w:val="20"/>
                </w:rPr>
                <w:t>Item 4. Controls and Procedures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536" w:type="dxa"/>
            <w:tcBorders/>
            <w:vAlign w:val="center"/>
          </w:tcPr>
          <w:p>
            <w:pPr>
              <w:pStyle w:val="TableContents"/>
              <w:bidi w:val="0"/>
              <w:spacing w:before="0" w:after="0"/>
              <w:ind w:left="0" w:right="0" w:hanging="0"/>
              <w:jc w:val="both"/>
              <w:rPr/>
            </w:pPr>
            <w:hyperlink w:anchor="PARTIIOTHERINFORMATION_169197">
              <w:r>
                <w:rPr>
                  <w:rStyle w:val="InternetLink"/>
                  <w:rFonts w:ascii="Arial;Helvetica;sans-serif" w:hAnsi="Arial;Helvetica;sans-serif"/>
                  <w:b w:val="false"/>
                  <w:i w:val="false"/>
                  <w:caps w:val="false"/>
                  <w:smallCaps w:val="false"/>
                  <w:sz w:val="20"/>
                </w:rPr>
                <w:t>PART II. OTHER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vAlign w:val="center"/>
          </w:tcPr>
          <w:p>
            <w:pPr>
              <w:pStyle w:val="TableContents"/>
              <w:bidi w:val="0"/>
              <w:spacing w:before="0" w:after="0"/>
              <w:ind w:left="0" w:right="0" w:hanging="0"/>
              <w:jc w:val="both"/>
              <w:rPr/>
            </w:pPr>
            <w:hyperlink w:anchor="Item1LegalProceedings_105808">
              <w:r>
                <w:rPr>
                  <w:rStyle w:val="InternetLink"/>
                  <w:rFonts w:ascii="Arial;Helvetica;sans-serif" w:hAnsi="Arial;Helvetica;sans-serif"/>
                  <w:b w:val="false"/>
                  <w:i w:val="false"/>
                  <w:caps w:val="false"/>
                  <w:smallCaps w:val="false"/>
                  <w:sz w:val="20"/>
                </w:rPr>
                <w:t>Item 1. Legal Proceedings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vAlign w:val="center"/>
          </w:tcPr>
          <w:p>
            <w:pPr>
              <w:pStyle w:val="TableContents"/>
              <w:bidi w:val="0"/>
              <w:spacing w:before="0" w:after="0"/>
              <w:ind w:left="0" w:right="0" w:hanging="0"/>
              <w:jc w:val="both"/>
              <w:rPr/>
            </w:pPr>
            <w:hyperlink w:anchor="Item_1A_Risk_Factors">
              <w:r>
                <w:rPr>
                  <w:rStyle w:val="InternetLink"/>
                  <w:rFonts w:ascii="Arial;Helvetica;sans-serif" w:hAnsi="Arial;Helvetica;sans-serif"/>
                  <w:b w:val="false"/>
                  <w:i w:val="false"/>
                  <w:caps w:val="false"/>
                  <w:smallCaps w:val="false"/>
                  <w:sz w:val="20"/>
                </w:rPr>
                <w:t>Item 1A. Risk Factors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vAlign w:val="center"/>
          </w:tcPr>
          <w:p>
            <w:pPr>
              <w:pStyle w:val="TableContents"/>
              <w:bidi w:val="0"/>
              <w:spacing w:before="0" w:after="0"/>
              <w:ind w:left="0" w:right="0" w:hanging="0"/>
              <w:jc w:val="both"/>
              <w:rPr/>
            </w:pPr>
            <w:hyperlink w:anchor="Item2UnregisteredSalesofEquitySecurities">
              <w:r>
                <w:rPr>
                  <w:rStyle w:val="InternetLink"/>
                  <w:rFonts w:ascii="Arial;Helvetica;sans-serif" w:hAnsi="Arial;Helvetica;san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8536" w:type="dxa"/>
            <w:tcBorders/>
            <w:vAlign w:val="center"/>
          </w:tcPr>
          <w:p>
            <w:pPr>
              <w:pStyle w:val="TableContents"/>
              <w:bidi w:val="0"/>
              <w:spacing w:before="0" w:after="0"/>
              <w:ind w:left="0" w:right="0" w:hanging="0"/>
              <w:jc w:val="both"/>
              <w:rPr/>
            </w:pPr>
            <w:hyperlink w:anchor="Item3DefaultsUponSeniorSecurities_285444">
              <w:r>
                <w:rPr>
                  <w:rStyle w:val="InternetLink"/>
                  <w:rFonts w:ascii="Arial;Helvetica;sans-serif" w:hAnsi="Arial;Helvetica;san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8536" w:type="dxa"/>
            <w:tcBorders/>
            <w:vAlign w:val="center"/>
          </w:tcPr>
          <w:p>
            <w:pPr>
              <w:pStyle w:val="TableContents"/>
              <w:bidi w:val="0"/>
              <w:spacing w:before="0" w:after="0"/>
              <w:ind w:left="0" w:right="0" w:hanging="0"/>
              <w:jc w:val="both"/>
              <w:rPr/>
            </w:pPr>
            <w:hyperlink w:anchor="Item4MineSafetyDisclosures_363877">
              <w:r>
                <w:rPr>
                  <w:rStyle w:val="InternetLink"/>
                  <w:rFonts w:ascii="Arial;Helvetica;sans-serif" w:hAnsi="Arial;Helvetica;sans-serif"/>
                  <w:b w:val="false"/>
                  <w:i w:val="false"/>
                  <w:caps w:val="false"/>
                  <w:smallCaps w:val="false"/>
                  <w:sz w:val="20"/>
                </w:rPr>
                <w:t>Item 4. Mine Safety Disclosures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8536" w:type="dxa"/>
            <w:tcBorders/>
            <w:vAlign w:val="center"/>
          </w:tcPr>
          <w:p>
            <w:pPr>
              <w:pStyle w:val="TableContents"/>
              <w:bidi w:val="0"/>
              <w:spacing w:before="0" w:after="0"/>
              <w:ind w:left="0" w:right="0" w:hanging="0"/>
              <w:jc w:val="both"/>
              <w:rPr/>
            </w:pPr>
            <w:hyperlink w:anchor="Item5OtherInformation_250924">
              <w:r>
                <w:rPr>
                  <w:rStyle w:val="InternetLink"/>
                  <w:rFonts w:ascii="Arial;Helvetica;sans-serif" w:hAnsi="Arial;Helvetica;sans-serif"/>
                  <w:b w:val="false"/>
                  <w:i w:val="false"/>
                  <w:caps w:val="false"/>
                  <w:smallCaps w:val="false"/>
                  <w:sz w:val="20"/>
                </w:rPr>
                <w:t>Item 5. Other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8536" w:type="dxa"/>
            <w:tcBorders/>
            <w:vAlign w:val="center"/>
          </w:tcPr>
          <w:p>
            <w:pPr>
              <w:pStyle w:val="TableContents"/>
              <w:bidi w:val="0"/>
              <w:spacing w:before="0" w:after="0"/>
              <w:ind w:left="0" w:right="0" w:hanging="0"/>
              <w:jc w:val="both"/>
              <w:rPr/>
            </w:pPr>
            <w:hyperlink w:anchor="Item6Exhibits_686387">
              <w:r>
                <w:rPr>
                  <w:rStyle w:val="InternetLink"/>
                  <w:rFonts w:ascii="Arial;Helvetica;sans-serif" w:hAnsi="Arial;Helvetica;sans-serif"/>
                  <w:b w:val="false"/>
                  <w:i w:val="false"/>
                  <w:caps w:val="false"/>
                  <w:smallCaps w:val="false"/>
                  <w:sz w:val="20"/>
                </w:rPr>
                <w:t>Item 6. Exhibits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51" w:name="PARTIFINANCIALINFORMATION_243352"/>
      <w:bookmarkStart w:id="52" w:name="_e8289620_8cf2_4a7b_8ecc_62f95228a20f"/>
      <w:bookmarkEnd w:id="51"/>
      <w:bookmarkEnd w:id="52"/>
      <w:r>
        <w:rPr>
          <w:rFonts w:ascii="Arial;Helvetica;sans-serif" w:hAnsi="Arial;Helvetica;sans-serif"/>
          <w:b/>
          <w:sz w:val="20"/>
        </w:rPr>
        <w:t>PART I – FINANCIAL INFORMATION</w:t>
      </w:r>
    </w:p>
    <w:p>
      <w:pPr>
        <w:pStyle w:val="TextBody"/>
        <w:bidi w:val="0"/>
        <w:spacing w:before="0" w:after="240"/>
        <w:ind w:left="0" w:right="0" w:hanging="0"/>
        <w:jc w:val="left"/>
        <w:rPr>
          <w:rFonts w:ascii="Arial;Helvetica;sans-serif" w:hAnsi="Arial;Helvetica;sans-serif"/>
          <w:b/>
          <w:sz w:val="20"/>
        </w:rPr>
      </w:pPr>
      <w:bookmarkStart w:id="53" w:name="Item1FinancialStatements_533031"/>
      <w:bookmarkEnd w:id="53"/>
      <w:r>
        <w:rPr>
          <w:rFonts w:ascii="Arial;Helvetica;sans-serif" w:hAnsi="Arial;Helvetica;sans-serif"/>
          <w:b/>
          <w:sz w:val="20"/>
        </w:rPr>
        <w:t>Item 1.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bookmarkStart w:id="54" w:name="CondensedConsolidatedBalanceSheets_65975"/>
      <w:bookmarkEnd w:id="54"/>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 except for share amounts)</w:t>
      </w:r>
    </w:p>
    <w:p>
      <w:pPr>
        <w:pStyle w:val="Normal"/>
        <w:bidi w:val="0"/>
        <w:spacing w:before="0" w:after="0"/>
        <w:jc w:val="left"/>
        <w:rPr>
          <w:sz w:val="4"/>
          <w:szCs w:val="4"/>
        </w:rPr>
      </w:pPr>
      <w:r>
        <w:rPr>
          <w:sz w:val="4"/>
          <w:szCs w:val="4"/>
        </w:rPr>
      </w:r>
      <w:bookmarkStart w:id="55" w:name="Tc_rXJMTY9qfUmPC2cNhSOHOQ_30_5"/>
      <w:bookmarkStart w:id="56" w:name="Tc_gvVl81KpPE26YQ47ErxYuw_30_2"/>
      <w:bookmarkStart w:id="57" w:name="Tc_Hvytd4esWk6TqLCKSYXvPA_30_0"/>
      <w:bookmarkStart w:id="58" w:name="Tc_Xj57gUUyskWOo4Eq8BNAcg_29_0"/>
      <w:bookmarkStart w:id="59" w:name="Tc_aElQIcpEZU-bjPptO0tmYw_28_0"/>
      <w:bookmarkStart w:id="60" w:name="Tc_Orz3MiOmjUGGQhVq7dCsgg_27_0"/>
      <w:bookmarkStart w:id="61" w:name="Tc_eHiSVkMXcE64kdUQKDzFLA_26_0"/>
      <w:bookmarkStart w:id="62" w:name="Tc_cf6l99W0mE-mE33FYvr0_g_25_0"/>
      <w:bookmarkStart w:id="63" w:name="_1e081172_1a73_4f48_9ad6_96cf66e4d9a8_3"/>
      <w:bookmarkStart w:id="64" w:name="_1e081172_1a73_4f48_9ad6_96cf66e4d9a8_2"/>
      <w:bookmarkStart w:id="65" w:name="_1e081172_1a73_4f48_9ad6_96cf66e4d9a8"/>
      <w:bookmarkStart w:id="66" w:name="Tc_k5JAvHJ4ok-4d2MxMzWTEQ_24_0"/>
      <w:bookmarkStart w:id="67" w:name="Tc_Nnzx1QMBSUqvTVZcYUs8iA_23_0"/>
      <w:bookmarkStart w:id="68" w:name="Tc_oT7DIkqjGUaNgrTjZ-EfJw_22_0"/>
      <w:bookmarkStart w:id="69" w:name="Tc__FyMQTgfyEivlG4orBbrtA_21_0"/>
      <w:bookmarkStart w:id="70" w:name="Tc_rZmgQ0XHrkS6K1Ko_SoC9A_20_0"/>
      <w:bookmarkStart w:id="71" w:name="Tc_MdUc0Vh0Tk65WXmHoJKeNw_19_0"/>
      <w:bookmarkStart w:id="72" w:name="Tc_x5nKq1gm2US36UNvG2EfTQ_18_0"/>
      <w:bookmarkStart w:id="73" w:name="Tc_YWnmDitqVUunODq4lfpabw_17_0"/>
      <w:bookmarkStart w:id="74" w:name="Tc_uHc000OcB0qIRcV4KWLcRQ_16_5"/>
      <w:bookmarkStart w:id="75" w:name="Tc_EqLMZqt3c0e8e2SIZq7o0Q_16_2"/>
      <w:bookmarkStart w:id="76" w:name="Tc_sny5G24IqEO5VD4Ydldv5w_16_0"/>
      <w:bookmarkStart w:id="77" w:name="Tc_T9HX5NTakEKDTlp-Q41udA_15_0"/>
      <w:bookmarkStart w:id="78" w:name="Tc_8X_awmbV8E6jEUkukeVMpw_14_0"/>
      <w:bookmarkStart w:id="79" w:name="Tc_Q5pi6Cjauk6qkXq965xipQ_12_5"/>
      <w:bookmarkStart w:id="80" w:name="Tc_ZKRdyFuWbUaxlfbak9fUBQ_12_2"/>
      <w:bookmarkStart w:id="81" w:name="Tc_sulZsU0NMk6-uSkHy571kw_12_0"/>
      <w:bookmarkStart w:id="82" w:name="Tc_d_DwMGVRUECqpOYLlwzH0w_11_0"/>
      <w:bookmarkStart w:id="83" w:name="Tc_trd3hB7Pckyk3oP1TeeCNg_10_0"/>
      <w:bookmarkStart w:id="84" w:name="Tc_8Wi5F-kMWEWhE2LQ3RlPNw_9_0"/>
      <w:bookmarkStart w:id="85" w:name="Tc_xLnuIHs8K0amqIb1AW3WQQ_8_0"/>
      <w:bookmarkStart w:id="86" w:name="Tc_qNi1MwNiXUijUeDv0AnR3Q_7_0"/>
      <w:bookmarkStart w:id="87" w:name="Tc_Q6zkp0DSnkW-Kx5PTEbu2g_6_0"/>
      <w:bookmarkStart w:id="88" w:name="Tc_6Q__POCsrk2JdzW6J7Yp9g_5_5"/>
      <w:bookmarkStart w:id="89" w:name="Tc_LBbD2pJsUk20h6GHyOOCYQ_5_2"/>
      <w:bookmarkStart w:id="90" w:name="Tc_iSrAUT7rZEiUVfFEjrlYJw_5_0"/>
      <w:bookmarkStart w:id="91" w:name="Tc_S8WXUitYPU-EV1W1mQWATw_4_0"/>
      <w:bookmarkStart w:id="92" w:name="Tc_S1nktZQ7z0OwR9lmcg_HPA_3_0"/>
      <w:bookmarkStart w:id="93" w:name="Tc_MkkbhKLD40KpHscZeaN9ZQ_2_5"/>
      <w:bookmarkStart w:id="94" w:name="Tc_SYXHlDgQFUmLT6PEj-xNqg_2_2"/>
      <w:bookmarkStart w:id="95" w:name="Tc_5N2mmyC-mUqH32rmnFU8ZQ_1_6"/>
      <w:bookmarkStart w:id="96" w:name="Tc_YgptOcsDZkWhGt-UHes4_A_1_3"/>
      <w:bookmarkStart w:id="97" w:name="_e36e3899_9d9b_44fc_b0ce_f444e53266a0"/>
      <w:bookmarkStart w:id="98" w:name="Tc_rXJMTY9qfUmPC2cNhSOHOQ_30_5"/>
      <w:bookmarkStart w:id="99" w:name="Tc_gvVl81KpPE26YQ47ErxYuw_30_2"/>
      <w:bookmarkStart w:id="100" w:name="Tc_Hvytd4esWk6TqLCKSYXvPA_30_0"/>
      <w:bookmarkStart w:id="101" w:name="Tc_Xj57gUUyskWOo4Eq8BNAcg_29_0"/>
      <w:bookmarkStart w:id="102" w:name="Tc_aElQIcpEZU-bjPptO0tmYw_28_0"/>
      <w:bookmarkStart w:id="103" w:name="Tc_Orz3MiOmjUGGQhVq7dCsgg_27_0"/>
      <w:bookmarkStart w:id="104" w:name="Tc_eHiSVkMXcE64kdUQKDzFLA_26_0"/>
      <w:bookmarkStart w:id="105" w:name="Tc_cf6l99W0mE-mE33FYvr0_g_25_0"/>
      <w:bookmarkStart w:id="106" w:name="_1e081172_1a73_4f48_9ad6_96cf66e4d9a8_3"/>
      <w:bookmarkStart w:id="107" w:name="_1e081172_1a73_4f48_9ad6_96cf66e4d9a8_2"/>
      <w:bookmarkStart w:id="108" w:name="_1e081172_1a73_4f48_9ad6_96cf66e4d9a8"/>
      <w:bookmarkStart w:id="109" w:name="Tc_k5JAvHJ4ok-4d2MxMzWTEQ_24_0"/>
      <w:bookmarkStart w:id="110" w:name="Tc_Nnzx1QMBSUqvTVZcYUs8iA_23_0"/>
      <w:bookmarkStart w:id="111" w:name="Tc_oT7DIkqjGUaNgrTjZ-EfJw_22_0"/>
      <w:bookmarkStart w:id="112" w:name="Tc__FyMQTgfyEivlG4orBbrtA_21_0"/>
      <w:bookmarkStart w:id="113" w:name="Tc_rZmgQ0XHrkS6K1Ko_SoC9A_20_0"/>
      <w:bookmarkStart w:id="114" w:name="Tc_MdUc0Vh0Tk65WXmHoJKeNw_19_0"/>
      <w:bookmarkStart w:id="115" w:name="Tc_x5nKq1gm2US36UNvG2EfTQ_18_0"/>
      <w:bookmarkStart w:id="116" w:name="Tc_YWnmDitqVUunODq4lfpabw_17_0"/>
      <w:bookmarkStart w:id="117" w:name="Tc_uHc000OcB0qIRcV4KWLcRQ_16_5"/>
      <w:bookmarkStart w:id="118" w:name="Tc_EqLMZqt3c0e8e2SIZq7o0Q_16_2"/>
      <w:bookmarkStart w:id="119" w:name="Tc_sny5G24IqEO5VD4Ydldv5w_16_0"/>
      <w:bookmarkStart w:id="120" w:name="Tc_T9HX5NTakEKDTlp-Q41udA_15_0"/>
      <w:bookmarkStart w:id="121" w:name="Tc_8X_awmbV8E6jEUkukeVMpw_14_0"/>
      <w:bookmarkStart w:id="122" w:name="Tc_Q5pi6Cjauk6qkXq965xipQ_12_5"/>
      <w:bookmarkStart w:id="123" w:name="Tc_ZKRdyFuWbUaxlfbak9fUBQ_12_2"/>
      <w:bookmarkStart w:id="124" w:name="Tc_sulZsU0NMk6-uSkHy571kw_12_0"/>
      <w:bookmarkStart w:id="125" w:name="Tc_d_DwMGVRUECqpOYLlwzH0w_11_0"/>
      <w:bookmarkStart w:id="126" w:name="Tc_trd3hB7Pckyk3oP1TeeCNg_10_0"/>
      <w:bookmarkStart w:id="127" w:name="Tc_8Wi5F-kMWEWhE2LQ3RlPNw_9_0"/>
      <w:bookmarkStart w:id="128" w:name="Tc_xLnuIHs8K0amqIb1AW3WQQ_8_0"/>
      <w:bookmarkStart w:id="129" w:name="Tc_qNi1MwNiXUijUeDv0AnR3Q_7_0"/>
      <w:bookmarkStart w:id="130" w:name="Tc_Q6zkp0DSnkW-Kx5PTEbu2g_6_0"/>
      <w:bookmarkStart w:id="131" w:name="Tc_6Q__POCsrk2JdzW6J7Yp9g_5_5"/>
      <w:bookmarkStart w:id="132" w:name="Tc_LBbD2pJsUk20h6GHyOOCYQ_5_2"/>
      <w:bookmarkStart w:id="133" w:name="Tc_iSrAUT7rZEiUVfFEjrlYJw_5_0"/>
      <w:bookmarkStart w:id="134" w:name="Tc_S8WXUitYPU-EV1W1mQWATw_4_0"/>
      <w:bookmarkStart w:id="135" w:name="Tc_S1nktZQ7z0OwR9lmcg_HPA_3_0"/>
      <w:bookmarkStart w:id="136" w:name="Tc_MkkbhKLD40KpHscZeaN9ZQ_2_5"/>
      <w:bookmarkStart w:id="137" w:name="Tc_SYXHlDgQFUmLT6PEj-xNqg_2_2"/>
      <w:bookmarkStart w:id="138" w:name="Tc_5N2mmyC-mUqH32rmnFU8ZQ_1_6"/>
      <w:bookmarkStart w:id="139" w:name="Tc_YgptOcsDZkWhGt-UHes4_A_1_3"/>
      <w:bookmarkStart w:id="140" w:name="_e36e3899_9d9b_44fc_b0ce_f444e53266a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7072"/>
        <w:gridCol w:w="326"/>
        <w:gridCol w:w="211"/>
        <w:gridCol w:w="868"/>
        <w:gridCol w:w="326"/>
        <w:gridCol w:w="211"/>
        <w:gridCol w:w="1191"/>
      </w:tblGrid>
      <w:tr>
        <w:trPr/>
        <w:tc>
          <w:tcPr>
            <w:tcW w:w="7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90720" cy="175260"/>
                      <wp:effectExtent l="0" t="0" r="0" b="0"/>
                      <wp:wrapNone/>
                      <wp:docPr id="4" name="Frame4"/>
                      <a:graphic xmlns:a="http://schemas.openxmlformats.org/drawingml/2006/main">
                        <a:graphicData uri="http://schemas.microsoft.com/office/word/2010/wordprocessingShape">
                          <wps:wsp>
                            <wps:cNvSpPr txBox="1"/>
                            <wps:spPr>
                              <a:xfrm>
                                <a:off x="0" y="0"/>
                                <a:ext cx="4490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1180" cy="175260"/>
                      <wp:effectExtent l="0" t="0" r="0" b="0"/>
                      <wp:wrapNone/>
                      <wp:docPr id="7" name="Frame7"/>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56285" cy="175260"/>
                      <wp:effectExtent l="0" t="0" r="0" b="0"/>
                      <wp:wrapNone/>
                      <wp:docPr id="10" name="Frame10"/>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7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868"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191"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0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pPr>
            <w:r>
              <w:rPr/>
              <w:t>​</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pPr>
            <w:r>
              <w:rPr/>
              <w:t>​</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34,958</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23,702</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Marketable securities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132,486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180,719</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Prepaid expenses and other current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868"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4,065</w:t>
            </w:r>
          </w:p>
        </w:tc>
        <w:tc>
          <w:tcPr>
            <w:tcW w:w="326" w:type="dxa"/>
            <w:tcBorders>
              <w:bottom w:val="single" w:sz="2" w:space="0" w:color="231F2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19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4,478</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171,509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208,899</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1,480</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2,495</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and long-term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868"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2,904</w:t>
            </w:r>
          </w:p>
        </w:tc>
        <w:tc>
          <w:tcPr>
            <w:tcW w:w="326" w:type="dxa"/>
            <w:tcBorders>
              <w:bottom w:val="single" w:sz="2" w:space="0" w:color="231F2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19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2,771</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assets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177,624</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215,645</w:t>
            </w:r>
          </w:p>
        </w:tc>
      </w:tr>
      <w:tr>
        <w:trPr/>
        <w:tc>
          <w:tcPr>
            <w:tcW w:w="70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91"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91"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91"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 liabilities, current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1,015</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and 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12,408</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15,160</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16,549</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16,041</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18,099</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91" w:type="dxa"/>
            <w:tcBorders/>
            <w:vAlign w:val="center"/>
          </w:tcPr>
          <w:p>
            <w:pPr>
              <w:pStyle w:val="TableContents"/>
              <w:bidi w:val="0"/>
              <w:spacing w:before="0" w:after="1"/>
              <w:ind w:left="0" w:right="0" w:hanging="0"/>
              <w:jc w:val="right"/>
              <w:rPr/>
            </w:pPr>
            <w:r>
              <w:rPr/>
              <w:t>​</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91" w:type="dxa"/>
            <w:tcBorders/>
            <w:shd w:fill="CCEEFF" w:val="clear"/>
            <w:vAlign w:val="center"/>
          </w:tcPr>
          <w:p>
            <w:pPr>
              <w:pStyle w:val="TableContents"/>
              <w:bidi w:val="0"/>
              <w:spacing w:before="0" w:after="1"/>
              <w:ind w:left="0" w:right="0" w:hanging="0"/>
              <w:jc w:val="right"/>
              <w:rPr/>
            </w:pPr>
            <w:r>
              <w:rPr/>
              <w:t>​</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 xml:space="preserve">Preferred stock, $0.0001 par value; 10,000,000 shares authorized as of June 30, 2023 and December 31, 2022; no shares issued and outstanding as of June 30, 2023 and December 31, 2022.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9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$0.0001 par value; 490,000,000 shares authorized as of June 30, 2023 and December 31, 2022; 41,324,416 and 40,601,648 shares issued as of June 30, 2023 and December 31, 2022, respectively; 41,122,482 and 40,287,097 shares outstanding as of June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419,456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color w:val="231F20"/>
              </w:rPr>
            </w:pPr>
            <w:r>
              <w:rPr>
                <w:color w:val="231F20"/>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408,333</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(1,813)</w:t>
            </w:r>
          </w:p>
        </w:tc>
      </w:tr>
      <w:tr>
        <w:trPr/>
        <w:tc>
          <w:tcPr>
            <w:tcW w:w="7072"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(257,358)</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(208,977)</w:t>
            </w:r>
          </w:p>
        </w:tc>
      </w:tr>
      <w:tr>
        <w:trPr/>
        <w:tc>
          <w:tcPr>
            <w:tcW w:w="7072"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161,583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 </w:t>
            </w:r>
          </w:p>
        </w:tc>
        <w:tc>
          <w:tcPr>
            <w:tcW w:w="11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197,546</w:t>
            </w:r>
          </w:p>
        </w:tc>
      </w:tr>
      <w:tr>
        <w:trPr/>
        <w:tc>
          <w:tcPr>
            <w:tcW w:w="707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Total liabilities and stockholders’ equity</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177,624</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215,645</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41" w:name="_e66cff4a_1754_4db1_bf7b_c2a4ea2a9312"/>
      <w:bookmarkEnd w:id="141"/>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sz w:val="20"/>
        </w:rPr>
      </w:pPr>
      <w:bookmarkStart w:id="142" w:name="CondensedConsolidatedStatementsofoperati"/>
      <w:bookmarkEnd w:id="142"/>
      <w:r>
        <w:rPr>
          <w:rFonts w:ascii="Arial;Helvetica;sans-serif" w:hAnsi="Arial;Helvetica;sans-serif"/>
          <w:b/>
          <w:sz w:val="20"/>
        </w:rPr>
        <w:t>(Unaudited)</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 except for share and per share amounts)</w:t>
      </w:r>
    </w:p>
    <w:p>
      <w:pPr>
        <w:pStyle w:val="Normal"/>
        <w:bidi w:val="0"/>
        <w:spacing w:before="0" w:after="0"/>
        <w:jc w:val="left"/>
        <w:rPr>
          <w:sz w:val="4"/>
          <w:szCs w:val="4"/>
        </w:rPr>
      </w:pPr>
      <w:r>
        <w:rPr>
          <w:sz w:val="4"/>
          <w:szCs w:val="4"/>
        </w:rPr>
      </w:r>
      <w:bookmarkStart w:id="143" w:name="Tc_7rrTD1W_zUm6QCmkASDxBQ_14_0"/>
      <w:bookmarkStart w:id="144" w:name="Tc_EWwbG4e6YUy7TgrPHYUTPA_13_11"/>
      <w:bookmarkStart w:id="145" w:name="Tc_Zg2WiAS2gE-3bm1nJ42Asg_13_8"/>
      <w:bookmarkStart w:id="146" w:name="Tc_S1k3EzqfREq7mhF-vcYBPA_13_5"/>
      <w:bookmarkStart w:id="147" w:name="Tc_2_DomIXnP0WAVfkjyUhIhQ_13_2"/>
      <w:bookmarkStart w:id="148" w:name="Tc_gNy1fm0ZXk-mNnjL7QOUlA_13_0"/>
      <w:bookmarkStart w:id="149" w:name="Tc_QjMT767-fU2rOU74-62fcA_12_11"/>
      <w:bookmarkStart w:id="150" w:name="Tc_QrCgQlWYIUOOdPQzI2bAfw_12_8"/>
      <w:bookmarkStart w:id="151" w:name="Tc_o6Z46TRMs0CPQTC6U5ek6g_12_5"/>
      <w:bookmarkStart w:id="152" w:name="Tc_d3zUYSVoX0O3pQNOxMncjg_12_2"/>
      <w:bookmarkStart w:id="153" w:name="Tc_e5jy5o_1J0WI3_vpkRNpEw_12_0"/>
      <w:bookmarkStart w:id="154" w:name="Tc_nu-C_S_gsUan3U2sWnzEcQ_11_0"/>
      <w:bookmarkStart w:id="155" w:name="Tc_IjQ5wLXgrEGG9xFhTttQUQ_10_0"/>
      <w:bookmarkStart w:id="156" w:name="Tc_iIFZaIOFv0aJkrKXHcqBeg_9_0"/>
      <w:bookmarkStart w:id="157" w:name="Tc_xp5Zcg0SNEi_hiycIvFmlg_8_0"/>
      <w:bookmarkStart w:id="158" w:name="Tc_TuwE6ZeBt0SPIUjZdDN88g_7_0"/>
      <w:bookmarkStart w:id="159" w:name="Tc_B1FnhS81lkqn016SOsUCTg_6_0"/>
      <w:bookmarkStart w:id="160" w:name="Tc_xVXQuAbP7kmjyc-D4FdMHA_5_0"/>
      <w:bookmarkStart w:id="161" w:name="Tc_lnnt26BTlUaJO26SnP7-zg_4_11"/>
      <w:bookmarkStart w:id="162" w:name="Tc_bTlWmhvKSkSxGFtyxRZ4kQ_4_8"/>
      <w:bookmarkStart w:id="163" w:name="Tc_4P1l2CXMoECluFpxhBldeQ_4_5"/>
      <w:bookmarkStart w:id="164" w:name="Tc_oZ23J7sBE0GvpxMxcHKPBg_4_2"/>
      <w:bookmarkStart w:id="165" w:name="Tc__fi2OS0H9EKDJgl-h6o1UA_4_0"/>
      <w:bookmarkStart w:id="166" w:name="Tc__TDRqmfMxUy62IeNT0lgdQ_3_0"/>
      <w:bookmarkStart w:id="167" w:name="Tc_aDjnYo-mFU2OZCkM4yd5hQ_2_12"/>
      <w:bookmarkStart w:id="168" w:name="Tc_Mp7ItPGFN0G14_X0HhVdzw_2_9"/>
      <w:bookmarkStart w:id="169" w:name="Tc_zXXEKYTRgUCdFOmfPL-DUQ_2_6"/>
      <w:bookmarkStart w:id="170" w:name="Tc_5qCLae09K0uctEDopNddtA_2_3"/>
      <w:bookmarkStart w:id="171" w:name="Tc_yIXrd64qDUSFjJL_JNoXRw_1_8"/>
      <w:bookmarkStart w:id="172" w:name="Tc__qkBbm_q8kySrMq_NDst9A_1_2"/>
      <w:bookmarkStart w:id="173" w:name="_6807149e_4cfc_4374_a849_5e31f2eb3aa3"/>
      <w:bookmarkStart w:id="174" w:name="_d0ae8e7d_8a97_4d78_8423_e9a5e0f436e0"/>
      <w:bookmarkStart w:id="175" w:name="Tc_7rrTD1W_zUm6QCmkASDxBQ_14_0"/>
      <w:bookmarkStart w:id="176" w:name="Tc_EWwbG4e6YUy7TgrPHYUTPA_13_11"/>
      <w:bookmarkStart w:id="177" w:name="Tc_Zg2WiAS2gE-3bm1nJ42Asg_13_8"/>
      <w:bookmarkStart w:id="178" w:name="Tc_S1k3EzqfREq7mhF-vcYBPA_13_5"/>
      <w:bookmarkStart w:id="179" w:name="Tc_2_DomIXnP0WAVfkjyUhIhQ_13_2"/>
      <w:bookmarkStart w:id="180" w:name="Tc_gNy1fm0ZXk-mNnjL7QOUlA_13_0"/>
      <w:bookmarkStart w:id="181" w:name="Tc_QjMT767-fU2rOU74-62fcA_12_11"/>
      <w:bookmarkStart w:id="182" w:name="Tc_QrCgQlWYIUOOdPQzI2bAfw_12_8"/>
      <w:bookmarkStart w:id="183" w:name="Tc_o6Z46TRMs0CPQTC6U5ek6g_12_5"/>
      <w:bookmarkStart w:id="184" w:name="Tc_d3zUYSVoX0O3pQNOxMncjg_12_2"/>
      <w:bookmarkStart w:id="185" w:name="Tc_e5jy5o_1J0WI3_vpkRNpEw_12_0"/>
      <w:bookmarkStart w:id="186" w:name="Tc_nu-C_S_gsUan3U2sWnzEcQ_11_0"/>
      <w:bookmarkStart w:id="187" w:name="Tc_IjQ5wLXgrEGG9xFhTttQUQ_10_0"/>
      <w:bookmarkStart w:id="188" w:name="Tc_iIFZaIOFv0aJkrKXHcqBeg_9_0"/>
      <w:bookmarkStart w:id="189" w:name="Tc_xp5Zcg0SNEi_hiycIvFmlg_8_0"/>
      <w:bookmarkStart w:id="190" w:name="Tc_TuwE6ZeBt0SPIUjZdDN88g_7_0"/>
      <w:bookmarkStart w:id="191" w:name="Tc_B1FnhS81lkqn016SOsUCTg_6_0"/>
      <w:bookmarkStart w:id="192" w:name="Tc_xVXQuAbP7kmjyc-D4FdMHA_5_0"/>
      <w:bookmarkStart w:id="193" w:name="Tc_lnnt26BTlUaJO26SnP7-zg_4_11"/>
      <w:bookmarkStart w:id="194" w:name="Tc_bTlWmhvKSkSxGFtyxRZ4kQ_4_8"/>
      <w:bookmarkStart w:id="195" w:name="Tc_4P1l2CXMoECluFpxhBldeQ_4_5"/>
      <w:bookmarkStart w:id="196" w:name="Tc_oZ23J7sBE0GvpxMxcHKPBg_4_2"/>
      <w:bookmarkStart w:id="197" w:name="Tc__fi2OS0H9EKDJgl-h6o1UA_4_0"/>
      <w:bookmarkStart w:id="198" w:name="Tc__TDRqmfMxUy62IeNT0lgdQ_3_0"/>
      <w:bookmarkStart w:id="199" w:name="Tc_aDjnYo-mFU2OZCkM4yd5hQ_2_12"/>
      <w:bookmarkStart w:id="200" w:name="Tc_Mp7ItPGFN0G14_X0HhVdzw_2_9"/>
      <w:bookmarkStart w:id="201" w:name="Tc_zXXEKYTRgUCdFOmfPL-DUQ_2_6"/>
      <w:bookmarkStart w:id="202" w:name="Tc_5qCLae09K0uctEDopNddtA_2_3"/>
      <w:bookmarkStart w:id="203" w:name="Tc_yIXrd64qDUSFjJL_JNoXRw_1_8"/>
      <w:bookmarkStart w:id="204" w:name="Tc__qkBbm_q8kySrMq_NDst9A_1_2"/>
      <w:bookmarkStart w:id="205" w:name="_6807149e_4cfc_4374_a849_5e31f2eb3aa3"/>
      <w:bookmarkStart w:id="206" w:name="_d0ae8e7d_8a97_4d78_8423_e9a5e0f436e0"/>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10205" w:type="dxa"/>
        <w:jc w:val="left"/>
        <w:tblInd w:w="0" w:type="dxa"/>
        <w:tblLayout w:type="fixed"/>
        <w:tblCellMar>
          <w:top w:w="0" w:type="dxa"/>
          <w:left w:w="0" w:type="dxa"/>
          <w:bottom w:w="0" w:type="dxa"/>
          <w:right w:w="0" w:type="dxa"/>
        </w:tblCellMar>
      </w:tblPr>
      <w:tblGrid>
        <w:gridCol w:w="4348"/>
        <w:gridCol w:w="326"/>
        <w:gridCol w:w="196"/>
        <w:gridCol w:w="916"/>
        <w:gridCol w:w="326"/>
        <w:gridCol w:w="196"/>
        <w:gridCol w:w="916"/>
        <w:gridCol w:w="326"/>
        <w:gridCol w:w="196"/>
        <w:gridCol w:w="916"/>
        <w:gridCol w:w="326"/>
        <w:gridCol w:w="196"/>
        <w:gridCol w:w="1021"/>
      </w:tblGrid>
      <w:tr>
        <w:trPr/>
        <w:tc>
          <w:tcPr>
            <w:tcW w:w="4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760980" cy="175260"/>
                      <wp:effectExtent l="0" t="0" r="0" b="0"/>
                      <wp:wrapNone/>
                      <wp:docPr id="11" name="Frame11"/>
                      <a:graphic xmlns:a="http://schemas.openxmlformats.org/drawingml/2006/main">
                        <a:graphicData uri="http://schemas.microsoft.com/office/word/2010/wordprocessingShape">
                          <wps:wsp>
                            <wps:cNvSpPr txBox="1"/>
                            <wps:spPr>
                              <a:xfrm>
                                <a:off x="0" y="0"/>
                                <a:ext cx="276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1660" cy="175260"/>
                      <wp:effectExtent l="0" t="0" r="0" b="0"/>
                      <wp:wrapNone/>
                      <wp:docPr id="17" name="Frame1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660" cy="175260"/>
                      <wp:effectExtent l="0" t="0" r="0" b="0"/>
                      <wp:wrapNone/>
                      <wp:docPr id="20" name="Frame2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335" cy="175260"/>
                      <wp:effectExtent l="0" t="0" r="0" b="0"/>
                      <wp:wrapNone/>
                      <wp:docPr id="23" name="Frame2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4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550"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3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expenses:</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Research and development</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17,989</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27,054</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40,815</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2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43,063</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3,612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6,239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10,388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13,484</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21,601</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33,293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51,203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56,547</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(33,293)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102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(56,547)</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income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1021" w:type="dxa"/>
            <w:tcBorders/>
            <w:vAlign w:val="center"/>
          </w:tcPr>
          <w:p>
            <w:pPr>
              <w:pStyle w:val="TableContents"/>
              <w:bidi w:val="0"/>
              <w:spacing w:before="0" w:after="1"/>
              <w:ind w:left="0" w:right="0" w:hanging="0"/>
              <w:jc w:val="right"/>
              <w:rPr/>
            </w:pPr>
            <w:r>
              <w:rPr/>
              <w:t>  </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102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633</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(expense)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1,506</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2,822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659</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(20,095)</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(32,858)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(48,381)</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(55,888)</w:t>
            </w:r>
          </w:p>
        </w:tc>
      </w:tr>
      <w:tr>
        <w:trPr/>
        <w:tc>
          <w:tcPr>
            <w:tcW w:w="4348"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Net loss per share,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(0.49)</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(1.20)</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(1.40)</w:t>
            </w:r>
          </w:p>
        </w:tc>
      </w:tr>
      <w:tr>
        <w:trPr/>
        <w:tc>
          <w:tcPr>
            <w:tcW w:w="4348" w:type="dxa"/>
            <w:tcBorders/>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Weighted average shares used to compute net loss per share, basic and diluted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40,720,294</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39,918,219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40,470,041</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6"/>
              </w:rPr>
            </w:pPr>
            <w:r>
              <w:rPr>
                <w:rFonts w:ascii="Arial;Helvetica;sans-serif" w:hAnsi="Arial;Helvetica;sans-serif"/>
                <w:sz w:val="16"/>
              </w:rPr>
              <w:t>39,876,650</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07" w:name="Tc_ex08EahoM0qHcEN3iFoHww_6_11"/>
      <w:bookmarkStart w:id="208" w:name="Tc_pahx0YH4okOAFq1K_8Re5A_6_8"/>
      <w:bookmarkStart w:id="209" w:name="Tc_7pBLJYheGUSHyuwAdSZ5RQ_6_5"/>
      <w:bookmarkStart w:id="210" w:name="Tc_NgUh_cEoJ0iMawC7883qLQ_6_2"/>
      <w:bookmarkStart w:id="211" w:name="Tc_CLYvtU-kwUqfUpka73lg5w_6_0"/>
      <w:bookmarkStart w:id="212" w:name="Tc_kNu4spWcR0qk3p0x18wVAA_5_0"/>
      <w:bookmarkStart w:id="213" w:name="Tc_ATZ-dBG6IUGP1xkxFWVfYg_4_0"/>
      <w:bookmarkStart w:id="214" w:name="Tc_IjKLA81MyEO681YyofuI5A_3_11"/>
      <w:bookmarkStart w:id="215" w:name="Tc_-mQjnC2JRkidm9zs0F7DCg_3_8"/>
      <w:bookmarkStart w:id="216" w:name="Tc_1nEerG0if0-L4x3BgeSWXg_3_5"/>
      <w:bookmarkStart w:id="217" w:name="Tc_n8BMlY129UOwbrkmCMPWuA_3_2"/>
      <w:bookmarkStart w:id="218" w:name="Tc_RgxMNLDz30WhbIk13KeXww_3_0"/>
      <w:bookmarkStart w:id="219" w:name="Tc_nlOVkTcQGEe7AXlU6RTg0w_2_12"/>
      <w:bookmarkStart w:id="220" w:name="Tc_CtOYZ1-X00OSNApwT4B2xQ_2_9"/>
      <w:bookmarkStart w:id="221" w:name="Tc_4UBwIE4VX0ufP92sr_wrew_2_6"/>
      <w:bookmarkStart w:id="222" w:name="Tc_nBQ8H4hxUkOCntduZCcvsw_2_3"/>
      <w:bookmarkStart w:id="223" w:name="Tc_k4OLxETvRkOQ8nUprH0b8A_1_8"/>
      <w:bookmarkStart w:id="224" w:name="Tc_Mmh61fixAUGveAaalnlKWg_1_2"/>
      <w:bookmarkStart w:id="225" w:name="_69faf3c2_f1f5_4077_a351_8c41f5dfc3fa"/>
      <w:bookmarkStart w:id="226" w:name="Tc_ex08EahoM0qHcEN3iFoHww_6_11"/>
      <w:bookmarkStart w:id="227" w:name="Tc_pahx0YH4okOAFq1K_8Re5A_6_8"/>
      <w:bookmarkStart w:id="228" w:name="Tc_7pBLJYheGUSHyuwAdSZ5RQ_6_5"/>
      <w:bookmarkStart w:id="229" w:name="Tc_NgUh_cEoJ0iMawC7883qLQ_6_2"/>
      <w:bookmarkStart w:id="230" w:name="Tc_CLYvtU-kwUqfUpka73lg5w_6_0"/>
      <w:bookmarkStart w:id="231" w:name="Tc_kNu4spWcR0qk3p0x18wVAA_5_0"/>
      <w:bookmarkStart w:id="232" w:name="Tc_ATZ-dBG6IUGP1xkxFWVfYg_4_0"/>
      <w:bookmarkStart w:id="233" w:name="Tc_IjKLA81MyEO681YyofuI5A_3_11"/>
      <w:bookmarkStart w:id="234" w:name="Tc_-mQjnC2JRkidm9zs0F7DCg_3_8"/>
      <w:bookmarkStart w:id="235" w:name="Tc_1nEerG0if0-L4x3BgeSWXg_3_5"/>
      <w:bookmarkStart w:id="236" w:name="Tc_n8BMlY129UOwbrkmCMPWuA_3_2"/>
      <w:bookmarkStart w:id="237" w:name="Tc_RgxMNLDz30WhbIk13KeXww_3_0"/>
      <w:bookmarkStart w:id="238" w:name="Tc_nlOVkTcQGEe7AXlU6RTg0w_2_12"/>
      <w:bookmarkStart w:id="239" w:name="Tc_CtOYZ1-X00OSNApwT4B2xQ_2_9"/>
      <w:bookmarkStart w:id="240" w:name="Tc_4UBwIE4VX0ufP92sr_wrew_2_6"/>
      <w:bookmarkStart w:id="241" w:name="Tc_nBQ8H4hxUkOCntduZCcvsw_2_3"/>
      <w:bookmarkStart w:id="242" w:name="Tc_k4OLxETvRkOQ8nUprH0b8A_1_8"/>
      <w:bookmarkStart w:id="243" w:name="Tc_Mmh61fixAUGveAaalnlKWg_1_2"/>
      <w:bookmarkStart w:id="244" w:name="_69faf3c2_f1f5_4077_a351_8c41f5dfc3fa"/>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8873" w:type="dxa"/>
        <w:jc w:val="left"/>
        <w:tblInd w:w="0" w:type="dxa"/>
        <w:tblLayout w:type="fixed"/>
        <w:tblCellMar>
          <w:top w:w="0" w:type="dxa"/>
          <w:left w:w="0" w:type="dxa"/>
          <w:bottom w:w="0" w:type="dxa"/>
          <w:right w:w="0" w:type="dxa"/>
        </w:tblCellMar>
      </w:tblPr>
      <w:tblGrid>
        <w:gridCol w:w="3811"/>
        <w:gridCol w:w="109"/>
        <w:gridCol w:w="227"/>
        <w:gridCol w:w="836"/>
        <w:gridCol w:w="378"/>
        <w:gridCol w:w="227"/>
        <w:gridCol w:w="836"/>
        <w:gridCol w:w="109"/>
        <w:gridCol w:w="208"/>
        <w:gridCol w:w="765"/>
        <w:gridCol w:w="346"/>
        <w:gridCol w:w="208"/>
        <w:gridCol w:w="813"/>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19985" cy="175260"/>
                      <wp:effectExtent l="0" t="0" r="0" b="0"/>
                      <wp:wrapNone/>
                      <wp:docPr id="24" name="Frame2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4145" cy="175260"/>
                      <wp:effectExtent l="0" t="0" r="0" b="0"/>
                      <wp:wrapNone/>
                      <wp:docPr id="26" name="Frame2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30860" cy="175260"/>
                      <wp:effectExtent l="0" t="0" r="0" b="0"/>
                      <wp:wrapNone/>
                      <wp:docPr id="27" name="Frame2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0030" cy="175260"/>
                      <wp:effectExtent l="0" t="0" r="0" b="0"/>
                      <wp:wrapNone/>
                      <wp:docPr id="28" name="Frame28"/>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4145" cy="175260"/>
                      <wp:effectExtent l="0" t="0" r="0" b="0"/>
                      <wp:wrapNone/>
                      <wp:docPr id="29" name="Frame2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0860" cy="175260"/>
                      <wp:effectExtent l="0" t="0" r="0" b="0"/>
                      <wp:wrapNone/>
                      <wp:docPr id="30" name="Frame3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2080" cy="175260"/>
                      <wp:effectExtent l="0" t="0" r="0" b="0"/>
                      <wp:wrapNone/>
                      <wp:docPr id="32" name="Frame32"/>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5775" cy="175260"/>
                      <wp:effectExtent l="0" t="0" r="0" b="0"/>
                      <wp:wrapNone/>
                      <wp:docPr id="33" name="Frame3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2080" cy="175260"/>
                      <wp:effectExtent l="0" t="0" r="0" b="0"/>
                      <wp:wrapNone/>
                      <wp:docPr id="35" name="Frame3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16255" cy="175260"/>
                      <wp:effectExtent l="0" t="0" r="0" b="0"/>
                      <wp:wrapNone/>
                      <wp:docPr id="36" name="Frame3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504"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340"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8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8"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center"/>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Net loss </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(20,095)</w:t>
            </w:r>
          </w:p>
        </w:tc>
        <w:tc>
          <w:tcPr>
            <w:tcW w:w="378"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(32,858)</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7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(48,381)</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1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(55,888)</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Other comprehensive loss:</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836" w:type="dxa"/>
            <w:tcBorders/>
            <w:vAlign w:val="center"/>
          </w:tcPr>
          <w:p>
            <w:pPr>
              <w:pStyle w:val="TableContents"/>
              <w:bidi w:val="0"/>
              <w:spacing w:before="0" w:after="1"/>
              <w:ind w:left="0" w:right="0" w:hanging="0"/>
              <w:jc w:val="right"/>
              <w:rPr/>
            </w:pPr>
            <w:r>
              <w:rPr/>
              <w:t>​</w:t>
            </w:r>
          </w:p>
        </w:tc>
        <w:tc>
          <w:tcPr>
            <w:tcW w:w="378"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8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righ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righ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unrealized gain (loss) on 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460</w:t>
            </w:r>
          </w:p>
        </w:tc>
        <w:tc>
          <w:tcPr>
            <w:tcW w:w="3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(772)</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1,295</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(2,249)</w:t>
            </w:r>
          </w:p>
        </w:tc>
      </w:tr>
      <w:tr>
        <w:trPr/>
        <w:tc>
          <w:tcPr>
            <w:tcW w:w="38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Total comprehensive loss</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(19,635)</w:t>
            </w:r>
          </w:p>
        </w:tc>
        <w:tc>
          <w:tcPr>
            <w:tcW w:w="37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(33,630)</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(47,086)</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(58,137)</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Arial;Helvetica;sans-serif" w:hAnsi="Arial;Helvetica;sans-serif"/>
          <w:b/>
          <w:sz w:val="20"/>
        </w:rPr>
      </w:pPr>
      <w:bookmarkStart w:id="245" w:name="_67fe8a66_f25f_43f9_97a8_0a037a31b692"/>
      <w:bookmarkEnd w:id="245"/>
      <w:r>
        <w:rPr>
          <w:rFonts w:ascii="Arial;Helvetica;sans-serif" w:hAnsi="Arial;Helvetica;sans-serif"/>
          <w:b/>
          <w:sz w:val="20"/>
        </w:rPr>
        <w:t>Olema Pharmaceuticals, Inc.</w:t>
      </w:r>
    </w:p>
    <w:p>
      <w:pPr>
        <w:pStyle w:val="TextBody"/>
        <w:bidi w:val="0"/>
        <w:spacing w:before="0" w:after="100"/>
        <w:ind w:left="0" w:right="0" w:hanging="0"/>
        <w:jc w:val="center"/>
        <w:rPr>
          <w:rFonts w:ascii="Arial;Helvetica;sans-serif" w:hAnsi="Arial;Helvetica;sans-serif"/>
          <w:sz w:val="20"/>
        </w:rPr>
      </w:pPr>
      <w:bookmarkStart w:id="246" w:name="CondensedConsolidatedStatementsofconvert"/>
      <w:bookmarkEnd w:id="246"/>
      <w:r>
        <w:rPr>
          <w:rFonts w:ascii="Arial;Helvetica;sans-serif" w:hAnsi="Arial;Helvetica;sans-serif"/>
          <w:b/>
          <w:sz w:val="20"/>
        </w:rPr>
        <w:t>Condensed Consolidated Statements of Stockholders’ Equity</w:t>
      </w:r>
      <w:r>
        <w:rPr>
          <w:rFonts w:ascii="Arial;Helvetica;sans-serif" w:hAnsi="Arial;Helvetica;sans-serif"/>
          <w:sz w:val="20"/>
        </w:rPr>
        <w:t xml:space="preserve"> </w:t>
      </w:r>
      <w:r>
        <w:rPr>
          <w:rFonts w:ascii="Arial;Helvetica;sans-serif" w:hAnsi="Arial;Helvetica;sans-serif"/>
          <w:b/>
          <w:sz w:val="20"/>
        </w:rPr>
        <w:t xml:space="preserve">(Unaudited) </w:t>
      </w:r>
    </w:p>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20"/>
        </w:rPr>
        <w:t>(Amounts in thousands, except for share amounts)</w:t>
      </w:r>
    </w:p>
    <w:p>
      <w:pPr>
        <w:pStyle w:val="Normal"/>
        <w:bidi w:val="0"/>
        <w:spacing w:before="0" w:after="0"/>
        <w:jc w:val="left"/>
        <w:rPr>
          <w:sz w:val="4"/>
          <w:szCs w:val="4"/>
        </w:rPr>
      </w:pPr>
      <w:r>
        <w:rPr>
          <w:sz w:val="4"/>
          <w:szCs w:val="4"/>
        </w:rPr>
      </w:r>
      <w:bookmarkStart w:id="247" w:name="Tc_WaO2ic0l1ESycHpByChtVw_30_16"/>
      <w:bookmarkStart w:id="248" w:name="Tc_rlknaS6HEkOYzrSLdk0Vdw_30_13"/>
      <w:bookmarkStart w:id="249" w:name="Tc_wH1Xd5cURk6qM9OTAaopGA_30_10"/>
      <w:bookmarkStart w:id="250" w:name="Tc_Q6Vh7JqjRUKQMg9NKUW1ig_30_7"/>
      <w:bookmarkStart w:id="251" w:name="Tc_IAaXogC9ck6Mafe2gM5ckA_30_4"/>
      <w:bookmarkStart w:id="252" w:name="Tc_88i8EWNBA0Wp0khfqnNOFw_30_0"/>
      <w:bookmarkStart w:id="253" w:name="Tc_Wc8ayEu-IEyxSIIz33NFaA_29_11"/>
      <w:bookmarkStart w:id="254" w:name="Tc_khVn092TkUe0gpURchI6qw_29_8"/>
      <w:bookmarkStart w:id="255" w:name="Tc_bHVIzwx52E6i7FXaqwM_jw_29_5"/>
      <w:bookmarkStart w:id="256" w:name="Tc_q8U-EmtF4EetVxYAHtY5pg_29_2"/>
      <w:bookmarkStart w:id="257" w:name="Tc_c5nNlSsx50qtBxayRrIVRg_29_0"/>
      <w:bookmarkStart w:id="258" w:name="Tc_PTkptleWDkW8ULKRtbc_7w_28_14"/>
      <w:bookmarkStart w:id="259" w:name="Tc_fwO83KakWUe5xpAKdE3pZw_28_8"/>
      <w:bookmarkStart w:id="260" w:name="Tc_asJ7XI8lsU2DaluPSGDv4Q_28_5"/>
      <w:bookmarkStart w:id="261" w:name="Tc_66Mkf6hVNkKvhgNO0psYzQ_28_2"/>
      <w:bookmarkStart w:id="262" w:name="Tc_P2EIXVqfTkCeiRyZkR8zAQ_28_0"/>
      <w:bookmarkStart w:id="263" w:name="Tc_rQmOjS_rl0CzHFo60cUBnQ_27_14"/>
      <w:bookmarkStart w:id="264" w:name="Tc_kemEDBOvF0eQfiDKXH1hHA_27_11"/>
      <w:bookmarkStart w:id="265" w:name="Tc_SySRjsmjSUmn-CNdj0VPsA_27_5"/>
      <w:bookmarkStart w:id="266" w:name="Tc_Z8VWpgRvg0KNSILVpbuIYw_27_2"/>
      <w:bookmarkStart w:id="267" w:name="Tc_194938DrQUiydarkG1AoKg_27_0"/>
      <w:bookmarkStart w:id="268" w:name="Tc_RFj1LjEuJky2jaAM9k5BCw_26_14"/>
      <w:bookmarkStart w:id="269" w:name="Tc_DSdlnQeakEaP7iz-eTUGbw_26_11"/>
      <w:bookmarkStart w:id="270" w:name="Tc_KD75dCquSkev_EgEgqvC-Q_26_5"/>
      <w:bookmarkStart w:id="271" w:name="Tc_SZMMUF_D6kemKPEM971LMg_26_2"/>
      <w:bookmarkStart w:id="272" w:name="Tc_aXJZDEr5OEmchnFJULeKXw_26_0"/>
      <w:bookmarkStart w:id="273" w:name="Tc_z07_LqDFrEOKsoBpZVuZqQ_25_14"/>
      <w:bookmarkStart w:id="274" w:name="Tc_WJnymCsK_kuikBWWr9b6Lg_25_11"/>
      <w:bookmarkStart w:id="275" w:name="Tc_LYFMSbRc_0uYv19i8h5Klg_25_5"/>
      <w:bookmarkStart w:id="276" w:name="Tc_g88cgARVdk63gY1TPTQSbg_25_0"/>
      <w:bookmarkStart w:id="277" w:name="Tc_WKBLggqmhkyhf-lkXE-ySw_24_14"/>
      <w:bookmarkStart w:id="278" w:name="Tc_mbHcNl9qVEOHKcwSARvYpg_24_11"/>
      <w:bookmarkStart w:id="279" w:name="Tc_tMhTWk1GdkSFhj8A335e6A_24_5"/>
      <w:bookmarkStart w:id="280" w:name="Tc_i2aeouGlTUqM5XSWrQKmGQ_24_0"/>
      <w:bookmarkStart w:id="281" w:name="Tc_DxOO3MOIT0er7cd3NOBhxA_23_17"/>
      <w:bookmarkStart w:id="282" w:name="Tc_TcJCyF5vC0OyjBgrxvMWMA_23_14"/>
      <w:bookmarkStart w:id="283" w:name="Tc_R38R1yfwtECoDUL67WLI-g_23_11"/>
      <w:bookmarkStart w:id="284" w:name="Tc_UMbeA2dAc0CdErcTKiBq9w_23_8"/>
      <w:bookmarkStart w:id="285" w:name="Tc_DaXveCZmIUKmd9KtuqOmcg_23_5"/>
      <w:bookmarkStart w:id="286" w:name="Tc_PFPbd-7ubESgTVJrmy9AIA_23_0"/>
      <w:bookmarkStart w:id="287" w:name="Tc_SN_kPgcn1kmj76kCjLet8g_22_14"/>
      <w:bookmarkStart w:id="288" w:name="Tc_uHs9F4jDvkG3dOJN37b-eg_22_11"/>
      <w:bookmarkStart w:id="289" w:name="Tc_NR5_BfhOfUWy46q2E8lbCw_22_5"/>
      <w:bookmarkStart w:id="290" w:name="Tc_abgkFO3W2kGoRN0o04JDsg_22_0"/>
      <w:bookmarkStart w:id="291" w:name="Tc_Atct-Fwy7EW9IKgCv6u0hQ_21_16"/>
      <w:bookmarkStart w:id="292" w:name="Tc_6mLLK9SsSECMOJ6WuGlOlA_21_13"/>
      <w:bookmarkStart w:id="293" w:name="Tc_RxVxMXdK9EOW1K4KwoSJ_g_21_10"/>
      <w:bookmarkStart w:id="294" w:name="Tc_B3weDHv41U-YiOaDgtDqGg_21_7"/>
      <w:bookmarkStart w:id="295" w:name="Tc_fZAoqmZqHUyCgv847W_BKA_21_4"/>
      <w:bookmarkStart w:id="296" w:name="Tc_SFm5WT2Uk0yMo0VHBmh0wA_21_0"/>
      <w:bookmarkStart w:id="297" w:name="Tc_z5QnIduE_U6216j-fMhGzw_20_16"/>
      <w:bookmarkStart w:id="298" w:name="Tc_kuxNsOWYCE6O5h23oELevw_20_13"/>
      <w:bookmarkStart w:id="299" w:name="Tc_TPSo0QhQSUiQaVpUTIOGfw_20_11"/>
      <w:bookmarkStart w:id="300" w:name="Tc_QUGKZsrfWUSnYnbJs4uEuw_20_7"/>
      <w:bookmarkStart w:id="301" w:name="Tc_JaH2irUEjE-PjYpspefDSw_20_4"/>
      <w:bookmarkStart w:id="302" w:name="Tc_HzQu8S9U8k2Q6_I-wtWBuA_20_2"/>
      <w:bookmarkStart w:id="303" w:name="Tc_gGumflB9bUuz4Tl49fFNQw_19_16"/>
      <w:bookmarkStart w:id="304" w:name="Tc_2whcRSyQcEahbhrRqJiDhg_19_13"/>
      <w:bookmarkStart w:id="305" w:name="Tc_tnm9dhiitki1piSN61TSmw_19_11"/>
      <w:bookmarkStart w:id="306" w:name="Tc_UHlwvkQRM0aX_oHMgMJgJw_19_7"/>
      <w:bookmarkStart w:id="307" w:name="Tc_Z3TE-dP78UiJo2NnEMwKsw_19_2"/>
      <w:bookmarkStart w:id="308" w:name="Tc_4ROXQjMukUmoahSvpHRYyw_18_16"/>
      <w:bookmarkStart w:id="309" w:name="Tc_2QXHnZmZVkiyf3h3dr9atw_18_11"/>
      <w:bookmarkStart w:id="310" w:name="Tc_bvAsBoq7Wk2KcQkFHfN4Ig_18_7"/>
      <w:bookmarkStart w:id="311" w:name="Tc_iTR7WxqMwEC9d7Br-KGZlw_17_11"/>
      <w:bookmarkStart w:id="312" w:name="Tc_OK9diw1c0EG-syCjB3jGwA_14_16"/>
      <w:bookmarkStart w:id="313" w:name="Tc_MM4vcrvb4ke_K6SJax6Nag_14_13"/>
      <w:bookmarkStart w:id="314" w:name="Tc_7yhDuBqPbUSWJ0zuxjjy6w_14_10"/>
      <w:bookmarkStart w:id="315" w:name="Tc_k2Jtsv9_ckSdrEwQgIgXVQ_14_7"/>
      <w:bookmarkStart w:id="316" w:name="Tc_nXvUwTDe8U2-8XWK6MSt3Q_14_4"/>
      <w:bookmarkStart w:id="317" w:name="Tc_Wc_MyjyJcE-q5Y8J6jFXYQ_14_0"/>
      <w:bookmarkStart w:id="318" w:name="Tc_fio7fN_WpU-fZ3mN4mb_xQ_13_11"/>
      <w:bookmarkStart w:id="319" w:name="Tc_y0qqob49GUSB0fQEbjWLmw_13_8"/>
      <w:bookmarkStart w:id="320" w:name="Tc_IMC3INe47EuV4xuyy7aZKg_13_5"/>
      <w:bookmarkStart w:id="321" w:name="Tc_ZJxiNDeWokWHqOxbRWiA3g_13_2"/>
      <w:bookmarkStart w:id="322" w:name="Tc_X9LD9ZXypkiFMfMyX8o5dw_13_0"/>
      <w:bookmarkStart w:id="323" w:name="Tc_d1R_9s4ra0KobkrrRtrZvg_12_14"/>
      <w:bookmarkStart w:id="324" w:name="Tc_rMG1kSWg9EGG3zXbYQmPGg_12_8"/>
      <w:bookmarkStart w:id="325" w:name="Tc_RuLeoaA7UkyI_2rdSqEyVA_12_5"/>
      <w:bookmarkStart w:id="326" w:name="Tc_gz_-O7eCekyZTB0zXAiw9w_12_2"/>
      <w:bookmarkStart w:id="327" w:name="Tc_eiNweMV4Kk-q_Ya-VuM4-w_12_0"/>
      <w:bookmarkStart w:id="328" w:name="Tc_vC5E38lDHE6aQs9lSjM58w_11_14"/>
      <w:bookmarkStart w:id="329" w:name="Tc_Ad9hHl3QsEyA2cKOVFTVKQ_11_11"/>
      <w:bookmarkStart w:id="330" w:name="Tc_BkHo_-vOq0ysXclogILERQ_11_5"/>
      <w:bookmarkStart w:id="331" w:name="Tc_FmQhwlhMVE2LNf131quXKA_11_2"/>
      <w:bookmarkStart w:id="332" w:name="Tc_E2oeCXl7zkeKp8AxivGQUw_11_0"/>
      <w:bookmarkStart w:id="333" w:name="Tc_31NboQ7UzE2XVkqYktmKaA_10_14"/>
      <w:bookmarkStart w:id="334" w:name="Tc_D4B9IVfy9UGJcT1v2weXmw_10_11"/>
      <w:bookmarkStart w:id="335" w:name="Tc_MkLvJxtRN0G5LlXFfqdWdg_10_5"/>
      <w:bookmarkStart w:id="336" w:name="Tc_vlZR3rkLYkOtRJRt-kpDJQ_10_2"/>
      <w:bookmarkStart w:id="337" w:name="Tc_fgDn9fKatkeExzCLn6K5EQ_10_0"/>
      <w:bookmarkStart w:id="338" w:name="Tc_Wd2MeMWTX0iyI2DNwqwxgg_9_14"/>
      <w:bookmarkStart w:id="339" w:name="Tc_oEk-t3hG4Uaw61yuAIxkMg_9_11"/>
      <w:bookmarkStart w:id="340" w:name="Tc_kPf-3Q_FK02LALPM6jEIVQ_9_5"/>
      <w:bookmarkStart w:id="341" w:name="Tc_DmCehXLSaEaFuF3ukg81eg_9_0"/>
      <w:bookmarkStart w:id="342" w:name="Tc_GHbmXt_a10i9csZBmOnYdg_8_14"/>
      <w:bookmarkStart w:id="343" w:name="Tc_OlDCCbtPC0aYD5ecCeBEnw_8_11"/>
      <w:bookmarkStart w:id="344" w:name="Tc_pIJUcOQHm0SYcQdf0bU5DQ_8_5"/>
      <w:bookmarkStart w:id="345" w:name="Tc_Qc2hIGe7AkmTK4Kjb385Rg_8_0"/>
      <w:bookmarkStart w:id="346" w:name="Tc_iTjevGHAK0qQqZshwIfYTA_7_17"/>
      <w:bookmarkStart w:id="347" w:name="Tc_LtYQnsYkA0SVxsklGU_mEg_7_14"/>
      <w:bookmarkStart w:id="348" w:name="Tc_nRhanKt7iUW1JP_bUnLiGg_7_11"/>
      <w:bookmarkStart w:id="349" w:name="Tc_KidlUgfxgEmcZpyx5Z5neQ_7_8"/>
      <w:bookmarkStart w:id="350" w:name="Tc_m__yHHLZIkuczYAj0sdfYw_7_5"/>
      <w:bookmarkStart w:id="351" w:name="Tc_g80aikAQk0yHCGS9LUPm9Q_7_0"/>
      <w:bookmarkStart w:id="352" w:name="Tc_7xwQwLwVOEKixx3eQIclZg_6_14"/>
      <w:bookmarkStart w:id="353" w:name="Tc_EpWfnIaj8Ey4-K-o0HhLLw_6_11"/>
      <w:bookmarkStart w:id="354" w:name="Tc_aPFSyK39IUiKzsaYDiqvNQ_6_5"/>
      <w:bookmarkStart w:id="355" w:name="Tc_w6Gu0oA1qE6csaYfPzVb1A_6_0"/>
      <w:bookmarkStart w:id="356" w:name="Tc_MPrgsBXdqkuekttMFJClcw_5_16"/>
      <w:bookmarkStart w:id="357" w:name="Tc_2PG7W-vdcU2onH46QiDMeA_5_13"/>
      <w:bookmarkStart w:id="358" w:name="Tc_Zrhy6ZvQEEeXoMP8DxojLw_5_10"/>
      <w:bookmarkStart w:id="359" w:name="Tc_SnGRgE0uxke1UGpqcmeBvg_5_7"/>
      <w:bookmarkStart w:id="360" w:name="Tc_GmEpEbhz9US1EAGXuxQhgg_5_4"/>
      <w:bookmarkStart w:id="361" w:name="Tc_DwcoYfAuoEWK4-NSAaZY4w_5_0"/>
      <w:bookmarkStart w:id="362" w:name="Tc_byNsCZfGXkSsjoXDIE2nUw_4_16"/>
      <w:bookmarkStart w:id="363" w:name="Tc_yaBHGdRPtUKZb0Lyfbm8zQ_4_13"/>
      <w:bookmarkStart w:id="364" w:name="Tc_HZWFrMOS20qcgbZIn9Jdjg_4_11"/>
      <w:bookmarkStart w:id="365" w:name="Tc_VTkQeREXvU2SNqNRvEoCnQ_4_7"/>
      <w:bookmarkStart w:id="366" w:name="Tc_5yD8N_FgWUKau5iVXF9-gA_4_4"/>
      <w:bookmarkStart w:id="367" w:name="Tc_0tVCq2ojskenx5kqRPet_Q_4_2"/>
      <w:bookmarkStart w:id="368" w:name="Tc_-JlHsn73ZECJ10LHVrDNAg_3_16"/>
      <w:bookmarkStart w:id="369" w:name="Tc_8gQr5a6OJEW9X0a0jyCwuA_3_13"/>
      <w:bookmarkStart w:id="370" w:name="Tc_e63_4dRN4UKokc2WZAYoHA_3_11"/>
      <w:bookmarkStart w:id="371" w:name="Tc_xXDYxcloIE2q8IeiPPB96g_3_7"/>
      <w:bookmarkStart w:id="372" w:name="Tc_AjnaEUkLu0OueVz9haT3sQ_3_2"/>
      <w:bookmarkStart w:id="373" w:name="Tc_hDFFds6Fp0CoHnQJZZtnmw_2_16"/>
      <w:bookmarkStart w:id="374" w:name="Tc_0iv9SPi8_E6RZ2JC80B0uw_2_11"/>
      <w:bookmarkStart w:id="375" w:name="Tc_CsO6Avo9B0SsVTs6e0dy8g_2_7"/>
      <w:bookmarkStart w:id="376" w:name="Tc_4dddDM5T4UmUws6OB4b_eQ_1_11"/>
      <w:bookmarkStart w:id="377" w:name="_c9035d1a_232d_4f24_8f2d_6de3ab0c6bdb"/>
      <w:bookmarkStart w:id="378" w:name="Tc_WaO2ic0l1ESycHpByChtVw_30_16"/>
      <w:bookmarkStart w:id="379" w:name="Tc_rlknaS6HEkOYzrSLdk0Vdw_30_13"/>
      <w:bookmarkStart w:id="380" w:name="Tc_wH1Xd5cURk6qM9OTAaopGA_30_10"/>
      <w:bookmarkStart w:id="381" w:name="Tc_Q6Vh7JqjRUKQMg9NKUW1ig_30_7"/>
      <w:bookmarkStart w:id="382" w:name="Tc_IAaXogC9ck6Mafe2gM5ckA_30_4"/>
      <w:bookmarkStart w:id="383" w:name="Tc_88i8EWNBA0Wp0khfqnNOFw_30_0"/>
      <w:bookmarkStart w:id="384" w:name="Tc_Wc8ayEu-IEyxSIIz33NFaA_29_11"/>
      <w:bookmarkStart w:id="385" w:name="Tc_khVn092TkUe0gpURchI6qw_29_8"/>
      <w:bookmarkStart w:id="386" w:name="Tc_bHVIzwx52E6i7FXaqwM_jw_29_5"/>
      <w:bookmarkStart w:id="387" w:name="Tc_q8U-EmtF4EetVxYAHtY5pg_29_2"/>
      <w:bookmarkStart w:id="388" w:name="Tc_c5nNlSsx50qtBxayRrIVRg_29_0"/>
      <w:bookmarkStart w:id="389" w:name="Tc_PTkptleWDkW8ULKRtbc_7w_28_14"/>
      <w:bookmarkStart w:id="390" w:name="Tc_fwO83KakWUe5xpAKdE3pZw_28_8"/>
      <w:bookmarkStart w:id="391" w:name="Tc_asJ7XI8lsU2DaluPSGDv4Q_28_5"/>
      <w:bookmarkStart w:id="392" w:name="Tc_66Mkf6hVNkKvhgNO0psYzQ_28_2"/>
      <w:bookmarkStart w:id="393" w:name="Tc_P2EIXVqfTkCeiRyZkR8zAQ_28_0"/>
      <w:bookmarkStart w:id="394" w:name="Tc_rQmOjS_rl0CzHFo60cUBnQ_27_14"/>
      <w:bookmarkStart w:id="395" w:name="Tc_kemEDBOvF0eQfiDKXH1hHA_27_11"/>
      <w:bookmarkStart w:id="396" w:name="Tc_SySRjsmjSUmn-CNdj0VPsA_27_5"/>
      <w:bookmarkStart w:id="397" w:name="Tc_Z8VWpgRvg0KNSILVpbuIYw_27_2"/>
      <w:bookmarkStart w:id="398" w:name="Tc_194938DrQUiydarkG1AoKg_27_0"/>
      <w:bookmarkStart w:id="399" w:name="Tc_RFj1LjEuJky2jaAM9k5BCw_26_14"/>
      <w:bookmarkStart w:id="400" w:name="Tc_DSdlnQeakEaP7iz-eTUGbw_26_11"/>
      <w:bookmarkStart w:id="401" w:name="Tc_KD75dCquSkev_EgEgqvC-Q_26_5"/>
      <w:bookmarkStart w:id="402" w:name="Tc_SZMMUF_D6kemKPEM971LMg_26_2"/>
      <w:bookmarkStart w:id="403" w:name="Tc_aXJZDEr5OEmchnFJULeKXw_26_0"/>
      <w:bookmarkStart w:id="404" w:name="Tc_z07_LqDFrEOKsoBpZVuZqQ_25_14"/>
      <w:bookmarkStart w:id="405" w:name="Tc_WJnymCsK_kuikBWWr9b6Lg_25_11"/>
      <w:bookmarkStart w:id="406" w:name="Tc_LYFMSbRc_0uYv19i8h5Klg_25_5"/>
      <w:bookmarkStart w:id="407" w:name="Tc_g88cgARVdk63gY1TPTQSbg_25_0"/>
      <w:bookmarkStart w:id="408" w:name="Tc_WKBLggqmhkyhf-lkXE-ySw_24_14"/>
      <w:bookmarkStart w:id="409" w:name="Tc_mbHcNl9qVEOHKcwSARvYpg_24_11"/>
      <w:bookmarkStart w:id="410" w:name="Tc_tMhTWk1GdkSFhj8A335e6A_24_5"/>
      <w:bookmarkStart w:id="411" w:name="Tc_i2aeouGlTUqM5XSWrQKmGQ_24_0"/>
      <w:bookmarkStart w:id="412" w:name="Tc_DxOO3MOIT0er7cd3NOBhxA_23_17"/>
      <w:bookmarkStart w:id="413" w:name="Tc_TcJCyF5vC0OyjBgrxvMWMA_23_14"/>
      <w:bookmarkStart w:id="414" w:name="Tc_R38R1yfwtECoDUL67WLI-g_23_11"/>
      <w:bookmarkStart w:id="415" w:name="Tc_UMbeA2dAc0CdErcTKiBq9w_23_8"/>
      <w:bookmarkStart w:id="416" w:name="Tc_DaXveCZmIUKmd9KtuqOmcg_23_5"/>
      <w:bookmarkStart w:id="417" w:name="Tc_PFPbd-7ubESgTVJrmy9AIA_23_0"/>
      <w:bookmarkStart w:id="418" w:name="Tc_SN_kPgcn1kmj76kCjLet8g_22_14"/>
      <w:bookmarkStart w:id="419" w:name="Tc_uHs9F4jDvkG3dOJN37b-eg_22_11"/>
      <w:bookmarkStart w:id="420" w:name="Tc_NR5_BfhOfUWy46q2E8lbCw_22_5"/>
      <w:bookmarkStart w:id="421" w:name="Tc_abgkFO3W2kGoRN0o04JDsg_22_0"/>
      <w:bookmarkStart w:id="422" w:name="Tc_Atct-Fwy7EW9IKgCv6u0hQ_21_16"/>
      <w:bookmarkStart w:id="423" w:name="Tc_6mLLK9SsSECMOJ6WuGlOlA_21_13"/>
      <w:bookmarkStart w:id="424" w:name="Tc_RxVxMXdK9EOW1K4KwoSJ_g_21_10"/>
      <w:bookmarkStart w:id="425" w:name="Tc_B3weDHv41U-YiOaDgtDqGg_21_7"/>
      <w:bookmarkStart w:id="426" w:name="Tc_fZAoqmZqHUyCgv847W_BKA_21_4"/>
      <w:bookmarkStart w:id="427" w:name="Tc_SFm5WT2Uk0yMo0VHBmh0wA_21_0"/>
      <w:bookmarkStart w:id="428" w:name="Tc_z5QnIduE_U6216j-fMhGzw_20_16"/>
      <w:bookmarkStart w:id="429" w:name="Tc_kuxNsOWYCE6O5h23oELevw_20_13"/>
      <w:bookmarkStart w:id="430" w:name="Tc_TPSo0QhQSUiQaVpUTIOGfw_20_11"/>
      <w:bookmarkStart w:id="431" w:name="Tc_QUGKZsrfWUSnYnbJs4uEuw_20_7"/>
      <w:bookmarkStart w:id="432" w:name="Tc_JaH2irUEjE-PjYpspefDSw_20_4"/>
      <w:bookmarkStart w:id="433" w:name="Tc_HzQu8S9U8k2Q6_I-wtWBuA_20_2"/>
      <w:bookmarkStart w:id="434" w:name="Tc_gGumflB9bUuz4Tl49fFNQw_19_16"/>
      <w:bookmarkStart w:id="435" w:name="Tc_2whcRSyQcEahbhrRqJiDhg_19_13"/>
      <w:bookmarkStart w:id="436" w:name="Tc_tnm9dhiitki1piSN61TSmw_19_11"/>
      <w:bookmarkStart w:id="437" w:name="Tc_UHlwvkQRM0aX_oHMgMJgJw_19_7"/>
      <w:bookmarkStart w:id="438" w:name="Tc_Z3TE-dP78UiJo2NnEMwKsw_19_2"/>
      <w:bookmarkStart w:id="439" w:name="Tc_4ROXQjMukUmoahSvpHRYyw_18_16"/>
      <w:bookmarkStart w:id="440" w:name="Tc_2QXHnZmZVkiyf3h3dr9atw_18_11"/>
      <w:bookmarkStart w:id="441" w:name="Tc_bvAsBoq7Wk2KcQkFHfN4Ig_18_7"/>
      <w:bookmarkStart w:id="442" w:name="Tc_iTR7WxqMwEC9d7Br-KGZlw_17_11"/>
      <w:bookmarkStart w:id="443" w:name="Tc_OK9diw1c0EG-syCjB3jGwA_14_16"/>
      <w:bookmarkStart w:id="444" w:name="Tc_MM4vcrvb4ke_K6SJax6Nag_14_13"/>
      <w:bookmarkStart w:id="445" w:name="Tc_7yhDuBqPbUSWJ0zuxjjy6w_14_10"/>
      <w:bookmarkStart w:id="446" w:name="Tc_k2Jtsv9_ckSdrEwQgIgXVQ_14_7"/>
      <w:bookmarkStart w:id="447" w:name="Tc_nXvUwTDe8U2-8XWK6MSt3Q_14_4"/>
      <w:bookmarkStart w:id="448" w:name="Tc_Wc_MyjyJcE-q5Y8J6jFXYQ_14_0"/>
      <w:bookmarkStart w:id="449" w:name="Tc_fio7fN_WpU-fZ3mN4mb_xQ_13_11"/>
      <w:bookmarkStart w:id="450" w:name="Tc_y0qqob49GUSB0fQEbjWLmw_13_8"/>
      <w:bookmarkStart w:id="451" w:name="Tc_IMC3INe47EuV4xuyy7aZKg_13_5"/>
      <w:bookmarkStart w:id="452" w:name="Tc_ZJxiNDeWokWHqOxbRWiA3g_13_2"/>
      <w:bookmarkStart w:id="453" w:name="Tc_X9LD9ZXypkiFMfMyX8o5dw_13_0"/>
      <w:bookmarkStart w:id="454" w:name="Tc_d1R_9s4ra0KobkrrRtrZvg_12_14"/>
      <w:bookmarkStart w:id="455" w:name="Tc_rMG1kSWg9EGG3zXbYQmPGg_12_8"/>
      <w:bookmarkStart w:id="456" w:name="Tc_RuLeoaA7UkyI_2rdSqEyVA_12_5"/>
      <w:bookmarkStart w:id="457" w:name="Tc_gz_-O7eCekyZTB0zXAiw9w_12_2"/>
      <w:bookmarkStart w:id="458" w:name="Tc_eiNweMV4Kk-q_Ya-VuM4-w_12_0"/>
      <w:bookmarkStart w:id="459" w:name="Tc_vC5E38lDHE6aQs9lSjM58w_11_14"/>
      <w:bookmarkStart w:id="460" w:name="Tc_Ad9hHl3QsEyA2cKOVFTVKQ_11_11"/>
      <w:bookmarkStart w:id="461" w:name="Tc_BkHo_-vOq0ysXclogILERQ_11_5"/>
      <w:bookmarkStart w:id="462" w:name="Tc_FmQhwlhMVE2LNf131quXKA_11_2"/>
      <w:bookmarkStart w:id="463" w:name="Tc_E2oeCXl7zkeKp8AxivGQUw_11_0"/>
      <w:bookmarkStart w:id="464" w:name="Tc_31NboQ7UzE2XVkqYktmKaA_10_14"/>
      <w:bookmarkStart w:id="465" w:name="Tc_D4B9IVfy9UGJcT1v2weXmw_10_11"/>
      <w:bookmarkStart w:id="466" w:name="Tc_MkLvJxtRN0G5LlXFfqdWdg_10_5"/>
      <w:bookmarkStart w:id="467" w:name="Tc_vlZR3rkLYkOtRJRt-kpDJQ_10_2"/>
      <w:bookmarkStart w:id="468" w:name="Tc_fgDn9fKatkeExzCLn6K5EQ_10_0"/>
      <w:bookmarkStart w:id="469" w:name="Tc_Wd2MeMWTX0iyI2DNwqwxgg_9_14"/>
      <w:bookmarkStart w:id="470" w:name="Tc_oEk-t3hG4Uaw61yuAIxkMg_9_11"/>
      <w:bookmarkStart w:id="471" w:name="Tc_kPf-3Q_FK02LALPM6jEIVQ_9_5"/>
      <w:bookmarkStart w:id="472" w:name="Tc_DmCehXLSaEaFuF3ukg81eg_9_0"/>
      <w:bookmarkStart w:id="473" w:name="Tc_GHbmXt_a10i9csZBmOnYdg_8_14"/>
      <w:bookmarkStart w:id="474" w:name="Tc_OlDCCbtPC0aYD5ecCeBEnw_8_11"/>
      <w:bookmarkStart w:id="475" w:name="Tc_pIJUcOQHm0SYcQdf0bU5DQ_8_5"/>
      <w:bookmarkStart w:id="476" w:name="Tc_Qc2hIGe7AkmTK4Kjb385Rg_8_0"/>
      <w:bookmarkStart w:id="477" w:name="Tc_iTjevGHAK0qQqZshwIfYTA_7_17"/>
      <w:bookmarkStart w:id="478" w:name="Tc_LtYQnsYkA0SVxsklGU_mEg_7_14"/>
      <w:bookmarkStart w:id="479" w:name="Tc_nRhanKt7iUW1JP_bUnLiGg_7_11"/>
      <w:bookmarkStart w:id="480" w:name="Tc_KidlUgfxgEmcZpyx5Z5neQ_7_8"/>
      <w:bookmarkStart w:id="481" w:name="Tc_m__yHHLZIkuczYAj0sdfYw_7_5"/>
      <w:bookmarkStart w:id="482" w:name="Tc_g80aikAQk0yHCGS9LUPm9Q_7_0"/>
      <w:bookmarkStart w:id="483" w:name="Tc_7xwQwLwVOEKixx3eQIclZg_6_14"/>
      <w:bookmarkStart w:id="484" w:name="Tc_EpWfnIaj8Ey4-K-o0HhLLw_6_11"/>
      <w:bookmarkStart w:id="485" w:name="Tc_aPFSyK39IUiKzsaYDiqvNQ_6_5"/>
      <w:bookmarkStart w:id="486" w:name="Tc_w6Gu0oA1qE6csaYfPzVb1A_6_0"/>
      <w:bookmarkStart w:id="487" w:name="Tc_MPrgsBXdqkuekttMFJClcw_5_16"/>
      <w:bookmarkStart w:id="488" w:name="Tc_2PG7W-vdcU2onH46QiDMeA_5_13"/>
      <w:bookmarkStart w:id="489" w:name="Tc_Zrhy6ZvQEEeXoMP8DxojLw_5_10"/>
      <w:bookmarkStart w:id="490" w:name="Tc_SnGRgE0uxke1UGpqcmeBvg_5_7"/>
      <w:bookmarkStart w:id="491" w:name="Tc_GmEpEbhz9US1EAGXuxQhgg_5_4"/>
      <w:bookmarkStart w:id="492" w:name="Tc_DwcoYfAuoEWK4-NSAaZY4w_5_0"/>
      <w:bookmarkStart w:id="493" w:name="Tc_byNsCZfGXkSsjoXDIE2nUw_4_16"/>
      <w:bookmarkStart w:id="494" w:name="Tc_yaBHGdRPtUKZb0Lyfbm8zQ_4_13"/>
      <w:bookmarkStart w:id="495" w:name="Tc_HZWFrMOS20qcgbZIn9Jdjg_4_11"/>
      <w:bookmarkStart w:id="496" w:name="Tc_VTkQeREXvU2SNqNRvEoCnQ_4_7"/>
      <w:bookmarkStart w:id="497" w:name="Tc_5yD8N_FgWUKau5iVXF9-gA_4_4"/>
      <w:bookmarkStart w:id="498" w:name="Tc_0tVCq2ojskenx5kqRPet_Q_4_2"/>
      <w:bookmarkStart w:id="499" w:name="Tc_-JlHsn73ZECJ10LHVrDNAg_3_16"/>
      <w:bookmarkStart w:id="500" w:name="Tc_8gQr5a6OJEW9X0a0jyCwuA_3_13"/>
      <w:bookmarkStart w:id="501" w:name="Tc_e63_4dRN4UKokc2WZAYoHA_3_11"/>
      <w:bookmarkStart w:id="502" w:name="Tc_xXDYxcloIE2q8IeiPPB96g_3_7"/>
      <w:bookmarkStart w:id="503" w:name="Tc_AjnaEUkLu0OueVz9haT3sQ_3_2"/>
      <w:bookmarkStart w:id="504" w:name="Tc_hDFFds6Fp0CoHnQJZZtnmw_2_16"/>
      <w:bookmarkStart w:id="505" w:name="Tc_0iv9SPi8_E6RZ2JC80B0uw_2_11"/>
      <w:bookmarkStart w:id="506" w:name="Tc_CsO6Avo9B0SsVTs6e0dy8g_2_7"/>
      <w:bookmarkStart w:id="507" w:name="Tc_4dddDM5T4UmUws6OB4b_eQ_1_11"/>
      <w:bookmarkStart w:id="508" w:name="_c9035d1a_232d_4f24_8f2d_6de3ab0c6bdb"/>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tbl>
      <w:tblPr>
        <w:tblW w:w="10205" w:type="dxa"/>
        <w:jc w:val="left"/>
        <w:tblInd w:w="0" w:type="dxa"/>
        <w:tblLayout w:type="fixed"/>
        <w:tblCellMar>
          <w:top w:w="0" w:type="dxa"/>
          <w:left w:w="0" w:type="dxa"/>
          <w:bottom w:w="0" w:type="dxa"/>
          <w:right w:w="0" w:type="dxa"/>
        </w:tblCellMar>
      </w:tblPr>
      <w:tblGrid>
        <w:gridCol w:w="3083"/>
        <w:gridCol w:w="326"/>
        <w:gridCol w:w="796"/>
        <w:gridCol w:w="326"/>
        <w:gridCol w:w="201"/>
        <w:gridCol w:w="385"/>
        <w:gridCol w:w="326"/>
        <w:gridCol w:w="181"/>
        <w:gridCol w:w="601"/>
        <w:gridCol w:w="326"/>
        <w:gridCol w:w="181"/>
        <w:gridCol w:w="1096"/>
        <w:gridCol w:w="109"/>
        <w:gridCol w:w="203"/>
        <w:gridCol w:w="728"/>
        <w:gridCol w:w="326"/>
        <w:gridCol w:w="209"/>
        <w:gridCol w:w="802"/>
      </w:tblGrid>
      <w:tr>
        <w:trPr/>
        <w:tc>
          <w:tcPr>
            <w:tcW w:w="3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57705" cy="175260"/>
                      <wp:effectExtent l="0" t="0" r="0" b="0"/>
                      <wp:wrapNone/>
                      <wp:docPr id="37" name="Frame37"/>
                      <a:graphic xmlns:a="http://schemas.openxmlformats.org/drawingml/2006/main">
                        <a:graphicData uri="http://schemas.microsoft.com/office/word/2010/wordprocessingShape">
                          <wps:wsp>
                            <wps:cNvSpPr txBox="1"/>
                            <wps:spPr>
                              <a:xfrm>
                                <a:off x="0" y="0"/>
                                <a:ext cx="195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7635" cy="175260"/>
                      <wp:effectExtent l="0" t="0" r="0" b="0"/>
                      <wp:wrapNone/>
                      <wp:docPr id="41" name="Frame4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44475" cy="175260"/>
                      <wp:effectExtent l="0" t="0" r="0" b="0"/>
                      <wp:wrapNone/>
                      <wp:docPr id="42" name="Frame4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1635" cy="175260"/>
                      <wp:effectExtent l="0" t="0" r="0" b="0"/>
                      <wp:wrapNone/>
                      <wp:docPr id="45" name="Frame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7" name="Frame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8905" cy="175260"/>
                      <wp:effectExtent l="0" t="0" r="0" b="0"/>
                      <wp:wrapNone/>
                      <wp:docPr id="49" name="Frame4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2280" cy="175260"/>
                      <wp:effectExtent l="0" t="0" r="0" b="0"/>
                      <wp:wrapNone/>
                      <wp:docPr id="50" name="Frame50"/>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2715" cy="175260"/>
                      <wp:effectExtent l="0" t="0" r="0" b="0"/>
                      <wp:wrapNone/>
                      <wp:docPr id="52" name="Frame5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9270" cy="175260"/>
                      <wp:effectExtent l="0" t="0" r="0" b="0"/>
                      <wp:wrapNone/>
                      <wp:docPr id="53" name="Frame53"/>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8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8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6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3"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72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9"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80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 (Gain)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March 31, 2023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40,438,320</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413,213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(978)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(237,263)</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174,975</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6,990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30</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49,319</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357,312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1,332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1,332</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the employee stock purchase plan</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270,541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4,040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4,040</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130</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130</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Net unrealized gain on marketable securities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460</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460</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 xml:space="preserve">Net loss </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(20,095)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(20,095)</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June 30, 2023</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41,122,482</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419,456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(518)</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(257,358)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161,583</w:t>
            </w:r>
          </w:p>
        </w:tc>
      </w:tr>
      <w:tr>
        <w:trPr/>
        <w:tc>
          <w:tcPr>
            <w:tcW w:w="3083"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72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9"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80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right"/>
              <w:rPr/>
            </w:pPr>
            <w:r>
              <w:rPr/>
              <w:t>​</w:t>
            </w:r>
          </w:p>
        </w:tc>
        <w:tc>
          <w:tcPr>
            <w:tcW w:w="802" w:type="dxa"/>
            <w:tcBorders/>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 (Gain)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December 31, 2022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40,287,097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408,333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(1,813)</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(208,977)</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197,546</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13,980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60</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98,637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452,227</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1,552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1,552</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the employee stock purchase plan</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270,541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8,555</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8,555</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245</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Net unrealized gain on marketable securities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1,295</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 xml:space="preserve">Net loss </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(48,381)</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(48,381)</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June 30, 2023</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41,122,482</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419,456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(518)</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(257,358)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bottom w:val="double" w:sz="6" w:space="0" w:color="000000"/>
            </w:tcBorders>
            <w:tcMar>
              <w:bottom w:w="28" w:type="dxa"/>
            </w:tcMar>
            <w:vAlign w:val="center"/>
          </w:tcPr>
          <w:p>
            <w:pPr>
              <w:pStyle w:val="TableContents"/>
              <w:bidi w:val="0"/>
              <w:spacing w:before="0" w:after="1"/>
              <w:ind w:left="0" w:right="45" w:hanging="0"/>
              <w:jc w:val="right"/>
              <w:rPr>
                <w:rFonts w:ascii="Arial;Helvetica;sans-serif" w:hAnsi="Arial;Helvetica;sans-serif"/>
                <w:color w:val="231F20"/>
                <w:sz w:val="14"/>
              </w:rPr>
            </w:pPr>
            <w:r>
              <w:rPr>
                <w:rFonts w:ascii="Arial;Helvetica;sans-serif" w:hAnsi="Arial;Helvetica;sans-serif"/>
                <w:color w:val="231F20"/>
                <w:sz w:val="14"/>
              </w:rPr>
              <w:t>161,583</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9" w:name="Tc_VX8nS8r5eEC6FkGT1TzAKA_30_16"/>
      <w:bookmarkStart w:id="510" w:name="Tc_2LEqaCgus0y0_brYChP1VA_30_13"/>
      <w:bookmarkStart w:id="511" w:name="Tc_1tcang6yAkGO5p_HaRfIDA_30_10"/>
      <w:bookmarkStart w:id="512" w:name="Tc_p1Hj8tHdRkyEsc4ekY_CGQ_30_7"/>
      <w:bookmarkStart w:id="513" w:name="Tc_e90NuSt96EeBu3UiiUrJWA_30_4"/>
      <w:bookmarkStart w:id="514" w:name="Tc_hwhziotawUqZtEPc4aoHnw_30_0"/>
      <w:bookmarkStart w:id="515" w:name="Tc_UAoMCVroNkuI46wv3vvVkw_29_11"/>
      <w:bookmarkStart w:id="516" w:name="Tc_2eIalGtKLkCRKOUgG1WrJw_29_8"/>
      <w:bookmarkStart w:id="517" w:name="Tc_9erwfIzbVEqsjuO71waDbQ_29_5"/>
      <w:bookmarkStart w:id="518" w:name="Tc_TNM-U9K0hECpA_7AmdOU1w_29_2"/>
      <w:bookmarkStart w:id="519" w:name="Tc_byzmRe7jsUOzkTNBug1GCA_29_0"/>
      <w:bookmarkStart w:id="520" w:name="Tc_xcvSFFuHck-mllbJV5QjMg_28_14"/>
      <w:bookmarkStart w:id="521" w:name="Tc_5Kv0LwJ3C0uBw6LK9sebwA_28_8"/>
      <w:bookmarkStart w:id="522" w:name="Tc_j8jwEXIpcECkf_19B4hTZw_28_5"/>
      <w:bookmarkStart w:id="523" w:name="Tc_0M7GiAMR5028s1aNgPbs1g_28_2"/>
      <w:bookmarkStart w:id="524" w:name="Tc_-u7EtZ7x3UOj8k4ARqQqBg_28_0"/>
      <w:bookmarkStart w:id="525" w:name="Tc_ehcZ7ZMrEUO61eAfqMH8IQ_27_14"/>
      <w:bookmarkStart w:id="526" w:name="Tc_d7xW7HlJI0mfnGP6WgyHFg_27_11"/>
      <w:bookmarkStart w:id="527" w:name="Tc_ixN3zJ2RGEiXn8NfrhmCQw_27_5"/>
      <w:bookmarkStart w:id="528" w:name="Tc_GT2-7nTHm0mytKX8jcC6vg_27_2"/>
      <w:bookmarkStart w:id="529" w:name="Tc_MXK1XXMe_Uqk_Etozaoe0w_27_0"/>
      <w:bookmarkStart w:id="530" w:name="Tc_tDFPcszECki_34QOShlPFw_26_14"/>
      <w:bookmarkStart w:id="531" w:name="Tc_MC6MDN7AaEKKJJmS4vRAnA_26_11"/>
      <w:bookmarkStart w:id="532" w:name="Tc_xj6WZDIqUkGA6w3L8LQK5Q_26_5"/>
      <w:bookmarkStart w:id="533" w:name="Tc_lFIHK2rkFkaDXhRrQ0SEmA_26_2"/>
      <w:bookmarkStart w:id="534" w:name="Tc_ZC69Gqu1SE6M_dggIN_kAQ_26_0"/>
      <w:bookmarkStart w:id="535" w:name="Tc_Xn5lUXUgDE6Ik-2EFeBrBw_25_14"/>
      <w:bookmarkStart w:id="536" w:name="Tc_boRsJj8dBE2tuH4NzGnExQ_25_11"/>
      <w:bookmarkStart w:id="537" w:name="Tc_k1N1hTEPt0alNmpvCTlsjg_25_5"/>
      <w:bookmarkStart w:id="538" w:name="Tc_oDbwJeMMIk6a45p44fvdiQ_25_0"/>
      <w:bookmarkStart w:id="539" w:name="Tc_KFx8sP4qS02_a3QNPiQRsQ_24_14"/>
      <w:bookmarkStart w:id="540" w:name="Tc_UZpUlo55L0OHQjjCzqucTg_24_11"/>
      <w:bookmarkStart w:id="541" w:name="Tc_xa4NGHHW3Ee9oAttos_dnw_24_5"/>
      <w:bookmarkStart w:id="542" w:name="Tc_WyEu2ND3okiLS-Mh7_Fulg_24_0"/>
      <w:bookmarkStart w:id="543" w:name="Tc_8hVt11PevUihCJoZoUhlrQ_23_17"/>
      <w:bookmarkStart w:id="544" w:name="Tc_YEGfZbHgdEiXdtkxFkAKAQ_23_14"/>
      <w:bookmarkStart w:id="545" w:name="Tc_KTlsV7E0jU6mQjcgm9VlIg_23_11"/>
      <w:bookmarkStart w:id="546" w:name="Tc_4jLyShpZ0UiWE7k35nGB9w_23_8"/>
      <w:bookmarkStart w:id="547" w:name="Tc_SdR3rygC50aPXm5TTuet2w_23_5"/>
      <w:bookmarkStart w:id="548" w:name="Tc_4xLf8nimsECm3CCyQku7pw_23_0"/>
      <w:bookmarkStart w:id="549" w:name="Tc_iFW_c5_4AUm8vzQuZiBaMQ_22_14"/>
      <w:bookmarkStart w:id="550" w:name="Tc_Vy3dHLs13kizGh6bfEOgaQ_22_11"/>
      <w:bookmarkStart w:id="551" w:name="Tc_GqL_Dz_yYkSWlVqWgIzNHA_22_5"/>
      <w:bookmarkStart w:id="552" w:name="Tc_eAk-rzW0VkSNS5XC_vGbMw_22_0"/>
      <w:bookmarkStart w:id="553" w:name="Tc_evHs8yWfUkymFB1M9NNMWQ_21_16"/>
      <w:bookmarkStart w:id="554" w:name="Tc_3Q2SkhajRkmuvg6PM5gq9g_21_13"/>
      <w:bookmarkStart w:id="555" w:name="Tc_PUzjIrKnak2vtqEf-rvh6w_21_10"/>
      <w:bookmarkStart w:id="556" w:name="Tc_bOkq6BtS8UW0gotYM_wvaw_21_7"/>
      <w:bookmarkStart w:id="557" w:name="Tc_u4j8swj-UEu_uG_g2L7FIg_21_4"/>
      <w:bookmarkStart w:id="558" w:name="Tc_ABVYUtuRWEGDgbDVNTTXVA_21_0"/>
      <w:bookmarkStart w:id="559" w:name="Tc_YNq4n-2o-k2_Q1C1eWE81w_20_16"/>
      <w:bookmarkStart w:id="560" w:name="Tc_TGPnGKFBPkGXUWwIIXM9KA_20_13"/>
      <w:bookmarkStart w:id="561" w:name="Tc_VtaBfnQR60OuEIyZUrjREA_20_11"/>
      <w:bookmarkStart w:id="562" w:name="Tc_hX7eI2tODkefs7vTlx6Sng_20_7"/>
      <w:bookmarkStart w:id="563" w:name="Tc_6YikmRSMoEOF63jluUzhDA_20_4"/>
      <w:bookmarkStart w:id="564" w:name="Tc_3MRkBwptgE21Sf8Qop4NEw_20_2"/>
      <w:bookmarkStart w:id="565" w:name="Tc_6edLsJ7SKk-PeQb_YLI3fg_19_16"/>
      <w:bookmarkStart w:id="566" w:name="Tc_ADovxaVoJEuTjJblygeO1g_19_13"/>
      <w:bookmarkStart w:id="567" w:name="Tc_i_NtMw0HC0io9vuGBeFgIQ_19_11"/>
      <w:bookmarkStart w:id="568" w:name="Tc_hOndelycskiQycqfOawn-Q_19_7"/>
      <w:bookmarkStart w:id="569" w:name="Tc_UnE9zbbHk0K39YL2-BQ8zg_19_2"/>
      <w:bookmarkStart w:id="570" w:name="Tc_SXUJyOzErEucBAhz1VcyfQ_18_16"/>
      <w:bookmarkStart w:id="571" w:name="Tc_AXlcAkp7lE2lSLG9tyyuiw_18_11"/>
      <w:bookmarkStart w:id="572" w:name="Tc_c02JPVG0HUyeTYj5xoq6DQ_18_7"/>
      <w:bookmarkStart w:id="573" w:name="Tc_Rgl4lOBem02SsiNiufWFjg_17_11"/>
      <w:bookmarkStart w:id="574" w:name="Tc_Vit0xdCm2U6P-DPn27fERg_14_16"/>
      <w:bookmarkStart w:id="575" w:name="Tc_grkdFtheCEW-s5kRw3ejuQ_14_13"/>
      <w:bookmarkStart w:id="576" w:name="Tc_8UUyY8jkIk-XSxzaV8TUPw_14_10"/>
      <w:bookmarkStart w:id="577" w:name="Tc_NKAxohUMfEuFo821f-R0_Q_14_7"/>
      <w:bookmarkStart w:id="578" w:name="Tc_aVJfAL31M0aK3pzzjU_9wQ_14_4"/>
      <w:bookmarkStart w:id="579" w:name="Tc_okjB-5xvX0CUCuJeJNtnaA_14_0"/>
      <w:bookmarkStart w:id="580" w:name="Tc_XZbkrzu1Ckq9bwHUx7h9Qw_13_11"/>
      <w:bookmarkStart w:id="581" w:name="Tc_EeY9FuTIgE-VrqVkTyw6kA_13_8"/>
      <w:bookmarkStart w:id="582" w:name="Tc_HXudGjh1EUmCRK9qXAV9AA_13_5"/>
      <w:bookmarkStart w:id="583" w:name="Tc_SyMsEqg1GEORissAKmCxgA_13_2"/>
      <w:bookmarkStart w:id="584" w:name="Tc_t6y3bmCSwkWcE61P_-ZnEg_13_0"/>
      <w:bookmarkStart w:id="585" w:name="Tc_YBz5r0O5h0eb5t_2V5_yQw_12_14"/>
      <w:bookmarkStart w:id="586" w:name="Tc_xA-0CXd6wU-3bwVXre_imw_12_8"/>
      <w:bookmarkStart w:id="587" w:name="Tc_WxCT8Efmaky-0eQMXu1nHA_12_5"/>
      <w:bookmarkStart w:id="588" w:name="Tc_QEIN1keopk2xZKZbL8HVPw_12_2"/>
      <w:bookmarkStart w:id="589" w:name="Tc_9_0Et8NWWUujbbRNc4mtyw_12_0"/>
      <w:bookmarkStart w:id="590" w:name="Tc_MIaWPYzNFEiXWquu2wz7sg_11_14"/>
      <w:bookmarkStart w:id="591" w:name="Tc_0YN1tnc1BkysoiJHRyer0g_11_11"/>
      <w:bookmarkStart w:id="592" w:name="Tc_JReeI2hoeUyfx0qX74OrXw_11_5"/>
      <w:bookmarkStart w:id="593" w:name="Tc_iasWGSVdREm5KC3-l9wgeQ_11_2"/>
      <w:bookmarkStart w:id="594" w:name="Tc_4J0P6Sc-yEG-kWhGui1Xqw_11_0"/>
      <w:bookmarkStart w:id="595" w:name="Tc_oD4hU-_nyk6ya7q_wOoF-g_10_14"/>
      <w:bookmarkStart w:id="596" w:name="Tc_fWIqlTYIBUSNMOAt8I0nzQ_10_11"/>
      <w:bookmarkStart w:id="597" w:name="Tc_VdYsXU6ttkSuxkEkx7YIiQ_10_5"/>
      <w:bookmarkStart w:id="598" w:name="Tc_h2ZPXionAkKg6uNyHmkSUg_10_2"/>
      <w:bookmarkStart w:id="599" w:name="Tc_XU7ZcIlu0EijGR2ZtpBfVw_10_0"/>
      <w:bookmarkStart w:id="600" w:name="Tc_ByadaEvpskG2xLuhSaqeuw_9_14"/>
      <w:bookmarkStart w:id="601" w:name="Tc_RVxZXTp_0E64TCZpGl935g_9_11"/>
      <w:bookmarkStart w:id="602" w:name="Tc_tXbiyCoYrke4z-M7vznhbw_9_5"/>
      <w:bookmarkStart w:id="603" w:name="Tc_i7OrT7HEu0ihSSfw8XjxWw_9_0"/>
      <w:bookmarkStart w:id="604" w:name="Tc_th9fzvZExEO8bACCkwmesA_8_14"/>
      <w:bookmarkStart w:id="605" w:name="Tc_1o6qk7_vOUiDJfc4F3d1kw_8_11"/>
      <w:bookmarkStart w:id="606" w:name="Tc_k8_RL55xVUuSAXElufEH6g_8_5"/>
      <w:bookmarkStart w:id="607" w:name="Tc_j20nrAeYQEWSYUHuIXDtEA_8_0"/>
      <w:bookmarkStart w:id="608" w:name="Tc_feNndclrZk-wwwa-cloGMw_7_17"/>
      <w:bookmarkStart w:id="609" w:name="Tc_gv1HSPjcj02Tz2klDYT0QA_7_14"/>
      <w:bookmarkStart w:id="610" w:name="Tc_WBe5cLmtD0Wjryue3AbAaA_7_11"/>
      <w:bookmarkStart w:id="611" w:name="Tc_KGpv1pcc00G55gjynchv_g_7_8"/>
      <w:bookmarkStart w:id="612" w:name="Tc_zhIxBtFepEa9cQazOnDK-g_7_5"/>
      <w:bookmarkStart w:id="613" w:name="Tc_8ZJD4axKxkW84aloYTr_og_7_0"/>
      <w:bookmarkStart w:id="614" w:name="Tc_8CV3OK6AU02gd_XgeVWGPw_6_14"/>
      <w:bookmarkStart w:id="615" w:name="Tc_Jf-on7pBsE-bODSDZkVcsg_6_11"/>
      <w:bookmarkStart w:id="616" w:name="Tc_voG_CdtuBk-VQXUAblwKbw_6_5"/>
      <w:bookmarkStart w:id="617" w:name="Tc_48mf2MJYXEiD8EOVfcWSzQ_6_0"/>
      <w:bookmarkStart w:id="618" w:name="Tc_P3ix-UbAkkGVGXsT7aTrAg_5_16"/>
      <w:bookmarkStart w:id="619" w:name="Tc_7a1GH5rIVUikKNzGmUXZfw_5_13"/>
      <w:bookmarkStart w:id="620" w:name="Tc_ciVWIjU1wUuRB2UpA22jEA_5_10"/>
      <w:bookmarkStart w:id="621" w:name="Tc_hdpF6bn-0kyM3cHnGSXg8A_5_7"/>
      <w:bookmarkStart w:id="622" w:name="Tc_93rPT4xgx0m7M4zGiMKIIw_5_4"/>
      <w:bookmarkStart w:id="623" w:name="Tc_aaVk3whpX0qRtVPgux87Qw_5_0"/>
      <w:bookmarkStart w:id="624" w:name="Tc_dUuWcqsCUE2pY0dxWBlGdA_4_16"/>
      <w:bookmarkStart w:id="625" w:name="Tc_T4vikqfeUUWgyJogOcI_iA_4_13"/>
      <w:bookmarkStart w:id="626" w:name="Tc_aO7RnDerOkOm61IjNgpbfA_4_11"/>
      <w:bookmarkStart w:id="627" w:name="Tc_hVIthhmVVEOJ9J6Hy6c27A_4_7"/>
      <w:bookmarkStart w:id="628" w:name="Tc_ELkdYHyUnkmgzjdKxZH8-w_4_4"/>
      <w:bookmarkStart w:id="629" w:name="Tc_nvBuxl2W_ESw4xPZH8JpMw_4_2"/>
      <w:bookmarkStart w:id="630" w:name="Tc_aG-5-qCYTkG_HgW8WcS9mA_3_16"/>
      <w:bookmarkStart w:id="631" w:name="Tc_3V5QHy7-kU6SVpgCe39W7w_3_13"/>
      <w:bookmarkStart w:id="632" w:name="Tc_X53ORWBy70KOwWhcyueCEQ_3_11"/>
      <w:bookmarkStart w:id="633" w:name="Tc_bEZVQJF0x0mSLi0MwSy1Zg_3_7"/>
      <w:bookmarkStart w:id="634" w:name="Tc_Ne5kBgn_nEqqcGnOpwt2vA_3_2"/>
      <w:bookmarkStart w:id="635" w:name="Tc_JEUfz3LnUkeOKCXE0-mCHg_2_16"/>
      <w:bookmarkStart w:id="636" w:name="Tc_pU4QG1c9y0qNY7YHmDqMEQ_2_11"/>
      <w:bookmarkStart w:id="637" w:name="Tc_zhuGNlYtqUaySaJYrqGz_g_2_7"/>
      <w:bookmarkStart w:id="638" w:name="Tc_TOfjiilZtUeoMR0e_ov-SA_1_11"/>
      <w:bookmarkStart w:id="639" w:name="_6cb0c3dd_1c58_47a6_bd03_97e512d775e5"/>
      <w:bookmarkStart w:id="640" w:name="Tc_VX8nS8r5eEC6FkGT1TzAKA_30_16"/>
      <w:bookmarkStart w:id="641" w:name="Tc_2LEqaCgus0y0_brYChP1VA_30_13"/>
      <w:bookmarkStart w:id="642" w:name="Tc_1tcang6yAkGO5p_HaRfIDA_30_10"/>
      <w:bookmarkStart w:id="643" w:name="Tc_p1Hj8tHdRkyEsc4ekY_CGQ_30_7"/>
      <w:bookmarkStart w:id="644" w:name="Tc_e90NuSt96EeBu3UiiUrJWA_30_4"/>
      <w:bookmarkStart w:id="645" w:name="Tc_hwhziotawUqZtEPc4aoHnw_30_0"/>
      <w:bookmarkStart w:id="646" w:name="Tc_UAoMCVroNkuI46wv3vvVkw_29_11"/>
      <w:bookmarkStart w:id="647" w:name="Tc_2eIalGtKLkCRKOUgG1WrJw_29_8"/>
      <w:bookmarkStart w:id="648" w:name="Tc_9erwfIzbVEqsjuO71waDbQ_29_5"/>
      <w:bookmarkStart w:id="649" w:name="Tc_TNM-U9K0hECpA_7AmdOU1w_29_2"/>
      <w:bookmarkStart w:id="650" w:name="Tc_byzmRe7jsUOzkTNBug1GCA_29_0"/>
      <w:bookmarkStart w:id="651" w:name="Tc_xcvSFFuHck-mllbJV5QjMg_28_14"/>
      <w:bookmarkStart w:id="652" w:name="Tc_5Kv0LwJ3C0uBw6LK9sebwA_28_8"/>
      <w:bookmarkStart w:id="653" w:name="Tc_j8jwEXIpcECkf_19B4hTZw_28_5"/>
      <w:bookmarkStart w:id="654" w:name="Tc_0M7GiAMR5028s1aNgPbs1g_28_2"/>
      <w:bookmarkStart w:id="655" w:name="Tc_-u7EtZ7x3UOj8k4ARqQqBg_28_0"/>
      <w:bookmarkStart w:id="656" w:name="Tc_ehcZ7ZMrEUO61eAfqMH8IQ_27_14"/>
      <w:bookmarkStart w:id="657" w:name="Tc_d7xW7HlJI0mfnGP6WgyHFg_27_11"/>
      <w:bookmarkStart w:id="658" w:name="Tc_ixN3zJ2RGEiXn8NfrhmCQw_27_5"/>
      <w:bookmarkStart w:id="659" w:name="Tc_GT2-7nTHm0mytKX8jcC6vg_27_2"/>
      <w:bookmarkStart w:id="660" w:name="Tc_MXK1XXMe_Uqk_Etozaoe0w_27_0"/>
      <w:bookmarkStart w:id="661" w:name="Tc_tDFPcszECki_34QOShlPFw_26_14"/>
      <w:bookmarkStart w:id="662" w:name="Tc_MC6MDN7AaEKKJJmS4vRAnA_26_11"/>
      <w:bookmarkStart w:id="663" w:name="Tc_xj6WZDIqUkGA6w3L8LQK5Q_26_5"/>
      <w:bookmarkStart w:id="664" w:name="Tc_lFIHK2rkFkaDXhRrQ0SEmA_26_2"/>
      <w:bookmarkStart w:id="665" w:name="Tc_ZC69Gqu1SE6M_dggIN_kAQ_26_0"/>
      <w:bookmarkStart w:id="666" w:name="Tc_Xn5lUXUgDE6Ik-2EFeBrBw_25_14"/>
      <w:bookmarkStart w:id="667" w:name="Tc_boRsJj8dBE2tuH4NzGnExQ_25_11"/>
      <w:bookmarkStart w:id="668" w:name="Tc_k1N1hTEPt0alNmpvCTlsjg_25_5"/>
      <w:bookmarkStart w:id="669" w:name="Tc_oDbwJeMMIk6a45p44fvdiQ_25_0"/>
      <w:bookmarkStart w:id="670" w:name="Tc_KFx8sP4qS02_a3QNPiQRsQ_24_14"/>
      <w:bookmarkStart w:id="671" w:name="Tc_UZpUlo55L0OHQjjCzqucTg_24_11"/>
      <w:bookmarkStart w:id="672" w:name="Tc_xa4NGHHW3Ee9oAttos_dnw_24_5"/>
      <w:bookmarkStart w:id="673" w:name="Tc_WyEu2ND3okiLS-Mh7_Fulg_24_0"/>
      <w:bookmarkStart w:id="674" w:name="Tc_8hVt11PevUihCJoZoUhlrQ_23_17"/>
      <w:bookmarkStart w:id="675" w:name="Tc_YEGfZbHgdEiXdtkxFkAKAQ_23_14"/>
      <w:bookmarkStart w:id="676" w:name="Tc_KTlsV7E0jU6mQjcgm9VlIg_23_11"/>
      <w:bookmarkStart w:id="677" w:name="Tc_4jLyShpZ0UiWE7k35nGB9w_23_8"/>
      <w:bookmarkStart w:id="678" w:name="Tc_SdR3rygC50aPXm5TTuet2w_23_5"/>
      <w:bookmarkStart w:id="679" w:name="Tc_4xLf8nimsECm3CCyQku7pw_23_0"/>
      <w:bookmarkStart w:id="680" w:name="Tc_iFW_c5_4AUm8vzQuZiBaMQ_22_14"/>
      <w:bookmarkStart w:id="681" w:name="Tc_Vy3dHLs13kizGh6bfEOgaQ_22_11"/>
      <w:bookmarkStart w:id="682" w:name="Tc_GqL_Dz_yYkSWlVqWgIzNHA_22_5"/>
      <w:bookmarkStart w:id="683" w:name="Tc_eAk-rzW0VkSNS5XC_vGbMw_22_0"/>
      <w:bookmarkStart w:id="684" w:name="Tc_evHs8yWfUkymFB1M9NNMWQ_21_16"/>
      <w:bookmarkStart w:id="685" w:name="Tc_3Q2SkhajRkmuvg6PM5gq9g_21_13"/>
      <w:bookmarkStart w:id="686" w:name="Tc_PUzjIrKnak2vtqEf-rvh6w_21_10"/>
      <w:bookmarkStart w:id="687" w:name="Tc_bOkq6BtS8UW0gotYM_wvaw_21_7"/>
      <w:bookmarkStart w:id="688" w:name="Tc_u4j8swj-UEu_uG_g2L7FIg_21_4"/>
      <w:bookmarkStart w:id="689" w:name="Tc_ABVYUtuRWEGDgbDVNTTXVA_21_0"/>
      <w:bookmarkStart w:id="690" w:name="Tc_YNq4n-2o-k2_Q1C1eWE81w_20_16"/>
      <w:bookmarkStart w:id="691" w:name="Tc_TGPnGKFBPkGXUWwIIXM9KA_20_13"/>
      <w:bookmarkStart w:id="692" w:name="Tc_VtaBfnQR60OuEIyZUrjREA_20_11"/>
      <w:bookmarkStart w:id="693" w:name="Tc_hX7eI2tODkefs7vTlx6Sng_20_7"/>
      <w:bookmarkStart w:id="694" w:name="Tc_6YikmRSMoEOF63jluUzhDA_20_4"/>
      <w:bookmarkStart w:id="695" w:name="Tc_3MRkBwptgE21Sf8Qop4NEw_20_2"/>
      <w:bookmarkStart w:id="696" w:name="Tc_6edLsJ7SKk-PeQb_YLI3fg_19_16"/>
      <w:bookmarkStart w:id="697" w:name="Tc_ADovxaVoJEuTjJblygeO1g_19_13"/>
      <w:bookmarkStart w:id="698" w:name="Tc_i_NtMw0HC0io9vuGBeFgIQ_19_11"/>
      <w:bookmarkStart w:id="699" w:name="Tc_hOndelycskiQycqfOawn-Q_19_7"/>
      <w:bookmarkStart w:id="700" w:name="Tc_UnE9zbbHk0K39YL2-BQ8zg_19_2"/>
      <w:bookmarkStart w:id="701" w:name="Tc_SXUJyOzErEucBAhz1VcyfQ_18_16"/>
      <w:bookmarkStart w:id="702" w:name="Tc_AXlcAkp7lE2lSLG9tyyuiw_18_11"/>
      <w:bookmarkStart w:id="703" w:name="Tc_c02JPVG0HUyeTYj5xoq6DQ_18_7"/>
      <w:bookmarkStart w:id="704" w:name="Tc_Rgl4lOBem02SsiNiufWFjg_17_11"/>
      <w:bookmarkStart w:id="705" w:name="Tc_Vit0xdCm2U6P-DPn27fERg_14_16"/>
      <w:bookmarkStart w:id="706" w:name="Tc_grkdFtheCEW-s5kRw3ejuQ_14_13"/>
      <w:bookmarkStart w:id="707" w:name="Tc_8UUyY8jkIk-XSxzaV8TUPw_14_10"/>
      <w:bookmarkStart w:id="708" w:name="Tc_NKAxohUMfEuFo821f-R0_Q_14_7"/>
      <w:bookmarkStart w:id="709" w:name="Tc_aVJfAL31M0aK3pzzjU_9wQ_14_4"/>
      <w:bookmarkStart w:id="710" w:name="Tc_okjB-5xvX0CUCuJeJNtnaA_14_0"/>
      <w:bookmarkStart w:id="711" w:name="Tc_XZbkrzu1Ckq9bwHUx7h9Qw_13_11"/>
      <w:bookmarkStart w:id="712" w:name="Tc_EeY9FuTIgE-VrqVkTyw6kA_13_8"/>
      <w:bookmarkStart w:id="713" w:name="Tc_HXudGjh1EUmCRK9qXAV9AA_13_5"/>
      <w:bookmarkStart w:id="714" w:name="Tc_SyMsEqg1GEORissAKmCxgA_13_2"/>
      <w:bookmarkStart w:id="715" w:name="Tc_t6y3bmCSwkWcE61P_-ZnEg_13_0"/>
      <w:bookmarkStart w:id="716" w:name="Tc_YBz5r0O5h0eb5t_2V5_yQw_12_14"/>
      <w:bookmarkStart w:id="717" w:name="Tc_xA-0CXd6wU-3bwVXre_imw_12_8"/>
      <w:bookmarkStart w:id="718" w:name="Tc_WxCT8Efmaky-0eQMXu1nHA_12_5"/>
      <w:bookmarkStart w:id="719" w:name="Tc_QEIN1keopk2xZKZbL8HVPw_12_2"/>
      <w:bookmarkStart w:id="720" w:name="Tc_9_0Et8NWWUujbbRNc4mtyw_12_0"/>
      <w:bookmarkStart w:id="721" w:name="Tc_MIaWPYzNFEiXWquu2wz7sg_11_14"/>
      <w:bookmarkStart w:id="722" w:name="Tc_0YN1tnc1BkysoiJHRyer0g_11_11"/>
      <w:bookmarkStart w:id="723" w:name="Tc_JReeI2hoeUyfx0qX74OrXw_11_5"/>
      <w:bookmarkStart w:id="724" w:name="Tc_iasWGSVdREm5KC3-l9wgeQ_11_2"/>
      <w:bookmarkStart w:id="725" w:name="Tc_4J0P6Sc-yEG-kWhGui1Xqw_11_0"/>
      <w:bookmarkStart w:id="726" w:name="Tc_oD4hU-_nyk6ya7q_wOoF-g_10_14"/>
      <w:bookmarkStart w:id="727" w:name="Tc_fWIqlTYIBUSNMOAt8I0nzQ_10_11"/>
      <w:bookmarkStart w:id="728" w:name="Tc_VdYsXU6ttkSuxkEkx7YIiQ_10_5"/>
      <w:bookmarkStart w:id="729" w:name="Tc_h2ZPXionAkKg6uNyHmkSUg_10_2"/>
      <w:bookmarkStart w:id="730" w:name="Tc_XU7ZcIlu0EijGR2ZtpBfVw_10_0"/>
      <w:bookmarkStart w:id="731" w:name="Tc_ByadaEvpskG2xLuhSaqeuw_9_14"/>
      <w:bookmarkStart w:id="732" w:name="Tc_RVxZXTp_0E64TCZpGl935g_9_11"/>
      <w:bookmarkStart w:id="733" w:name="Tc_tXbiyCoYrke4z-M7vznhbw_9_5"/>
      <w:bookmarkStart w:id="734" w:name="Tc_i7OrT7HEu0ihSSfw8XjxWw_9_0"/>
      <w:bookmarkStart w:id="735" w:name="Tc_th9fzvZExEO8bACCkwmesA_8_14"/>
      <w:bookmarkStart w:id="736" w:name="Tc_1o6qk7_vOUiDJfc4F3d1kw_8_11"/>
      <w:bookmarkStart w:id="737" w:name="Tc_k8_RL55xVUuSAXElufEH6g_8_5"/>
      <w:bookmarkStart w:id="738" w:name="Tc_j20nrAeYQEWSYUHuIXDtEA_8_0"/>
      <w:bookmarkStart w:id="739" w:name="Tc_feNndclrZk-wwwa-cloGMw_7_17"/>
      <w:bookmarkStart w:id="740" w:name="Tc_gv1HSPjcj02Tz2klDYT0QA_7_14"/>
      <w:bookmarkStart w:id="741" w:name="Tc_WBe5cLmtD0Wjryue3AbAaA_7_11"/>
      <w:bookmarkStart w:id="742" w:name="Tc_KGpv1pcc00G55gjynchv_g_7_8"/>
      <w:bookmarkStart w:id="743" w:name="Tc_zhIxBtFepEa9cQazOnDK-g_7_5"/>
      <w:bookmarkStart w:id="744" w:name="Tc_8ZJD4axKxkW84aloYTr_og_7_0"/>
      <w:bookmarkStart w:id="745" w:name="Tc_8CV3OK6AU02gd_XgeVWGPw_6_14"/>
      <w:bookmarkStart w:id="746" w:name="Tc_Jf-on7pBsE-bODSDZkVcsg_6_11"/>
      <w:bookmarkStart w:id="747" w:name="Tc_voG_CdtuBk-VQXUAblwKbw_6_5"/>
      <w:bookmarkStart w:id="748" w:name="Tc_48mf2MJYXEiD8EOVfcWSzQ_6_0"/>
      <w:bookmarkStart w:id="749" w:name="Tc_P3ix-UbAkkGVGXsT7aTrAg_5_16"/>
      <w:bookmarkStart w:id="750" w:name="Tc_7a1GH5rIVUikKNzGmUXZfw_5_13"/>
      <w:bookmarkStart w:id="751" w:name="Tc_ciVWIjU1wUuRB2UpA22jEA_5_10"/>
      <w:bookmarkStart w:id="752" w:name="Tc_hdpF6bn-0kyM3cHnGSXg8A_5_7"/>
      <w:bookmarkStart w:id="753" w:name="Tc_93rPT4xgx0m7M4zGiMKIIw_5_4"/>
      <w:bookmarkStart w:id="754" w:name="Tc_aaVk3whpX0qRtVPgux87Qw_5_0"/>
      <w:bookmarkStart w:id="755" w:name="Tc_dUuWcqsCUE2pY0dxWBlGdA_4_16"/>
      <w:bookmarkStart w:id="756" w:name="Tc_T4vikqfeUUWgyJogOcI_iA_4_13"/>
      <w:bookmarkStart w:id="757" w:name="Tc_aO7RnDerOkOm61IjNgpbfA_4_11"/>
      <w:bookmarkStart w:id="758" w:name="Tc_hVIthhmVVEOJ9J6Hy6c27A_4_7"/>
      <w:bookmarkStart w:id="759" w:name="Tc_ELkdYHyUnkmgzjdKxZH8-w_4_4"/>
      <w:bookmarkStart w:id="760" w:name="Tc_nvBuxl2W_ESw4xPZH8JpMw_4_2"/>
      <w:bookmarkStart w:id="761" w:name="Tc_aG-5-qCYTkG_HgW8WcS9mA_3_16"/>
      <w:bookmarkStart w:id="762" w:name="Tc_3V5QHy7-kU6SVpgCe39W7w_3_13"/>
      <w:bookmarkStart w:id="763" w:name="Tc_X53ORWBy70KOwWhcyueCEQ_3_11"/>
      <w:bookmarkStart w:id="764" w:name="Tc_bEZVQJF0x0mSLi0MwSy1Zg_3_7"/>
      <w:bookmarkStart w:id="765" w:name="Tc_Ne5kBgn_nEqqcGnOpwt2vA_3_2"/>
      <w:bookmarkStart w:id="766" w:name="Tc_JEUfz3LnUkeOKCXE0-mCHg_2_16"/>
      <w:bookmarkStart w:id="767" w:name="Tc_pU4QG1c9y0qNY7YHmDqMEQ_2_11"/>
      <w:bookmarkStart w:id="768" w:name="Tc_zhuGNlYtqUaySaJYrqGz_g_2_7"/>
      <w:bookmarkStart w:id="769" w:name="Tc_TOfjiilZtUeoMR0e_ov-SA_1_11"/>
      <w:bookmarkStart w:id="770" w:name="_6cb0c3dd_1c58_47a6_bd03_97e512d775e5"/>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tbl>
      <w:tblPr>
        <w:tblW w:w="10205" w:type="dxa"/>
        <w:jc w:val="left"/>
        <w:tblInd w:w="0" w:type="dxa"/>
        <w:tblLayout w:type="fixed"/>
        <w:tblCellMar>
          <w:top w:w="0" w:type="dxa"/>
          <w:left w:w="0" w:type="dxa"/>
          <w:bottom w:w="0" w:type="dxa"/>
          <w:right w:w="0" w:type="dxa"/>
        </w:tblCellMar>
      </w:tblPr>
      <w:tblGrid>
        <w:gridCol w:w="3083"/>
        <w:gridCol w:w="326"/>
        <w:gridCol w:w="796"/>
        <w:gridCol w:w="326"/>
        <w:gridCol w:w="201"/>
        <w:gridCol w:w="385"/>
        <w:gridCol w:w="326"/>
        <w:gridCol w:w="181"/>
        <w:gridCol w:w="601"/>
        <w:gridCol w:w="326"/>
        <w:gridCol w:w="181"/>
        <w:gridCol w:w="1096"/>
        <w:gridCol w:w="109"/>
        <w:gridCol w:w="203"/>
        <w:gridCol w:w="728"/>
        <w:gridCol w:w="326"/>
        <w:gridCol w:w="209"/>
        <w:gridCol w:w="802"/>
      </w:tblGrid>
      <w:tr>
        <w:trPr/>
        <w:tc>
          <w:tcPr>
            <w:tcW w:w="3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57705" cy="175260"/>
                      <wp:effectExtent l="0" t="0" r="0" b="0"/>
                      <wp:wrapNone/>
                      <wp:docPr id="54" name="Frame54"/>
                      <a:graphic xmlns:a="http://schemas.openxmlformats.org/drawingml/2006/main">
                        <a:graphicData uri="http://schemas.microsoft.com/office/word/2010/wordprocessingShape">
                          <wps:wsp>
                            <wps:cNvSpPr txBox="1"/>
                            <wps:spPr>
                              <a:xfrm>
                                <a:off x="0" y="0"/>
                                <a:ext cx="195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05460" cy="175260"/>
                      <wp:effectExtent l="0" t="0" r="0" b="0"/>
                      <wp:wrapNone/>
                      <wp:docPr id="56" name="Frame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7635" cy="175260"/>
                      <wp:effectExtent l="0" t="0" r="0" b="0"/>
                      <wp:wrapNone/>
                      <wp:docPr id="58" name="Frame5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44475" cy="175260"/>
                      <wp:effectExtent l="0" t="0" r="0" b="0"/>
                      <wp:wrapNone/>
                      <wp:docPr id="59" name="Frame5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935" cy="175260"/>
                      <wp:effectExtent l="0" t="0" r="0" b="0"/>
                      <wp:wrapNone/>
                      <wp:docPr id="61"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81635" cy="175260"/>
                      <wp:effectExtent l="0" t="0" r="0" b="0"/>
                      <wp:wrapNone/>
                      <wp:docPr id="62" name="Frame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8905" cy="175260"/>
                      <wp:effectExtent l="0" t="0" r="0" b="0"/>
                      <wp:wrapNone/>
                      <wp:docPr id="66" name="Frame6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62280" cy="175260"/>
                      <wp:effectExtent l="0" t="0" r="0" b="0"/>
                      <wp:wrapNone/>
                      <wp:docPr id="67" name="Frame67"/>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2715" cy="175260"/>
                      <wp:effectExtent l="0" t="0" r="0" b="0"/>
                      <wp:wrapNone/>
                      <wp:docPr id="69" name="Frame69"/>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09270" cy="175260"/>
                      <wp:effectExtent l="0" t="0" r="0" b="0"/>
                      <wp:wrapNone/>
                      <wp:docPr id="70" name="Frame70"/>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8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8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6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3"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72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9"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80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March 31, 2022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39,869,325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393,933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(1,626)</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(127,220)</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265,090</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6,990</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31</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49,319</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17,934</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the employee stock purchase plan</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30,891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57</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4,623</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4,623</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105</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unrealized loss on marketable securities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(772)</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(772)</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(32,858)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(32,858)</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at June 30, 2022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39,974,459</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398,756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(2,398)</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(160,078)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236,283</w:t>
            </w:r>
          </w:p>
        </w:tc>
      </w:tr>
      <w:tr>
        <w:trPr/>
        <w:tc>
          <w:tcPr>
            <w:tcW w:w="3083"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color w:val="231F20"/>
              </w:rPr>
            </w:pPr>
            <w:r>
              <w:rPr>
                <w:color w:val="231F20"/>
              </w:rPr>
              <w:t>​</w:t>
            </w:r>
          </w:p>
        </w:tc>
      </w:tr>
      <w:tr>
        <w:trPr/>
        <w:tc>
          <w:tcPr>
            <w:tcW w:w="308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72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9"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80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9" w:type="dxa"/>
            <w:tcBorders/>
            <w:vAlign w:val="center"/>
          </w:tcPr>
          <w:p>
            <w:pPr>
              <w:pStyle w:val="TableContents"/>
              <w:bidi w:val="0"/>
              <w:spacing w:before="0" w:after="1"/>
              <w:ind w:left="0" w:right="0" w:hanging="0"/>
              <w:jc w:val="right"/>
              <w:rPr/>
            </w:pPr>
            <w:r>
              <w:rPr/>
              <w:t>​</w:t>
            </w:r>
          </w:p>
        </w:tc>
        <w:tc>
          <w:tcPr>
            <w:tcW w:w="802" w:type="dxa"/>
            <w:tcBorders/>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December 31, 2021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39,797,263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388,904</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(149)</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(104,190)</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284,568</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13,979</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209" w:type="dxa"/>
            <w:tcBorders/>
            <w:vAlign w:val="center"/>
          </w:tcPr>
          <w:p>
            <w:pPr>
              <w:pStyle w:val="TableContents"/>
              <w:bidi w:val="0"/>
              <w:spacing w:before="0" w:after="1"/>
              <w:ind w:left="0" w:right="0" w:hanging="0"/>
              <w:jc w:val="right"/>
              <w:rPr>
                <w:color w:val="231F20"/>
              </w:rPr>
            </w:pPr>
            <w:r>
              <w:rPr>
                <w:color w:val="231F20"/>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62</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98,637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2"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33,689</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righ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30,891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righ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right"/>
              <w:rPr/>
            </w:pPr>
            <w:r>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57</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9,497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9,497</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righ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right"/>
              <w:rPr/>
            </w:pPr>
            <w:r>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196</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unrealized loss on marketable securities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(2,249)</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righ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(2,249)</w:t>
            </w:r>
          </w:p>
        </w:tc>
      </w:tr>
      <w:tr>
        <w:trPr/>
        <w:tc>
          <w:tcPr>
            <w:tcW w:w="308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(55,888)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(55,888)</w:t>
            </w:r>
          </w:p>
        </w:tc>
      </w:tr>
      <w:tr>
        <w:trPr/>
        <w:tc>
          <w:tcPr>
            <w:tcW w:w="3083"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June 30, 2022</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39,974,459</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398,756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(2,398)</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(160,078)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802" w:type="dxa"/>
            <w:tcBorders>
              <w:bottom w:val="double" w:sz="6" w:space="0" w:color="000000"/>
            </w:tcBorders>
            <w:tcMar>
              <w:bottom w:w="28" w:type="dxa"/>
            </w:tcMar>
            <w:vAlign w:val="center"/>
          </w:tcPr>
          <w:p>
            <w:pPr>
              <w:pStyle w:val="TableContents"/>
              <w:bidi w:val="0"/>
              <w:spacing w:before="0" w:after="1"/>
              <w:ind w:left="0" w:right="45" w:hanging="0"/>
              <w:jc w:val="right"/>
              <w:rPr>
                <w:rFonts w:ascii="Arial;Helvetica;sans-serif" w:hAnsi="Arial;Helvetica;sans-serif"/>
                <w:sz w:val="14"/>
              </w:rPr>
            </w:pPr>
            <w:r>
              <w:rPr>
                <w:rFonts w:ascii="Arial;Helvetica;sans-serif" w:hAnsi="Arial;Helvetica;sans-serif"/>
                <w:sz w:val="14"/>
              </w:rPr>
              <w:t>236,283</w:t>
            </w:r>
          </w:p>
        </w:tc>
      </w:tr>
    </w:tbl>
    <w:p>
      <w:pPr>
        <w:pStyle w:val="TextBody"/>
        <w:bidi w:val="0"/>
        <w:spacing w:before="100" w:after="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771" w:name="_75d5b7d2_34a2_4f5f_b080_a318bf9b14ed"/>
      <w:bookmarkEnd w:id="771"/>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bookmarkStart w:id="772" w:name="CondensedConsolidatedStatementsofcashflo"/>
      <w:bookmarkEnd w:id="772"/>
      <w:r>
        <w:rPr>
          <w:rFonts w:ascii="Arial;Helvetica;sans-serif" w:hAnsi="Arial;Helvetica;sans-serif"/>
          <w:b/>
          <w:sz w:val="20"/>
        </w:rPr>
        <w:t>(unaudited)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w:t>
      </w:r>
    </w:p>
    <w:p>
      <w:pPr>
        <w:pStyle w:val="Normal"/>
        <w:bidi w:val="0"/>
        <w:spacing w:before="0" w:after="0"/>
        <w:jc w:val="left"/>
        <w:rPr>
          <w:sz w:val="4"/>
          <w:szCs w:val="4"/>
        </w:rPr>
      </w:pPr>
      <w:r>
        <w:rPr>
          <w:sz w:val="4"/>
          <w:szCs w:val="4"/>
        </w:rPr>
      </w:r>
      <w:bookmarkStart w:id="773" w:name="Tc_RGc0gVrrr02RB14EbIJ4GA_29_5"/>
      <w:bookmarkStart w:id="774" w:name="Tc_4a1KoYFRIkay5ySNuo34OQ_29_2"/>
      <w:bookmarkStart w:id="775" w:name="Tc_5S0hhOC_q06XftLwsLr5uA_29_0"/>
      <w:bookmarkStart w:id="776" w:name="Tc_dLzhs-kasUuxlf7BFKtlag_28_0"/>
      <w:bookmarkStart w:id="777" w:name="Tc_LDVorL-eike87UR-PHqyFw_27_0"/>
      <w:bookmarkStart w:id="778" w:name="Tc_-g5rv1iijUqxqasXCDBXyg_26_0"/>
      <w:bookmarkStart w:id="779" w:name="Tc__3JTVMfpyEWod42xeH6UHQ_25_0"/>
      <w:bookmarkStart w:id="780" w:name="Tc_tyCPTbkeVEKQS9PtU3dPZA_24_0"/>
      <w:bookmarkStart w:id="781" w:name="Tc_2pVxNmPPG0WRl-6h6hLJ0A_23_0"/>
      <w:bookmarkStart w:id="782" w:name="Tc_AQnaeIz21EynEoQD5Xhn9w_22_0"/>
      <w:bookmarkStart w:id="783" w:name="Tc_-mIvu9errE2uNxHbMJWsTQ_21_0"/>
      <w:bookmarkStart w:id="784" w:name="Tc_3xO7ClR1JkGcooxspAeZBQ_20_0"/>
      <w:bookmarkStart w:id="785" w:name="Tc_8CYMgqGjQ0u7EFGN3E9Bbg_19_3"/>
      <w:bookmarkStart w:id="786" w:name="Tc_uzn8LRONW0KVsR8SJIRUaA_19_0"/>
      <w:bookmarkStart w:id="787" w:name="Tc_jDV6QsPK-UyAQPMn7u7HsQ_18_0"/>
      <w:bookmarkStart w:id="788" w:name="Tc_5nMUw4wdrk2TrKnxXqynIw_17_0"/>
      <w:bookmarkStart w:id="789" w:name="Tc_1q3vel_lGUODQwria2N_zg_16_0"/>
      <w:bookmarkStart w:id="790" w:name="Tc_cjbjeAhCqUGtu4p4BqqW3w_15_0"/>
      <w:bookmarkStart w:id="791" w:name="Tc_LAS3xbYiO0e5omVRiyD3_A_14_0"/>
      <w:bookmarkStart w:id="792" w:name="Tc_vFBou_6IbESGbBIvx2OBJA_13_0"/>
      <w:bookmarkStart w:id="793" w:name="Tc_nJP8rqoVn0epPej0FToZcg_12_0"/>
      <w:bookmarkStart w:id="794" w:name="Tc_Sw6l0WmG-06za4-WOCoGJg_11_0"/>
      <w:bookmarkStart w:id="795" w:name="Tc_dKkM3WlL2EucV6TxEYED8A_10_0"/>
      <w:bookmarkStart w:id="796" w:name="Tc_mX1ksydHREe2NvR10V7Ang_9_0"/>
      <w:bookmarkStart w:id="797" w:name="Tc_CMQSxxtaEkauEBVFA12NQg_8_0"/>
      <w:bookmarkStart w:id="798" w:name="Tc_vtDzDHLzFkaqTHa-huNBrA_7_6"/>
      <w:bookmarkStart w:id="799" w:name="Tc_ObH0tFam1kydgJq0lJvK1w_7_0"/>
      <w:bookmarkStart w:id="800" w:name="Tc_ytBIqV0WvkucE_Apia_ucQ_6_0"/>
      <w:bookmarkStart w:id="801" w:name="Tc_aWjeWcnWZ0y8HxCeCF8Etg_5_0"/>
      <w:bookmarkStart w:id="802" w:name="Tc_5TksiPX1tEy5mGUw_zn_dA_4_5"/>
      <w:bookmarkStart w:id="803" w:name="Tc_iVBXt-rV0kOkuq5HRn3wLw_4_2"/>
      <w:bookmarkStart w:id="804" w:name="Tc_CPR4LK0uhUG0so9j__dzIw_4_0"/>
      <w:bookmarkStart w:id="805" w:name="Tc_c2ULRFOa6EeczChZ3aPdWg_3_0"/>
      <w:bookmarkStart w:id="806" w:name="Tc_5fQomWTEdk6ZqEVchGgtzA_2_5"/>
      <w:bookmarkStart w:id="807" w:name="Tc_PeabilLW4U6Zh-Jx7Dg5Dw_2_2"/>
      <w:bookmarkStart w:id="808" w:name="Tc_I9lXVS93i0OLevnRs01-9Q_1_2"/>
      <w:bookmarkStart w:id="809" w:name="_7f41ac23_6593_453f_a1a1_a34a37aedebd"/>
      <w:bookmarkStart w:id="810" w:name="Tc_RGc0gVrrr02RB14EbIJ4GA_29_5"/>
      <w:bookmarkStart w:id="811" w:name="Tc_4a1KoYFRIkay5ySNuo34OQ_29_2"/>
      <w:bookmarkStart w:id="812" w:name="Tc_5S0hhOC_q06XftLwsLr5uA_29_0"/>
      <w:bookmarkStart w:id="813" w:name="Tc_dLzhs-kasUuxlf7BFKtlag_28_0"/>
      <w:bookmarkStart w:id="814" w:name="Tc_LDVorL-eike87UR-PHqyFw_27_0"/>
      <w:bookmarkStart w:id="815" w:name="Tc_-g5rv1iijUqxqasXCDBXyg_26_0"/>
      <w:bookmarkStart w:id="816" w:name="Tc__3JTVMfpyEWod42xeH6UHQ_25_0"/>
      <w:bookmarkStart w:id="817" w:name="Tc_tyCPTbkeVEKQS9PtU3dPZA_24_0"/>
      <w:bookmarkStart w:id="818" w:name="Tc_2pVxNmPPG0WRl-6h6hLJ0A_23_0"/>
      <w:bookmarkStart w:id="819" w:name="Tc_AQnaeIz21EynEoQD5Xhn9w_22_0"/>
      <w:bookmarkStart w:id="820" w:name="Tc_-mIvu9errE2uNxHbMJWsTQ_21_0"/>
      <w:bookmarkStart w:id="821" w:name="Tc_3xO7ClR1JkGcooxspAeZBQ_20_0"/>
      <w:bookmarkStart w:id="822" w:name="Tc_8CYMgqGjQ0u7EFGN3E9Bbg_19_3"/>
      <w:bookmarkStart w:id="823" w:name="Tc_uzn8LRONW0KVsR8SJIRUaA_19_0"/>
      <w:bookmarkStart w:id="824" w:name="Tc_jDV6QsPK-UyAQPMn7u7HsQ_18_0"/>
      <w:bookmarkStart w:id="825" w:name="Tc_5nMUw4wdrk2TrKnxXqynIw_17_0"/>
      <w:bookmarkStart w:id="826" w:name="Tc_1q3vel_lGUODQwria2N_zg_16_0"/>
      <w:bookmarkStart w:id="827" w:name="Tc_cjbjeAhCqUGtu4p4BqqW3w_15_0"/>
      <w:bookmarkStart w:id="828" w:name="Tc_LAS3xbYiO0e5omVRiyD3_A_14_0"/>
      <w:bookmarkStart w:id="829" w:name="Tc_vFBou_6IbESGbBIvx2OBJA_13_0"/>
      <w:bookmarkStart w:id="830" w:name="Tc_nJP8rqoVn0epPej0FToZcg_12_0"/>
      <w:bookmarkStart w:id="831" w:name="Tc_Sw6l0WmG-06za4-WOCoGJg_11_0"/>
      <w:bookmarkStart w:id="832" w:name="Tc_dKkM3WlL2EucV6TxEYED8A_10_0"/>
      <w:bookmarkStart w:id="833" w:name="Tc_mX1ksydHREe2NvR10V7Ang_9_0"/>
      <w:bookmarkStart w:id="834" w:name="Tc_CMQSxxtaEkauEBVFA12NQg_8_0"/>
      <w:bookmarkStart w:id="835" w:name="Tc_vtDzDHLzFkaqTHa-huNBrA_7_6"/>
      <w:bookmarkStart w:id="836" w:name="Tc_ObH0tFam1kydgJq0lJvK1w_7_0"/>
      <w:bookmarkStart w:id="837" w:name="Tc_ytBIqV0WvkucE_Apia_ucQ_6_0"/>
      <w:bookmarkStart w:id="838" w:name="Tc_aWjeWcnWZ0y8HxCeCF8Etg_5_0"/>
      <w:bookmarkStart w:id="839" w:name="Tc_5TksiPX1tEy5mGUw_zn_dA_4_5"/>
      <w:bookmarkStart w:id="840" w:name="Tc_iVBXt-rV0kOkuq5HRn3wLw_4_2"/>
      <w:bookmarkStart w:id="841" w:name="Tc_CPR4LK0uhUG0so9j__dzIw_4_0"/>
      <w:bookmarkStart w:id="842" w:name="Tc_c2ULRFOa6EeczChZ3aPdWg_3_0"/>
      <w:bookmarkStart w:id="843" w:name="Tc_5fQomWTEdk6ZqEVchGgtzA_2_5"/>
      <w:bookmarkStart w:id="844" w:name="Tc_PeabilLW4U6Zh-Jx7Dg5Dw_2_2"/>
      <w:bookmarkStart w:id="845" w:name="Tc_I9lXVS93i0OLevnRs01-9Q_1_2"/>
      <w:bookmarkStart w:id="846" w:name="_7f41ac23_6593_453f_a1a1_a34a37aedebd"/>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tbl>
      <w:tblPr>
        <w:tblW w:w="10032" w:type="dxa"/>
        <w:jc w:val="left"/>
        <w:tblInd w:w="0" w:type="dxa"/>
        <w:tblLayout w:type="fixed"/>
        <w:tblCellMar>
          <w:top w:w="0" w:type="dxa"/>
          <w:left w:w="0" w:type="dxa"/>
          <w:bottom w:w="0" w:type="dxa"/>
          <w:right w:w="0" w:type="dxa"/>
        </w:tblCellMar>
      </w:tblPr>
      <w:tblGrid>
        <w:gridCol w:w="7216"/>
        <w:gridCol w:w="326"/>
        <w:gridCol w:w="211"/>
        <w:gridCol w:w="796"/>
        <w:gridCol w:w="326"/>
        <w:gridCol w:w="211"/>
        <w:gridCol w:w="946"/>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582160" cy="175260"/>
                      <wp:effectExtent l="0" t="0" r="0" b="0"/>
                      <wp:wrapNone/>
                      <wp:docPr id="71" name="Frame71"/>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74" name="Frame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00710" cy="175260"/>
                      <wp:effectExtent l="0" t="0" r="0" b="0"/>
                      <wp:wrapNone/>
                      <wp:docPr id="77" name="Frame7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490"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Six Months Ended June 30, </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center"/>
              <w:rPr/>
            </w:pPr>
            <w:r>
              <w:rPr/>
              <w:t>​</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(48,381)</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(55,888)</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Loss on sale of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lease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648</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interest income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Stock-based compensation expense, including employee stock purchase plan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8,800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9,693</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assets and long-term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(542)</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1,915</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(632)</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(42,507)</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(44,362)</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 of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Maturities of marketable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126,260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205,750</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(74,760)</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(150,720)</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investing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51,500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54,979</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 of stock options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common stock under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711</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financing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2,263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11,256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10,714</w:t>
            </w:r>
          </w:p>
        </w:tc>
      </w:tr>
      <w:tr>
        <w:trPr/>
        <w:tc>
          <w:tcPr>
            <w:tcW w:w="72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at beginning of period</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23,702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13,812</w:t>
            </w:r>
          </w:p>
        </w:tc>
      </w:tr>
      <w:tr>
        <w:trPr/>
        <w:tc>
          <w:tcPr>
            <w:tcW w:w="72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34,958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24,526</w:t>
            </w:r>
          </w:p>
        </w:tc>
      </w:tr>
      <w:tr>
        <w:trPr/>
        <w:tc>
          <w:tcPr>
            <w:tcW w:w="721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847" w:name="_812dee74_2d58_4203_ab6a_bd20d90d180f"/>
      <w:bookmarkEnd w:id="847"/>
      <w:r>
        <w:rPr>
          <w:rFonts w:ascii="Arial;Helvetica;sans-serif" w:hAnsi="Arial;Helvetica;sans-serif"/>
          <w:b/>
          <w:sz w:val="20"/>
        </w:rPr>
        <w:t>Olema Pharmaceuticals, Inc.</w:t>
      </w:r>
    </w:p>
    <w:p>
      <w:pPr>
        <w:pStyle w:val="TextBody"/>
        <w:bidi w:val="0"/>
        <w:spacing w:before="0" w:after="240"/>
        <w:ind w:left="0" w:right="0" w:hanging="0"/>
        <w:jc w:val="center"/>
        <w:rPr>
          <w:rFonts w:ascii="Arial;Helvetica;sans-serif" w:hAnsi="Arial;Helvetica;sans-serif"/>
          <w:b/>
          <w:sz w:val="20"/>
        </w:rPr>
      </w:pPr>
      <w:bookmarkStart w:id="848" w:name="Notestocondensedconsolidatedfinancialsta"/>
      <w:bookmarkEnd w:id="848"/>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4742" w:type="dxa"/>
        <w:jc w:val="left"/>
        <w:tblInd w:w="0" w:type="dxa"/>
        <w:tblLayout w:type="fixed"/>
        <w:tblCellMar>
          <w:top w:w="0" w:type="dxa"/>
          <w:left w:w="0" w:type="dxa"/>
          <w:bottom w:w="0" w:type="dxa"/>
          <w:right w:w="0" w:type="dxa"/>
        </w:tblCellMar>
      </w:tblPr>
      <w:tblGrid>
        <w:gridCol w:w="286"/>
        <w:gridCol w:w="4456"/>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1.</w:t>
            </w:r>
          </w:p>
        </w:tc>
        <w:tc>
          <w:tcPr>
            <w:tcW w:w="445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Nature of the Business and Basis of Presentation</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wholly-owned, lead product candidate, palazestrant (OP-1250), is a novel oral therapy with combined activity as both a complete estrogen receptor (“ER”) antagonist (“CERAN”) and a selective ER degrader (“SERD”). It is currently being evaluated as a single agent in an ongoing Phase 2 clinical study, and in Phase 1b/2 clinical studies in combination with palbociclib, ribociclib, and alpelisib, in patients with recurrent, locally advanced or metastatic estrogen receptor-positive (“ER+”), human epidermal growth factor receptor 2 negative (“HER2-”) breast cancer. We expect to initiate in the fourth quarter of 2023 Olema’s first pivotal Phase 3 clinical trial, called OPERA-01, testing palazestrant as a monotherapy in second- and third-line metastatic breast cancer.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such as the COVID-19 pandemic, ongoing conflict between Ukraine and Russia and related sanctions, recent and potential future bank failures and financial instability, the ability to secure additional capital to fund operations and commercial success of its product candidates. Palazestrant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Liquidity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had $167.4 million of cash, cash equivalents and marketable securities at June 30, 2023, which management believes is sufficient to fund its operating expenses and capital expenditure requirements into the second quarter of 2025.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Impact of Geopolitical and Macroeconomic Events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Global economic and business activities continue to face widespread geopolitical and macroeconomic uncertainties, including labor shortages, inflation and monetary supply shifts, bank failures and related financial market risks and instability, recession risks, as well as potential disruptions from the Russia-Ukraine conflict, which has resulted in volatility in the U.S. and global financial markets and which has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disruption resulting from these factors could negatively impact the Company’s business. The Company continues to monitor the impact of these geopolitical and macroeconomic factors on its results of operations, financial condition and cash flows.</w:t>
      </w:r>
    </w:p>
    <w:tbl>
      <w:tblPr>
        <w:tblW w:w="4262" w:type="dxa"/>
        <w:jc w:val="left"/>
        <w:tblInd w:w="0" w:type="dxa"/>
        <w:tblLayout w:type="fixed"/>
        <w:tblCellMar>
          <w:top w:w="0" w:type="dxa"/>
          <w:left w:w="0" w:type="dxa"/>
          <w:bottom w:w="0" w:type="dxa"/>
          <w:right w:w="0" w:type="dxa"/>
        </w:tblCellMar>
      </w:tblPr>
      <w:tblGrid>
        <w:gridCol w:w="286"/>
        <w:gridCol w:w="3976"/>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2.</w:t>
            </w:r>
          </w:p>
        </w:tc>
        <w:tc>
          <w:tcPr>
            <w:tcW w:w="397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Summary of Significant Accounting Policies</w:t>
            </w:r>
          </w:p>
        </w:tc>
      </w:tr>
    </w:tbl>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Basis of Presentation and Consolidation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Unaudited Interim Financial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interim condensed consolidated balance sheet as of June 30, 2023, and the statements of operations and comprehensive loss, and stockholders’ equity for the three and six months ended June 30, 2023 and 2022, and the statements of cash flows for the six months ended June 30, 2023 and 2022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presented in these unaudited condensed consolidated financial statements are not necessarily indicative of the results to be expected for the year ending December 31, 2023, or for any other future annual or interim period. The condensed consolidated balance sheet as of December 31, 2022 included herein was derived from the audited financial statements as of that date. These interim condensed consolidated financial statements should be read in conjunction with the Company’s audited consolidated financial statements included in the Company’s Form 10-K as filed with the SEC on March 9, 2023 (the “Annual Report”).</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Use of Estimates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Cash and cash equivalents are defined as short-term, highly liquid investments with original maturities of 90 days or less at the date of purchase. Cash deposits are all in reputable financial institutions in the United States as of June 30, 2023, and December 31, 2022. Cash and cash equivalents consisted of cash on deposit with U.S. banks, including the Company’s bank account for its Australia subsidiary, denominated in U.S. dollars and Australian dollars and investments in interest bearing money market funds.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Marketable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Concentration of Credit Risk and Other Risks and Uncertainties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pBdr/>
        <w:bidi w:val="0"/>
        <w:spacing w:before="0" w:after="0"/>
        <w:ind w:left="0" w:right="0" w:hanging="0"/>
        <w:jc w:val="left"/>
        <w:rPr>
          <w:rFonts w:ascii="Arial;Helvetica;sans-serif" w:hAnsi="Arial;Helvetica;sans-serif"/>
          <w:i/>
          <w:sz w:val="20"/>
        </w:rPr>
      </w:pPr>
      <w:r>
        <w:rPr>
          <w:rFonts w:ascii="Arial;Helvetica;sans-serif" w:hAnsi="Arial;Helvetica;sans-serif"/>
          <w:i/>
          <w:sz w:val="20"/>
        </w:rPr>
        <w:t>Leases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Company adopted Accounting Standard Update (“ASU”) 2016-12, </w:t>
      </w:r>
      <w:r>
        <w:rPr>
          <w:rFonts w:ascii="Arial;Helvetica;sans-serif" w:hAnsi="Arial;Helvetica;sans-serif"/>
          <w:i/>
          <w:sz w:val="20"/>
        </w:rPr>
        <w:t>Leases</w:t>
      </w:r>
      <w:r>
        <w:rPr>
          <w:rFonts w:ascii="Arial;Helvetica;sans-serif" w:hAnsi="Arial;Helvetica;sans-serif"/>
          <w:sz w:val="20"/>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elected to not apply the recognition requirements of Topic 842 to short-term leases with terms of 12 months or less. Additional information and disclosures required by Topic 842 are contained in Note 11 “Lease” in the Annual Report.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Costs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TextBody"/>
        <w:bidi w:val="0"/>
        <w:spacing w:before="0" w:after="24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Reimbursements of certain costs associated with research activities performed under the agreement with Novartis Institutes for BioMedical Research, Inc. (“Novartis”) are recorded as a reduction of research and development expenses</w:t>
      </w:r>
      <w:r>
        <w:rPr>
          <w:rFonts w:ascii="Arial;Helvetica;sans-serif" w:hAnsi="Arial;Helvetica;sans-serif"/>
          <w:i/>
          <w:sz w:val="20"/>
        </w:rPr>
        <w:t xml:space="preserve"> </w:t>
      </w:r>
      <w:r>
        <w:rPr>
          <w:rFonts w:ascii="Arial;Helvetica;sans-serif" w:hAnsi="Arial;Helvetica;sans-serif"/>
          <w:i w:val="false"/>
          <w:caps w:val="false"/>
          <w:smallCaps w:val="false"/>
          <w:sz w:val="20"/>
        </w:rPr>
        <w:t>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Contract Costs and Accruals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Net Loss Per Common Share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Recent Accounting Pronouncements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were no new accounting pronouncements that were relevant to the Company as of and for the six months ended June 30, 2023.</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49" w:name="Tc_pnFdGq0NQ0-m3NzE7o9L6w_8_11"/>
      <w:bookmarkStart w:id="850" w:name="Tc_QyVbDTDAxEa0b3esNHq0vQ_8_8"/>
      <w:bookmarkStart w:id="851" w:name="Tc_CR9gLSFF006CNkNaNoLbFw_8_5"/>
      <w:bookmarkStart w:id="852" w:name="Tc_IcI7ZMnJa0O5aABp8C3UQQ_8_2"/>
      <w:bookmarkStart w:id="853" w:name="Tc_IwhuO6nXVkG41BibUFDdfA_8_0"/>
      <w:bookmarkStart w:id="854" w:name="Tc_2JSipA9l9kOxfDlh9nqguQ_7_0"/>
      <w:bookmarkStart w:id="855" w:name="Tc_Oyg6-LhR30OO4pYJ7CZcXw_6_11"/>
      <w:bookmarkStart w:id="856" w:name="Tc_OHTlD9Ns3k2j5V8pvKKsuA_6_9"/>
      <w:bookmarkStart w:id="857" w:name="Tc_2WICTi621UKTYFWEMDT_tQ_6_8"/>
      <w:bookmarkStart w:id="858" w:name="Tc_cDfwptk5vke27YdbZPEmyQ_6_6"/>
      <w:bookmarkStart w:id="859" w:name="Tc_pJsJsoI140ysxam92o40AA_6_5"/>
      <w:bookmarkStart w:id="860" w:name="Tc_CLga8Yb0GEuUiNhziAw8Lw_6_2"/>
      <w:bookmarkStart w:id="861" w:name="Tc_qiwF1yt5cEqC17OonnmHXA_6_0"/>
      <w:bookmarkStart w:id="862" w:name="Tc_MYiLCZc1G0uc5XY9zL3lPA_5_0"/>
      <w:bookmarkStart w:id="863" w:name="Tc_moJLt519iUqbLnhQ0MUO8A_4_11"/>
      <w:bookmarkStart w:id="864" w:name="Tc_1DCAVsWIo0yAsY_yW-rvOA_4_8"/>
      <w:bookmarkStart w:id="865" w:name="Tc_F9FEfwRSAk22AkS8EXn5nw_4_5"/>
      <w:bookmarkStart w:id="866" w:name="Tc_fXxqlgkEiE25JZ1io7mFmQ_4_2"/>
      <w:bookmarkStart w:id="867" w:name="Tc_nShEmoKfMUW9E4KNXXBjYg_4_0"/>
      <w:bookmarkStart w:id="868" w:name="Tc_Yh1I-IkxX0WVk_rwTXFmJA_3_11"/>
      <w:bookmarkStart w:id="869" w:name="Tc_zhy_5OzFqU2QDWOZpr7Fmw_3_8"/>
      <w:bookmarkStart w:id="870" w:name="Tc_Tnsay5-DaE-sCL_j8wciFw_3_5"/>
      <w:bookmarkStart w:id="871" w:name="Tc_mYwW3mOSMU-_Zkp4iA0HoA_3_2"/>
      <w:bookmarkStart w:id="872" w:name="Tc_DIQe37CzpkujnIoxYuFmsw_2_8"/>
      <w:bookmarkStart w:id="873" w:name="Tc_gX0DwpEq_0Kp4QujnjMKRw_2_5"/>
      <w:bookmarkStart w:id="874" w:name="Tc_M9bC-IfaCUaKz61BYxJQzQ_1_2"/>
      <w:bookmarkStart w:id="875" w:name="Tc_dChtOTqEH0G-amK33rbIGQ_9_11"/>
      <w:bookmarkStart w:id="876" w:name="Tc_hQ9yFILDIUGuCIli6n7QTg_9_9"/>
      <w:bookmarkStart w:id="877" w:name="Tc_nq6WDRRNs0eJgrvYYpZkVw_9_8"/>
      <w:bookmarkStart w:id="878" w:name="Tc_C4Ic9EZgE0-HV9WFPlkafw_9_5"/>
      <w:bookmarkStart w:id="879" w:name="Tc_MNDoFdxoe0-FbrhAKO1-zw_9_2"/>
      <w:bookmarkStart w:id="880" w:name="Tc_N_lwUBauwUqkECxdVcWRTg_9_0"/>
      <w:bookmarkStart w:id="881" w:name="Tc_tAhP5rFFEkuxrhbZMMU8nA_8_9"/>
      <w:bookmarkStart w:id="882" w:name="Tc_vqEqkssXk0WWWkOsadJuCA_8_3"/>
      <w:bookmarkStart w:id="883" w:name="Tc_w6o1qHGhP0O-kD9_OyZXtw_8_0"/>
      <w:bookmarkStart w:id="884" w:name="Tc_kkegrExyNUeBEsgAkx-PTg_7_9"/>
      <w:bookmarkStart w:id="885" w:name="Tc_zIlPF6EdnUeTQtGPnmz1zQ_7_6"/>
      <w:bookmarkStart w:id="886" w:name="Tc_sHtVFGOjbEKk9TtcI4fJSg_7_0"/>
      <w:bookmarkStart w:id="887" w:name="Tc_ZOzWiiD4i06n3SX8nWIw8Q_6_9"/>
      <w:bookmarkStart w:id="888" w:name="Tc_8BFPHOt2S0qVVRMC6_-FdA_6_3"/>
      <w:bookmarkStart w:id="889" w:name="Tc_RW0LME4hhUGzGNGC98gj-A_6_0"/>
      <w:bookmarkStart w:id="890" w:name="Tc_X6FmYt5FjUqA4K4YzwFtMw_5_9"/>
      <w:bookmarkStart w:id="891" w:name="Tc_wbZKISuCC0OK_wFox8odCg_5_6"/>
      <w:bookmarkStart w:id="892" w:name="Tc_QVmsnpElA0WF1cdAYxTGNw_5_0"/>
      <w:bookmarkStart w:id="893" w:name="Tc_oxL_ehqHdUaKRPM1UsXk9Q_4_11"/>
      <w:bookmarkStart w:id="894" w:name="Tc_MdJ0fQpgJUmO6cvjvQO1nw_4_9"/>
      <w:bookmarkStart w:id="895" w:name="Tc_xABhctJV3E2AG-xE0cWq_w_4_8"/>
      <w:bookmarkStart w:id="896" w:name="Tc_AYdcCCgHSEK0e9ZAYSQ3UA_4_6"/>
      <w:bookmarkStart w:id="897" w:name="Tc_Fr9j5wjzXUajPpv2Paxl3A_4_5"/>
      <w:bookmarkStart w:id="898" w:name="Tc_ewIJS3ZgTECB-gnCl9d9iA_4_2"/>
      <w:bookmarkStart w:id="899" w:name="Tc_UcYCA07oVEChArj7l6kfqw_4_0"/>
      <w:bookmarkStart w:id="900" w:name="Tc_LIDndc4J3kq9iztcRbzU5Q_3_0"/>
      <w:bookmarkStart w:id="901" w:name="Tc_rDiHONLhIE6b4my87A1Nag_2_11"/>
      <w:bookmarkStart w:id="902" w:name="Tc_SwASlLXb6E6Xx7K3vOzzlw_2_8"/>
      <w:bookmarkStart w:id="903" w:name="Tc_fkXVLtEa5kugpx5k-qTkoQ_2_5"/>
      <w:bookmarkStart w:id="904" w:name="Tc_M2H1359CB0mOyZmCejghSA_2_2"/>
      <w:bookmarkStart w:id="905" w:name="Tc_uO5nCSGTNka6Cbw-oNDt4g_2_0"/>
      <w:bookmarkStart w:id="906" w:name="Tc_cCFWcintRke4YMu_owZbcQ_1_3"/>
      <w:bookmarkStart w:id="907" w:name="Tc_pnFdGq0NQ0-m3NzE7o9L6w_8_11"/>
      <w:bookmarkStart w:id="908" w:name="Tc_QyVbDTDAxEa0b3esNHq0vQ_8_8"/>
      <w:bookmarkStart w:id="909" w:name="Tc_CR9gLSFF006CNkNaNoLbFw_8_5"/>
      <w:bookmarkStart w:id="910" w:name="Tc_IcI7ZMnJa0O5aABp8C3UQQ_8_2"/>
      <w:bookmarkStart w:id="911" w:name="Tc_IwhuO6nXVkG41BibUFDdfA_8_0"/>
      <w:bookmarkStart w:id="912" w:name="Tc_2JSipA9l9kOxfDlh9nqguQ_7_0"/>
      <w:bookmarkStart w:id="913" w:name="Tc_Oyg6-LhR30OO4pYJ7CZcXw_6_11"/>
      <w:bookmarkStart w:id="914" w:name="Tc_OHTlD9Ns3k2j5V8pvKKsuA_6_9"/>
      <w:bookmarkStart w:id="915" w:name="Tc_2WICTi621UKTYFWEMDT_tQ_6_8"/>
      <w:bookmarkStart w:id="916" w:name="Tc_cDfwptk5vke27YdbZPEmyQ_6_6"/>
      <w:bookmarkStart w:id="917" w:name="Tc_pJsJsoI140ysxam92o40AA_6_5"/>
      <w:bookmarkStart w:id="918" w:name="Tc_CLga8Yb0GEuUiNhziAw8Lw_6_2"/>
      <w:bookmarkStart w:id="919" w:name="Tc_qiwF1yt5cEqC17OonnmHXA_6_0"/>
      <w:bookmarkStart w:id="920" w:name="Tc_MYiLCZc1G0uc5XY9zL3lPA_5_0"/>
      <w:bookmarkStart w:id="921" w:name="Tc_moJLt519iUqbLnhQ0MUO8A_4_11"/>
      <w:bookmarkStart w:id="922" w:name="Tc_1DCAVsWIo0yAsY_yW-rvOA_4_8"/>
      <w:bookmarkStart w:id="923" w:name="Tc_F9FEfwRSAk22AkS8EXn5nw_4_5"/>
      <w:bookmarkStart w:id="924" w:name="Tc_fXxqlgkEiE25JZ1io7mFmQ_4_2"/>
      <w:bookmarkStart w:id="925" w:name="Tc_nShEmoKfMUW9E4KNXXBjYg_4_0"/>
      <w:bookmarkStart w:id="926" w:name="Tc_Yh1I-IkxX0WVk_rwTXFmJA_3_11"/>
      <w:bookmarkStart w:id="927" w:name="Tc_zhy_5OzFqU2QDWOZpr7Fmw_3_8"/>
      <w:bookmarkStart w:id="928" w:name="Tc_Tnsay5-DaE-sCL_j8wciFw_3_5"/>
      <w:bookmarkStart w:id="929" w:name="Tc_mYwW3mOSMU-_Zkp4iA0HoA_3_2"/>
      <w:bookmarkStart w:id="930" w:name="Tc_DIQe37CzpkujnIoxYuFmsw_2_8"/>
      <w:bookmarkStart w:id="931" w:name="Tc_gX0DwpEq_0Kp4QujnjMKRw_2_5"/>
      <w:bookmarkStart w:id="932" w:name="Tc_M9bC-IfaCUaKz61BYxJQzQ_1_2"/>
      <w:bookmarkStart w:id="933" w:name="Tc_dChtOTqEH0G-amK33rbIGQ_9_11"/>
      <w:bookmarkStart w:id="934" w:name="Tc_hQ9yFILDIUGuCIli6n7QTg_9_9"/>
      <w:bookmarkStart w:id="935" w:name="Tc_nq6WDRRNs0eJgrvYYpZkVw_9_8"/>
      <w:bookmarkStart w:id="936" w:name="Tc_C4Ic9EZgE0-HV9WFPlkafw_9_5"/>
      <w:bookmarkStart w:id="937" w:name="Tc_MNDoFdxoe0-FbrhAKO1-zw_9_2"/>
      <w:bookmarkStart w:id="938" w:name="Tc_N_lwUBauwUqkECxdVcWRTg_9_0"/>
      <w:bookmarkStart w:id="939" w:name="Tc_tAhP5rFFEkuxrhbZMMU8nA_8_9"/>
      <w:bookmarkStart w:id="940" w:name="Tc_vqEqkssXk0WWWkOsadJuCA_8_3"/>
      <w:bookmarkStart w:id="941" w:name="Tc_w6o1qHGhP0O-kD9_OyZXtw_8_0"/>
      <w:bookmarkStart w:id="942" w:name="Tc_kkegrExyNUeBEsgAkx-PTg_7_9"/>
      <w:bookmarkStart w:id="943" w:name="Tc_zIlPF6EdnUeTQtGPnmz1zQ_7_6"/>
      <w:bookmarkStart w:id="944" w:name="Tc_sHtVFGOjbEKk9TtcI4fJSg_7_0"/>
      <w:bookmarkStart w:id="945" w:name="Tc_ZOzWiiD4i06n3SX8nWIw8Q_6_9"/>
      <w:bookmarkStart w:id="946" w:name="Tc_8BFPHOt2S0qVVRMC6_-FdA_6_3"/>
      <w:bookmarkStart w:id="947" w:name="Tc_RW0LME4hhUGzGNGC98gj-A_6_0"/>
      <w:bookmarkStart w:id="948" w:name="Tc_X6FmYt5FjUqA4K4YzwFtMw_5_9"/>
      <w:bookmarkStart w:id="949" w:name="Tc_wbZKISuCC0OK_wFox8odCg_5_6"/>
      <w:bookmarkStart w:id="950" w:name="Tc_QVmsnpElA0WF1cdAYxTGNw_5_0"/>
      <w:bookmarkStart w:id="951" w:name="Tc_oxL_ehqHdUaKRPM1UsXk9Q_4_11"/>
      <w:bookmarkStart w:id="952" w:name="Tc_MdJ0fQpgJUmO6cvjvQO1nw_4_9"/>
      <w:bookmarkStart w:id="953" w:name="Tc_xABhctJV3E2AG-xE0cWq_w_4_8"/>
      <w:bookmarkStart w:id="954" w:name="Tc_AYdcCCgHSEK0e9ZAYSQ3UA_4_6"/>
      <w:bookmarkStart w:id="955" w:name="Tc_Fr9j5wjzXUajPpv2Paxl3A_4_5"/>
      <w:bookmarkStart w:id="956" w:name="Tc_ewIJS3ZgTECB-gnCl9d9iA_4_2"/>
      <w:bookmarkStart w:id="957" w:name="Tc_UcYCA07oVEChArj7l6kfqw_4_0"/>
      <w:bookmarkStart w:id="958" w:name="Tc_LIDndc4J3kq9iztcRbzU5Q_3_0"/>
      <w:bookmarkStart w:id="959" w:name="Tc_rDiHONLhIE6b4my87A1Nag_2_11"/>
      <w:bookmarkStart w:id="960" w:name="Tc_SwASlLXb6E6Xx7K3vOzzlw_2_8"/>
      <w:bookmarkStart w:id="961" w:name="Tc_fkXVLtEa5kugpx5k-qTkoQ_2_5"/>
      <w:bookmarkStart w:id="962" w:name="Tc_M2H1359CB0mOyZmCejghSA_2_2"/>
      <w:bookmarkStart w:id="963" w:name="Tc_uO5nCSGTNka6Cbw-oNDt4g_2_0"/>
      <w:bookmarkStart w:id="964" w:name="Tc_cCFWcintRke4YMu_owZbcQ_1_3"/>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tbl>
      <w:tblPr>
        <w:tblW w:w="2567" w:type="dxa"/>
        <w:jc w:val="left"/>
        <w:tblInd w:w="0" w:type="dxa"/>
        <w:tblLayout w:type="fixed"/>
        <w:tblCellMar>
          <w:top w:w="0" w:type="dxa"/>
          <w:left w:w="0" w:type="dxa"/>
          <w:bottom w:w="0" w:type="dxa"/>
          <w:right w:w="0" w:type="dxa"/>
        </w:tblCellMar>
      </w:tblPr>
      <w:tblGrid>
        <w:gridCol w:w="286"/>
        <w:gridCol w:w="2281"/>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3.</w:t>
            </w:r>
          </w:p>
        </w:tc>
        <w:tc>
          <w:tcPr>
            <w:tcW w:w="228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Fair Value Measurement</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assesses the fair value of financial instruments based on the provisions of ASC 820, </w:t>
      </w:r>
      <w:r>
        <w:rPr>
          <w:rFonts w:ascii="Arial;Helvetica;sans-serif" w:hAnsi="Arial;Helvetica;sans-serif"/>
          <w:i/>
          <w:sz w:val="20"/>
        </w:rPr>
        <w:t>Fair Value Measurements</w:t>
      </w:r>
      <w:r>
        <w:rPr>
          <w:rFonts w:ascii="Arial;Helvetica;sans-serif" w:hAnsi="Arial;Helvetica;sans-serif"/>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Level 1</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are unadjusted quoted prices in active markets for identical assets or liabilities accessible to the reporting entity at the measurement date.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Level 2</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left"/>
        <w:rPr/>
      </w:pPr>
      <w:r>
        <w:rPr/>
        <w:t>​</w:t>
      </w:r>
    </w:p>
    <w:tbl>
      <w:tblPr>
        <w:tblW w:w="8191" w:type="dxa"/>
        <w:jc w:val="left"/>
        <w:tblInd w:w="0" w:type="dxa"/>
        <w:tblLayout w:type="fixed"/>
        <w:tblCellMar>
          <w:top w:w="0" w:type="dxa"/>
          <w:left w:w="0" w:type="dxa"/>
          <w:bottom w:w="0" w:type="dxa"/>
          <w:right w:w="0" w:type="dxa"/>
        </w:tblCellMar>
      </w:tblPr>
      <w:tblGrid>
        <w:gridCol w:w="3961"/>
        <w:gridCol w:w="326"/>
        <w:gridCol w:w="211"/>
        <w:gridCol w:w="691"/>
        <w:gridCol w:w="109"/>
        <w:gridCol w:w="211"/>
        <w:gridCol w:w="691"/>
        <w:gridCol w:w="109"/>
        <w:gridCol w:w="250"/>
        <w:gridCol w:w="411"/>
        <w:gridCol w:w="109"/>
        <w:gridCol w:w="211"/>
        <w:gridCol w:w="90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15235" cy="175260"/>
                      <wp:effectExtent l="0" t="0" r="0" b="0"/>
                      <wp:wrapNone/>
                      <wp:docPr id="78" name="Frame7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8785" cy="175260"/>
                      <wp:effectExtent l="0" t="0" r="0" b="0"/>
                      <wp:wrapNone/>
                      <wp:docPr id="81" name="Frame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8750" cy="175260"/>
                      <wp:effectExtent l="0" t="0" r="0" b="0"/>
                      <wp:wrapNone/>
                      <wp:docPr id="86" name="Frame8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0985" cy="175260"/>
                      <wp:effectExtent l="0" t="0" r="0" b="0"/>
                      <wp:wrapNone/>
                      <wp:docPr id="87" name="Frame87"/>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2135" cy="175260"/>
                      <wp:effectExtent l="0" t="0" r="0" b="0"/>
                      <wp:wrapNone/>
                      <wp:docPr id="90" name="Frame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693"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2023</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Total </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4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6,123</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28,919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28,919</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67,314</w:t>
            </w:r>
          </w:p>
        </w:tc>
        <w:tc>
          <w:tcPr>
            <w:tcW w:w="10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67,314</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government treasury bills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36,074</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Government-sponsored enterprise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29,098</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29,098</w:t>
            </w:r>
          </w:p>
        </w:tc>
      </w:tr>
      <w:tr>
        <w:trPr/>
        <w:tc>
          <w:tcPr>
            <w:tcW w:w="39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71,116</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96,412</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167,528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90"/>
        <w:gridCol w:w="326"/>
        <w:gridCol w:w="211"/>
        <w:gridCol w:w="796"/>
        <w:gridCol w:w="326"/>
        <w:gridCol w:w="356"/>
        <w:gridCol w:w="590"/>
        <w:gridCol w:w="326"/>
        <w:gridCol w:w="288"/>
        <w:gridCol w:w="658"/>
        <w:gridCol w:w="326"/>
        <w:gridCol w:w="211"/>
        <w:gridCol w:w="901"/>
      </w:tblGrid>
      <w:tr>
        <w:trPr/>
        <w:tc>
          <w:tcPr>
            <w:tcW w:w="4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105150" cy="175260"/>
                      <wp:effectExtent l="0" t="0" r="0" b="0"/>
                      <wp:wrapNone/>
                      <wp:docPr id="91" name="Frame91"/>
                      <a:graphic xmlns:a="http://schemas.openxmlformats.org/drawingml/2006/main">
                        <a:graphicData uri="http://schemas.microsoft.com/office/word/2010/wordprocessingShape">
                          <wps:wsp>
                            <wps:cNvSpPr txBox="1"/>
                            <wps:spPr>
                              <a:xfrm>
                                <a:off x="0" y="0"/>
                                <a:ext cx="310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5460" cy="175260"/>
                      <wp:effectExtent l="0" t="0" r="0" b="0"/>
                      <wp:wrapNone/>
                      <wp:docPr id="94" name="Frame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6060" cy="175260"/>
                      <wp:effectExtent l="0" t="0" r="0" b="0"/>
                      <wp:wrapNone/>
                      <wp:docPr id="96" name="Frame9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74650" cy="175260"/>
                      <wp:effectExtent l="0" t="0" r="0" b="0"/>
                      <wp:wrapNone/>
                      <wp:docPr id="97" name="Frame97"/>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2880" cy="175260"/>
                      <wp:effectExtent l="0" t="0" r="0" b="0"/>
                      <wp:wrapNone/>
                      <wp:docPr id="99" name="Frame9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17830" cy="175260"/>
                      <wp:effectExtent l="0" t="0" r="0" b="0"/>
                      <wp:wrapNone/>
                      <wp:docPr id="100" name="Frame10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4989" w:type="dxa"/>
            <w:gridSpan w:val="11"/>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2023</w:t>
            </w:r>
          </w:p>
        </w:tc>
      </w:tr>
      <w:tr>
        <w:trPr/>
        <w:tc>
          <w:tcPr>
            <w:tcW w:w="4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4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Estimated</w:t>
            </w:r>
          </w:p>
        </w:tc>
      </w:tr>
      <w:tr>
        <w:trPr/>
        <w:tc>
          <w:tcPr>
            <w:tcW w:w="489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Losses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4890"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righ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48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35,042</w:t>
            </w:r>
          </w:p>
        </w:tc>
        <w:tc>
          <w:tcPr>
            <w:tcW w:w="32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35,042</w:t>
            </w:r>
          </w:p>
        </w:tc>
      </w:tr>
      <w:tr>
        <w:trPr/>
        <w:tc>
          <w:tcPr>
            <w:tcW w:w="48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marketable securities (&lt;12 months to maturity)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133,004</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(534)</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132,486</w:t>
            </w:r>
          </w:p>
        </w:tc>
      </w:tr>
      <w:tr>
        <w:trPr/>
        <w:tc>
          <w:tcPr>
            <w:tcW w:w="489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168,046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(534)</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167,528</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 As of June 30, 2023, the Company does not have any marketable securities with maturities beyond one year.</w:t>
      </w:r>
    </w:p>
    <w:p>
      <w:pPr>
        <w:pStyle w:val="TextBody"/>
        <w:bidi w:val="0"/>
        <w:spacing w:before="24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There were 14 marketable securities that have been in a consecutive loss position for more than 12 months as of June 30, 2023. These marketable securities had $0.5 million unrealized losses with a fair value of $39.0 million as of June 30, 2023. The Company does not believe that the total unrealized losses of $0.5 million as of June 30, 2023 are credit-related but are rather a reflection of current market yields and/or current marketplace bid/ask spreads. During the three and six months ended June 30, 2023, the Company did not recognize any other-than-temporary impairment loss. As of June 30, 2023, there was no allowance for losses on available-for-sale debt securities attributable to credit risk. </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As of June 30, 2023, all of the Company’s cash and cash equivalents consisted of cash on deposit with U.S. banks denominated in U. S. dollars and Australian dollars.</w:t>
      </w:r>
    </w:p>
    <w:p>
      <w:pPr>
        <w:pStyle w:val="TextBody"/>
        <w:bidi w:val="0"/>
        <w:spacing w:before="0" w:after="240"/>
        <w:ind w:left="0" w:right="0" w:hanging="0"/>
        <w:jc w:val="left"/>
        <w:rPr>
          <w:rFonts w:ascii="Arial;Helvetica;sans-serif" w:hAnsi="Arial;Helvetica;sans-serif"/>
          <w:sz w:val="20"/>
        </w:rPr>
      </w:pPr>
      <w:bookmarkStart w:id="965" w:name="Tc_s6i54XLdiUa_2sy44fSm2Q_7_5"/>
      <w:bookmarkStart w:id="966" w:name="Tc_ZvcUkDlXckGzfB1x3en_YA_7_2"/>
      <w:bookmarkStart w:id="967" w:name="Tc_xmO3_kIF_k6sBKaXvq17Dw_7_0"/>
      <w:bookmarkStart w:id="968" w:name="Tc_2ubYtjTrGUq22UH-LSAkSA_6_0"/>
      <w:bookmarkStart w:id="969" w:name="Tc_Cn0MxO7GUk-tDPhlX2tqZw_5_0"/>
      <w:bookmarkStart w:id="970" w:name="Tc_mlmg6qaLqk-ZVLXdrHFhsQ_4_0"/>
      <w:bookmarkStart w:id="971" w:name="Tc_VYzSK2q2bkmkwpYSKGZFfw_3_5"/>
      <w:bookmarkStart w:id="972" w:name="Tc_pljp_DQOO0OiLRP4zRWwVg_3_2"/>
      <w:bookmarkStart w:id="973" w:name="Tc_6YR3js9ZokCWps3v3FjOAg_3_0"/>
      <w:bookmarkStart w:id="974" w:name="Tc_tjN2dUAqgEGRr_BfBoYECQ_2_5"/>
      <w:bookmarkStart w:id="975" w:name="Tc_sLZWrQBCrEGfhlHrsiG7GA_2_2"/>
      <w:bookmarkStart w:id="976" w:name="Tc_TSJH23-0vUODxxeQ4r6MzA_1_5"/>
      <w:bookmarkStart w:id="977" w:name="Tc_9U687aa-B0GBSsSx3Bp-lg_1_2"/>
      <w:bookmarkEnd w:id="965"/>
      <w:bookmarkEnd w:id="966"/>
      <w:bookmarkEnd w:id="967"/>
      <w:bookmarkEnd w:id="968"/>
      <w:bookmarkEnd w:id="969"/>
      <w:bookmarkEnd w:id="970"/>
      <w:bookmarkEnd w:id="971"/>
      <w:bookmarkEnd w:id="972"/>
      <w:bookmarkEnd w:id="973"/>
      <w:bookmarkEnd w:id="974"/>
      <w:bookmarkEnd w:id="975"/>
      <w:bookmarkEnd w:id="976"/>
      <w:bookmarkEnd w:id="977"/>
      <w:r>
        <w:rPr>
          <w:rFonts w:ascii="Arial;Helvetica;sans-serif" w:hAnsi="Arial;Helvetica;sans-serif"/>
          <w:sz w:val="20"/>
        </w:rPr>
        <w:t>4. Property and Equipment,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Property and equipment, net consisted of the following (in thousands):</w:t>
      </w:r>
    </w:p>
    <w:p>
      <w:pPr>
        <w:pStyle w:val="TextBody"/>
        <w:bidi w:val="0"/>
        <w:spacing w:before="0" w:after="0"/>
        <w:ind w:left="0" w:right="0" w:hanging="0"/>
        <w:jc w:val="left"/>
        <w:rPr/>
      </w:pPr>
      <w:r>
        <w:rPr/>
        <w:t>​</w:t>
      </w:r>
    </w:p>
    <w:tbl>
      <w:tblPr>
        <w:tblW w:w="5633" w:type="dxa"/>
        <w:jc w:val="left"/>
        <w:tblInd w:w="0" w:type="dxa"/>
        <w:tblLayout w:type="fixed"/>
        <w:tblCellMar>
          <w:top w:w="0" w:type="dxa"/>
          <w:left w:w="0" w:type="dxa"/>
          <w:bottom w:w="0" w:type="dxa"/>
          <w:right w:w="0" w:type="dxa"/>
        </w:tblCellMar>
      </w:tblPr>
      <w:tblGrid>
        <w:gridCol w:w="2911"/>
        <w:gridCol w:w="326"/>
        <w:gridCol w:w="214"/>
        <w:gridCol w:w="596"/>
        <w:gridCol w:w="326"/>
        <w:gridCol w:w="293"/>
        <w:gridCol w:w="967"/>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48485" cy="175260"/>
                      <wp:effectExtent l="0" t="0" r="0" b="0"/>
                      <wp:wrapNone/>
                      <wp:docPr id="104" name="Frame10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5890" cy="175260"/>
                      <wp:effectExtent l="0" t="0" r="0" b="0"/>
                      <wp:wrapNone/>
                      <wp:docPr id="106" name="Frame10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78460" cy="175260"/>
                      <wp:effectExtent l="0" t="0" r="0" b="0"/>
                      <wp:wrapNone/>
                      <wp:docPr id="107" name="Frame107"/>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6055" cy="175260"/>
                      <wp:effectExtent l="0" t="0" r="0" b="0"/>
                      <wp:wrapNone/>
                      <wp:docPr id="109" name="Frame10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4045" cy="175260"/>
                      <wp:effectExtent l="0" t="0" r="0" b="0"/>
                      <wp:wrapNone/>
                      <wp:docPr id="110" name="Frame110"/>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1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Lab equipment</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    </w:t>
            </w:r>
          </w:p>
        </w:tc>
        <w:tc>
          <w:tcPr>
            <w:tcW w:w="214"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1,958</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    </w:t>
            </w:r>
          </w:p>
        </w:tc>
        <w:tc>
          <w:tcPr>
            <w:tcW w:w="293"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2,002</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Computer equipment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59</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59</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Property and equipment, gross</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4"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2,017</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2,061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Less: Accumulated depreciation</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231F20"/>
            </w:tcBorders>
            <w:tcMar>
              <w:bottom w:w="28" w:type="dxa"/>
            </w:tcMar>
            <w:vAlign w:val="center"/>
          </w:tcPr>
          <w:p>
            <w:pPr>
              <w:pStyle w:val="TableContents"/>
              <w:bidi w:val="0"/>
              <w:spacing w:before="0" w:after="0"/>
              <w:ind w:left="0" w:right="0" w:hanging="0"/>
              <w:jc w:val="right"/>
              <w:rPr/>
            </w:pPr>
            <w:r>
              <w:rPr/>
              <w:t> </w:t>
            </w:r>
          </w:p>
        </w:tc>
        <w:tc>
          <w:tcPr>
            <w:tcW w:w="596" w:type="dxa"/>
            <w:tcBorders>
              <w:bottom w:val="single" w:sz="2" w:space="0" w:color="231F2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(744)</w:t>
            </w:r>
          </w:p>
        </w:tc>
        <w:tc>
          <w:tcPr>
            <w:tcW w:w="326" w:type="dxa"/>
            <w:tcBorders>
              <w:bottom w:val="single" w:sz="2" w:space="0" w:color="231F2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single" w:sz="2" w:space="0" w:color="231F2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231F2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(581)</w:t>
            </w:r>
          </w:p>
        </w:tc>
      </w:tr>
      <w:tr>
        <w:trPr/>
        <w:tc>
          <w:tcPr>
            <w:tcW w:w="29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1,273</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color w:val="231F20"/>
                <w:sz w:val="20"/>
              </w:rPr>
            </w:pPr>
            <w:r>
              <w:rPr>
                <w:rFonts w:ascii="Arial;Helvetica;sans-serif" w:hAnsi="Arial;Helvetica;sans-serif"/>
                <w:color w:val="231F20"/>
                <w:sz w:val="20"/>
              </w:rPr>
              <w:t>1,480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78" w:name="Tc_9aSIv1Puuk6UECTU-lNGyw_10_5"/>
      <w:bookmarkStart w:id="979" w:name="Tc_Cs8GfdDKEE28vyp1tpNEAQ_10_2"/>
      <w:bookmarkStart w:id="980" w:name="Tc_XpbnDKbxtEWKCVw7aaRBWg_10_0"/>
      <w:bookmarkStart w:id="981" w:name="Tc_6aNAms-zrE28WqvO_ZULaA_9_0"/>
      <w:bookmarkStart w:id="982" w:name="Tc_Y_IkhJq67kavJ3cF2DCkhg_8_0"/>
      <w:bookmarkStart w:id="983" w:name="Tc_N5CjECNgEUy-brZWwRFVUg_7_0"/>
      <w:bookmarkStart w:id="984" w:name="Tc_m3D2SGs2-k6Yur68_XVR1A_6_0"/>
      <w:bookmarkStart w:id="985" w:name="Tc_eqCV0455PUqYsPhGDbFMMw_5_6"/>
      <w:bookmarkStart w:id="986" w:name="Tc_go3L_ydLik6RS7oxOMi_JQ_5_0"/>
      <w:bookmarkStart w:id="987" w:name="Tc_TyfJw7XRjEyDzh3wKD01ZA_4_0"/>
      <w:bookmarkStart w:id="988" w:name="Tc_b0P208hhfku1NDUg0koe6A_3_5"/>
      <w:bookmarkStart w:id="989" w:name="Tc__F-f7JbDt0GmoSRXsU-rrA_3_2"/>
      <w:bookmarkStart w:id="990" w:name="Tc_2bwAmNgiFke-3sPfomXq3Q_3_0"/>
      <w:bookmarkStart w:id="991" w:name="Tc_rcH7pY3hA0WFr5gbdbM02Q_2_5"/>
      <w:bookmarkStart w:id="992" w:name="Tc_E5O49x4IEEWb7Bn56gUCmA_2_2"/>
      <w:bookmarkStart w:id="993" w:name="Tc_LMjtdR_W_U6K7IjKbKIHCw_1_5"/>
      <w:bookmarkStart w:id="994" w:name="Tc_OqOB0Ou4L06RoYP3U7WVxA_1_2"/>
      <w:bookmarkStart w:id="995" w:name="Tc_9aSIv1Puuk6UECTU-lNGyw_10_5"/>
      <w:bookmarkStart w:id="996" w:name="Tc_Cs8GfdDKEE28vyp1tpNEAQ_10_2"/>
      <w:bookmarkStart w:id="997" w:name="Tc_XpbnDKbxtEWKCVw7aaRBWg_10_0"/>
      <w:bookmarkStart w:id="998" w:name="Tc_6aNAms-zrE28WqvO_ZULaA_9_0"/>
      <w:bookmarkStart w:id="999" w:name="Tc_Y_IkhJq67kavJ3cF2DCkhg_8_0"/>
      <w:bookmarkStart w:id="1000" w:name="Tc_N5CjECNgEUy-brZWwRFVUg_7_0"/>
      <w:bookmarkStart w:id="1001" w:name="Tc_m3D2SGs2-k6Yur68_XVR1A_6_0"/>
      <w:bookmarkStart w:id="1002" w:name="Tc_eqCV0455PUqYsPhGDbFMMw_5_6"/>
      <w:bookmarkStart w:id="1003" w:name="Tc_go3L_ydLik6RS7oxOMi_JQ_5_0"/>
      <w:bookmarkStart w:id="1004" w:name="Tc_TyfJw7XRjEyDzh3wKD01ZA_4_0"/>
      <w:bookmarkStart w:id="1005" w:name="Tc_b0P208hhfku1NDUg0koe6A_3_5"/>
      <w:bookmarkStart w:id="1006" w:name="Tc__F-f7JbDt0GmoSRXsU-rrA_3_2"/>
      <w:bookmarkStart w:id="1007" w:name="Tc_2bwAmNgiFke-3sPfomXq3Q_3_0"/>
      <w:bookmarkStart w:id="1008" w:name="Tc_rcH7pY3hA0WFr5gbdbM02Q_2_5"/>
      <w:bookmarkStart w:id="1009" w:name="Tc_E5O49x4IEEWb7Bn56gUCmA_2_2"/>
      <w:bookmarkStart w:id="1010" w:name="Tc_LMjtdR_W_U6K7IjKbKIHCw_1_5"/>
      <w:bookmarkStart w:id="1011" w:name="Tc_OqOB0Ou4L06RoYP3U7WVxA_1_2"/>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p>
    <w:tbl>
      <w:tblPr>
        <w:tblW w:w="4367" w:type="dxa"/>
        <w:jc w:val="left"/>
        <w:tblInd w:w="0" w:type="dxa"/>
        <w:tblLayout w:type="fixed"/>
        <w:tblCellMar>
          <w:top w:w="0" w:type="dxa"/>
          <w:left w:w="0" w:type="dxa"/>
          <w:bottom w:w="0" w:type="dxa"/>
          <w:right w:w="0" w:type="dxa"/>
        </w:tblCellMar>
      </w:tblPr>
      <w:tblGrid>
        <w:gridCol w:w="286"/>
        <w:gridCol w:w="4081"/>
      </w:tblGrid>
      <w:tr>
        <w:trPr/>
        <w:tc>
          <w:tcPr>
            <w:tcW w:w="286"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5.</w:t>
            </w:r>
          </w:p>
        </w:tc>
        <w:tc>
          <w:tcPr>
            <w:tcW w:w="4081"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 xml:space="preserve">Prepaid Expenses and Other Current Assets </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Prepaid expenses and other current assets consisted of the following (in thousands):</w:t>
      </w:r>
    </w:p>
    <w:p>
      <w:pPr>
        <w:pStyle w:val="TextBody"/>
        <w:bidi w:val="0"/>
        <w:spacing w:before="0" w:after="0"/>
        <w:ind w:left="0" w:right="0" w:hanging="0"/>
        <w:jc w:val="left"/>
        <w:rPr/>
      </w:pPr>
      <w:r>
        <w:rPr/>
        <w:t>​</w:t>
      </w:r>
    </w:p>
    <w:tbl>
      <w:tblPr>
        <w:tblW w:w="9353" w:type="dxa"/>
        <w:jc w:val="left"/>
        <w:tblInd w:w="0" w:type="dxa"/>
        <w:tblLayout w:type="fixed"/>
        <w:tblCellMar>
          <w:top w:w="0" w:type="dxa"/>
          <w:left w:w="0" w:type="dxa"/>
          <w:bottom w:w="0" w:type="dxa"/>
          <w:right w:w="0" w:type="dxa"/>
        </w:tblCellMar>
      </w:tblPr>
      <w:tblGrid>
        <w:gridCol w:w="6631"/>
        <w:gridCol w:w="326"/>
        <w:gridCol w:w="214"/>
        <w:gridCol w:w="596"/>
        <w:gridCol w:w="326"/>
        <w:gridCol w:w="293"/>
        <w:gridCol w:w="967"/>
      </w:tblGrid>
      <w:tr>
        <w:trPr/>
        <w:tc>
          <w:tcPr>
            <w:tcW w:w="6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10685" cy="175260"/>
                      <wp:effectExtent l="0" t="0" r="0" b="0"/>
                      <wp:wrapNone/>
                      <wp:docPr id="111" name="Frame111"/>
                      <a:graphic xmlns:a="http://schemas.openxmlformats.org/drawingml/2006/main">
                        <a:graphicData uri="http://schemas.microsoft.com/office/word/2010/wordprocessingShape">
                          <wps:wsp>
                            <wps:cNvSpPr txBox="1"/>
                            <wps:spPr>
                              <a:xfrm>
                                <a:off x="0" y="0"/>
                                <a:ext cx="421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5890" cy="175260"/>
                      <wp:effectExtent l="0" t="0" r="0" b="0"/>
                      <wp:wrapNone/>
                      <wp:docPr id="113" name="Frame1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78460" cy="175260"/>
                      <wp:effectExtent l="0" t="0" r="0" b="0"/>
                      <wp:wrapNone/>
                      <wp:docPr id="114" name="Frame114"/>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6055" cy="175260"/>
                      <wp:effectExtent l="0" t="0" r="0" b="0"/>
                      <wp:wrapNone/>
                      <wp:docPr id="116" name="Frame11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4045" cy="175260"/>
                      <wp:effectExtent l="0" t="0" r="0" b="0"/>
                      <wp:wrapNone/>
                      <wp:docPr id="117" name="Frame117"/>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1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Reimbursable research and development costs from a collaboration partner</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4"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1,825</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1,387</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insurance</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214" w:type="dxa"/>
            <w:tcBorders/>
            <w:vAlign w:val="center"/>
          </w:tcPr>
          <w:p>
            <w:pPr>
              <w:pStyle w:val="TableContents"/>
              <w:bidi w:val="0"/>
              <w:spacing w:before="0" w:after="0"/>
              <w:ind w:left="0" w:right="0" w:hanging="0"/>
              <w:jc w:val="center"/>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804</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293"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1,738</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Research and development tax incentive credit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401</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967"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subscriptions and licenses</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4" w:type="dxa"/>
            <w:tcBorders/>
            <w:vAlign w:val="center"/>
          </w:tcPr>
          <w:p>
            <w:pPr>
              <w:pStyle w:val="TableContents"/>
              <w:bidi w:val="0"/>
              <w:spacing w:before="0" w:after="0"/>
              <w:ind w:left="0" w:right="0" w:hanging="0"/>
              <w:jc w:val="right"/>
              <w:rPr>
                <w:color w:val="231F20"/>
              </w:rPr>
            </w:pPr>
            <w:r>
              <w:rPr>
                <w:color w:val="231F20"/>
              </w:rPr>
              <w:t>​</w:t>
            </w:r>
          </w:p>
        </w:tc>
        <w:tc>
          <w:tcPr>
            <w:tcW w:w="59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295</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93" w:type="dxa"/>
            <w:tcBorders/>
            <w:vAlign w:val="center"/>
          </w:tcPr>
          <w:p>
            <w:pPr>
              <w:pStyle w:val="TableContents"/>
              <w:bidi w:val="0"/>
              <w:spacing w:before="0" w:after="0"/>
              <w:ind w:left="0" w:right="0" w:hanging="0"/>
              <w:jc w:val="right"/>
              <w:rPr>
                <w:color w:val="231F20"/>
              </w:rPr>
            </w:pPr>
            <w:r>
              <w:rPr>
                <w:color w:val="231F20"/>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399</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clinical development costs</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4"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282</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506</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Interest receivable</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4" w:type="dxa"/>
            <w:tcBorders/>
            <w:vAlign w:val="center"/>
          </w:tcPr>
          <w:p>
            <w:pPr>
              <w:pStyle w:val="TableContents"/>
              <w:bidi w:val="0"/>
              <w:spacing w:before="0" w:after="0"/>
              <w:ind w:left="0" w:right="0" w:hanging="0"/>
              <w:jc w:val="right"/>
              <w:rPr>
                <w:color w:val="231F20"/>
              </w:rPr>
            </w:pPr>
            <w:r>
              <w:rPr>
                <w:color w:val="231F20"/>
              </w:rPr>
              <w:t>​</w:t>
            </w:r>
          </w:p>
        </w:tc>
        <w:tc>
          <w:tcPr>
            <w:tcW w:w="59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221</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93" w:type="dxa"/>
            <w:tcBorders/>
            <w:vAlign w:val="center"/>
          </w:tcPr>
          <w:p>
            <w:pPr>
              <w:pStyle w:val="TableContents"/>
              <w:bidi w:val="0"/>
              <w:spacing w:before="0" w:after="0"/>
              <w:ind w:left="0" w:right="0" w:hanging="0"/>
              <w:jc w:val="right"/>
              <w:rPr>
                <w:color w:val="231F20"/>
              </w:rPr>
            </w:pPr>
            <w:r>
              <w:rPr>
                <w:color w:val="231F20"/>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319</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pPr>
            <w:r>
              <w:rPr/>
              <w:t> </w:t>
            </w:r>
          </w:p>
        </w:tc>
        <w:tc>
          <w:tcPr>
            <w:tcW w:w="596"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237</w:t>
            </w:r>
          </w:p>
        </w:tc>
        <w:tc>
          <w:tcPr>
            <w:tcW w:w="326" w:type="dxa"/>
            <w:tcBorders>
              <w:bottom w:val="single" w:sz="2" w:space="0" w:color="231F2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129</w:t>
            </w:r>
          </w:p>
        </w:tc>
      </w:tr>
      <w:tr>
        <w:trPr/>
        <w:tc>
          <w:tcPr>
            <w:tcW w:w="663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4,065</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color w:val="231F20"/>
                <w:sz w:val="20"/>
              </w:rPr>
            </w:pPr>
            <w:r>
              <w:rPr>
                <w:rFonts w:ascii="Arial;Helvetica;sans-serif" w:hAnsi="Arial;Helvetica;sans-serif"/>
                <w:color w:val="231F20"/>
                <w:sz w:val="20"/>
              </w:rPr>
              <w:t>4,478</w:t>
            </w:r>
          </w:p>
        </w:tc>
      </w:tr>
    </w:tbl>
    <w:p>
      <w:pPr>
        <w:pStyle w:val="TextBody"/>
        <w:pBdr/>
        <w:bidi w:val="0"/>
        <w:spacing w:before="0" w:after="0"/>
        <w:ind w:left="0" w:right="0" w:hanging="36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012" w:name="Tc_qqguF7ippEGRITprIiYEeg_9_5"/>
      <w:bookmarkStart w:id="1013" w:name="Tc_YSFJ4enGWU640J0AdJskgQ_9_2"/>
      <w:bookmarkStart w:id="1014" w:name="Tc_CQZA84_JW0WfonQx-sYgIA_9_0"/>
      <w:bookmarkStart w:id="1015" w:name="Tc_wu_KN3a60EK8L7xBDoFNBg_8_0"/>
      <w:bookmarkStart w:id="1016" w:name="Tc_hkSMWhlxykWWDKGTHGh6XA_7_0"/>
      <w:bookmarkStart w:id="1017" w:name="Tc_ZDb_oCcsxUCsOWCG4FQswQ_6_0"/>
      <w:bookmarkStart w:id="1018" w:name="Tc_iYDuJizbq0ivbPR_IrJSuA_5_0"/>
      <w:bookmarkStart w:id="1019" w:name="Tc_fjKzfdtNLkuqDA4az1ixtg_4_0"/>
      <w:bookmarkStart w:id="1020" w:name="Tc_9rYDrChzD0m6gMiOAk9ruA_3_5"/>
      <w:bookmarkStart w:id="1021" w:name="Tc_S24xlY0HJU6cIQcYdMKrnA_3_2"/>
      <w:bookmarkStart w:id="1022" w:name="Tc_EtDU7Qt5i0qh29QwKmeVlw_3_0"/>
      <w:bookmarkStart w:id="1023" w:name="Tc_nTe4_ic66U2afbYJXhrwkA_2_5"/>
      <w:bookmarkStart w:id="1024" w:name="Tc_tl6UCrW0nkav6gTp-C_eEw_2_2"/>
      <w:bookmarkStart w:id="1025" w:name="Tc_OoNvmfc1v0CJToP2FW9JjA_1_5"/>
      <w:bookmarkStart w:id="1026" w:name="Tc_eEU31tNCgU6GyDXp59Etyg_1_2"/>
      <w:bookmarkStart w:id="1027" w:name="Tc_qqguF7ippEGRITprIiYEeg_9_5"/>
      <w:bookmarkStart w:id="1028" w:name="Tc_YSFJ4enGWU640J0AdJskgQ_9_2"/>
      <w:bookmarkStart w:id="1029" w:name="Tc_CQZA84_JW0WfonQx-sYgIA_9_0"/>
      <w:bookmarkStart w:id="1030" w:name="Tc_wu_KN3a60EK8L7xBDoFNBg_8_0"/>
      <w:bookmarkStart w:id="1031" w:name="Tc_hkSMWhlxykWWDKGTHGh6XA_7_0"/>
      <w:bookmarkStart w:id="1032" w:name="Tc_ZDb_oCcsxUCsOWCG4FQswQ_6_0"/>
      <w:bookmarkStart w:id="1033" w:name="Tc_iYDuJizbq0ivbPR_IrJSuA_5_0"/>
      <w:bookmarkStart w:id="1034" w:name="Tc_fjKzfdtNLkuqDA4az1ixtg_4_0"/>
      <w:bookmarkStart w:id="1035" w:name="Tc_9rYDrChzD0m6gMiOAk9ruA_3_5"/>
      <w:bookmarkStart w:id="1036" w:name="Tc_S24xlY0HJU6cIQcYdMKrnA_3_2"/>
      <w:bookmarkStart w:id="1037" w:name="Tc_EtDU7Qt5i0qh29QwKmeVlw_3_0"/>
      <w:bookmarkStart w:id="1038" w:name="Tc_nTe4_ic66U2afbYJXhrwkA_2_5"/>
      <w:bookmarkStart w:id="1039" w:name="Tc_tl6UCrW0nkav6gTp-C_eEw_2_2"/>
      <w:bookmarkStart w:id="1040" w:name="Tc_OoNvmfc1v0CJToP2FW9JjA_1_5"/>
      <w:bookmarkStart w:id="1041" w:name="Tc_eEU31tNCgU6GyDXp59Etyg_1_2"/>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tbl>
      <w:tblPr>
        <w:tblW w:w="3632" w:type="dxa"/>
        <w:jc w:val="left"/>
        <w:tblInd w:w="0" w:type="dxa"/>
        <w:tblLayout w:type="fixed"/>
        <w:tblCellMar>
          <w:top w:w="0" w:type="dxa"/>
          <w:left w:w="0" w:type="dxa"/>
          <w:bottom w:w="0" w:type="dxa"/>
          <w:right w:w="0" w:type="dxa"/>
        </w:tblCellMar>
      </w:tblPr>
      <w:tblGrid>
        <w:gridCol w:w="286"/>
        <w:gridCol w:w="3346"/>
      </w:tblGrid>
      <w:tr>
        <w:trPr/>
        <w:tc>
          <w:tcPr>
            <w:tcW w:w="286"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6.</w:t>
            </w:r>
          </w:p>
        </w:tc>
        <w:tc>
          <w:tcPr>
            <w:tcW w:w="3346"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Accrued and Other Current Liabilities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Accrued and other current liabilities consisted of the following (in thousands): </w:t>
      </w:r>
    </w:p>
    <w:p>
      <w:pPr>
        <w:pStyle w:val="TextBody"/>
        <w:bidi w:val="0"/>
        <w:spacing w:before="0" w:after="0"/>
        <w:ind w:left="0" w:right="0" w:hanging="0"/>
        <w:jc w:val="left"/>
        <w:rPr/>
      </w:pPr>
      <w:r>
        <w:rPr/>
        <w:t>​</w:t>
      </w:r>
    </w:p>
    <w:tbl>
      <w:tblPr>
        <w:tblW w:w="6798" w:type="dxa"/>
        <w:jc w:val="left"/>
        <w:tblInd w:w="0" w:type="dxa"/>
        <w:tblLayout w:type="fixed"/>
        <w:tblCellMar>
          <w:top w:w="0" w:type="dxa"/>
          <w:left w:w="0" w:type="dxa"/>
          <w:bottom w:w="0" w:type="dxa"/>
          <w:right w:w="0" w:type="dxa"/>
        </w:tblCellMar>
      </w:tblPr>
      <w:tblGrid>
        <w:gridCol w:w="4381"/>
        <w:gridCol w:w="146"/>
        <w:gridCol w:w="211"/>
        <w:gridCol w:w="691"/>
        <w:gridCol w:w="109"/>
        <w:gridCol w:w="263"/>
        <w:gridCol w:w="997"/>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781935" cy="175260"/>
                      <wp:effectExtent l="0" t="0" r="0" b="0"/>
                      <wp:wrapNone/>
                      <wp:docPr id="118" name="Frame11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7005" cy="175260"/>
                      <wp:effectExtent l="0" t="0" r="0" b="0"/>
                      <wp:wrapNone/>
                      <wp:docPr id="123" name="Frame12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33095" cy="175260"/>
                      <wp:effectExtent l="0" t="0" r="0" b="0"/>
                      <wp:wrapNone/>
                      <wp:docPr id="124" name="Frame124"/>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2"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3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research and development related costs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9,026</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9,105</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employee bonuses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691"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1,926</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263" w:type="dxa"/>
            <w:tcBorders/>
            <w:vAlign w:val="center"/>
          </w:tcPr>
          <w:p>
            <w:pPr>
              <w:pStyle w:val="TableContents"/>
              <w:bidi w:val="0"/>
              <w:spacing w:before="0" w:after="1"/>
              <w:ind w:left="0" w:right="0" w:hanging="0"/>
              <w:jc w:val="right"/>
              <w:rPr>
                <w:color w:val="231F20"/>
              </w:rPr>
            </w:pPr>
            <w:r>
              <w:rPr>
                <w:color w:val="231F20"/>
              </w:rPr>
              <w:t>​</w:t>
            </w:r>
          </w:p>
        </w:tc>
        <w:tc>
          <w:tcPr>
            <w:tcW w:w="99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4,518</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professional fees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982</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1,091</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payroll related costs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691"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362</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263" w:type="dxa"/>
            <w:tcBorders/>
            <w:vAlign w:val="center"/>
          </w:tcPr>
          <w:p>
            <w:pPr>
              <w:pStyle w:val="TableContents"/>
              <w:bidi w:val="0"/>
              <w:spacing w:before="0" w:after="1"/>
              <w:ind w:left="0" w:right="0" w:hanging="0"/>
              <w:jc w:val="right"/>
              <w:rPr>
                <w:color w:val="231F20"/>
              </w:rPr>
            </w:pPr>
            <w:r>
              <w:rPr>
                <w:color w:val="231F20"/>
              </w:rPr>
              <w:t>​</w:t>
            </w:r>
          </w:p>
        </w:tc>
        <w:tc>
          <w:tcPr>
            <w:tcW w:w="99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296</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taxes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91</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68</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Early exercise of unvested stock options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11"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691"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21</w:t>
            </w:r>
          </w:p>
        </w:tc>
        <w:tc>
          <w:tcPr>
            <w:tcW w:w="109" w:type="dxa"/>
            <w:tcBorders>
              <w:bottom w:val="single" w:sz="2" w:space="0" w:color="231F2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263"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997"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82</w:t>
            </w:r>
          </w:p>
        </w:tc>
      </w:tr>
      <w:tr>
        <w:trPr/>
        <w:tc>
          <w:tcPr>
            <w:tcW w:w="4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12,408</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15,160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7. Stock-Based Compensation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2022, the Board approved and adopted the Company’s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 Option Valuation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042" w:name="Tc_goWWQAjwb0i7GdsLL1EMwg_14_9"/>
      <w:bookmarkStart w:id="1043" w:name="Tc_E77Unk_CEUuDalPmPeeC1Q_14_4"/>
      <w:bookmarkStart w:id="1044" w:name="Tc_QLNumjTfg028EsmcjV6lVQ_14_0"/>
      <w:bookmarkStart w:id="1045" w:name="Tc_c8arnNMGy0agxkmoP7qHtA_13_9"/>
      <w:bookmarkStart w:id="1046" w:name="Tc_aihPERLGvkiAOTh56Gaa2Q_13_4"/>
      <w:bookmarkStart w:id="1047" w:name="Tc_vZSmDOv3T0y0ilgE5yxBwQ_13_0"/>
      <w:bookmarkStart w:id="1048" w:name="Tc_Wl8xtmBHnUyTyskNtdam4Q_11_9"/>
      <w:bookmarkStart w:id="1049" w:name="Tc_fXlitIiofk6_gJ49EjFXRA_11_4"/>
      <w:bookmarkStart w:id="1050" w:name="Tc_AGzLVJmKbEqS7wql59Om8A_11_0"/>
      <w:bookmarkStart w:id="1051" w:name="Tc__yw4DAeEpEev4s-iePMWGA_10_10"/>
      <w:bookmarkStart w:id="1052" w:name="Tc_G8lDQSpIzku9_z8H948GAg_10_7"/>
      <w:bookmarkStart w:id="1053" w:name="Tc_6AOADEtheEW4loMLTDmTmg_10_0"/>
      <w:bookmarkStart w:id="1054" w:name="Tc_jXstwwJk3EiPAAz_9FjvYw_9_10"/>
      <w:bookmarkStart w:id="1055" w:name="Tc_-pwap0JvyU6otAY7_NA_eQ_9_7"/>
      <w:bookmarkStart w:id="1056" w:name="Tc_dpno_-pvSEyYz-SSubW3eA_9_0"/>
      <w:bookmarkStart w:id="1057" w:name="Tc_RSTogsCvxkCif7TaIN6Ngw_8_10"/>
      <w:bookmarkStart w:id="1058" w:name="Tc_FeIKnYIuKE-np9s83hiPCA_8_7"/>
      <w:bookmarkStart w:id="1059" w:name="Tc_deoG_RVwf06bLpy9UQRfiQ_8_0"/>
      <w:bookmarkStart w:id="1060" w:name="Tc_ARqMmujBGUiTJ2kOG4k-bw_7_9"/>
      <w:bookmarkStart w:id="1061" w:name="Tc_QcZPbfe3VkmsZorLjly0zQ_7_4"/>
      <w:bookmarkStart w:id="1062" w:name="Tc_Wnc4QtQiMUGZ-sREJPK1iA_7_0"/>
      <w:bookmarkStart w:id="1063" w:name="Tc_cuWgZW3VLUu18DcFngGGHw_6_9"/>
      <w:bookmarkStart w:id="1064" w:name="Tc_V9PYNaOXf0OKii9gXgYEfQ_6_7"/>
      <w:bookmarkStart w:id="1065" w:name="Tc_SzTN06MgoEKEFQDkFPZ-mg_5_9"/>
      <w:bookmarkStart w:id="1066" w:name="Tc_vAHQjSMV20iZIxNPo_st1A_5_7"/>
      <w:bookmarkStart w:id="1067" w:name="Tc_BJrKIVyaDkihiR76IvcrZQ_5_4"/>
      <w:bookmarkStart w:id="1068" w:name="Tc_ehU8DN7XB0S7dYCMsfV5_Q_5_2"/>
      <w:bookmarkStart w:id="1069" w:name="Tc_G3MEXWuULEyPel1L6opAWA_4_9"/>
      <w:bookmarkStart w:id="1070" w:name="Tc_Ef9rzHFqVkiK3uNOKJDPcQ_4_7"/>
      <w:bookmarkStart w:id="1071" w:name="Tc_9u2JxQg4xE2cIiFbdXYf-Q_4_4"/>
      <w:bookmarkStart w:id="1072" w:name="Tc_Xec1k3W_PEu2LMH2aMVN1g_4_2"/>
      <w:bookmarkStart w:id="1073" w:name="Tc_UMxShDY48UyruQHxwyiupw_3_7"/>
      <w:bookmarkStart w:id="1074" w:name="Tc__ojLgnkApk-mHN4XFVvtcA_3_4"/>
      <w:bookmarkStart w:id="1075" w:name="Tc_jmAEqsJDhk2ORbhbYYBMiQ_2_7"/>
      <w:bookmarkStart w:id="1076" w:name="Tc_0a1W6uHnLUqq3W6UHOEbcQ_2_4"/>
      <w:bookmarkStart w:id="1077" w:name="Tc_yyUZyONW_kCBjd2yhlThwQ_1_7"/>
      <w:bookmarkStart w:id="1078" w:name="_8efd0b67_9aaa_4f44_a65b_9bde41646e1e"/>
      <w:bookmarkStart w:id="1079" w:name="Tc_Nxf53RJFp06J7PgWCGFc6w_6_6"/>
      <w:bookmarkStart w:id="1080" w:name="Tc_nRq0MNxxBU-8yWeFBxGQVg_6_3"/>
      <w:bookmarkStart w:id="1081" w:name="Tc_yNp2cAblQU-GR7omlDGU2Q_6_0"/>
      <w:bookmarkStart w:id="1082" w:name="Tc_azNTmeDnGESU6vRJK3Ruiw_5_0"/>
      <w:bookmarkStart w:id="1083" w:name="Tc_sien2-6tV0i15AZXkYrkxg_4_0"/>
      <w:bookmarkStart w:id="1084" w:name="Tc_rzZntzWvw0SzPbQghnKz0g_3_0"/>
      <w:bookmarkStart w:id="1085" w:name="Tc_W3yYSDVXMUO0L9brAJ84wg_2_5"/>
      <w:bookmarkStart w:id="1086" w:name="Tc_XGfF7HzWmkWKe8zrf-l9Mg_2_2"/>
      <w:bookmarkStart w:id="1087" w:name="Tc_7uekRgr490mWHRlqvnDMXA_1_2"/>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Arial;Helvetica;sans-serif" w:hAnsi="Arial;Helvetica;sans-serif"/>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spacing w:before="0" w:after="0"/>
        <w:ind w:left="0" w:right="0" w:hanging="0"/>
        <w:jc w:val="left"/>
        <w:rPr/>
      </w:pPr>
      <w:r>
        <w:rPr/>
        <w:t>​</w:t>
      </w:r>
    </w:p>
    <w:tbl>
      <w:tblPr>
        <w:tblW w:w="4884" w:type="dxa"/>
        <w:jc w:val="left"/>
        <w:tblInd w:w="0" w:type="dxa"/>
        <w:tblLayout w:type="fixed"/>
        <w:tblCellMar>
          <w:top w:w="0" w:type="dxa"/>
          <w:left w:w="0" w:type="dxa"/>
          <w:bottom w:w="0" w:type="dxa"/>
          <w:right w:w="0" w:type="dxa"/>
        </w:tblCellMar>
      </w:tblPr>
      <w:tblGrid>
        <w:gridCol w:w="2266"/>
        <w:gridCol w:w="326"/>
        <w:gridCol w:w="155"/>
        <w:gridCol w:w="814"/>
        <w:gridCol w:w="346"/>
        <w:gridCol w:w="115"/>
        <w:gridCol w:w="862"/>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38910" cy="175260"/>
                      <wp:effectExtent l="0" t="0" r="0" b="0"/>
                      <wp:wrapNone/>
                      <wp:docPr id="125" name="Frame12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8425" cy="175260"/>
                      <wp:effectExtent l="0" t="0" r="0" b="0"/>
                      <wp:wrapNone/>
                      <wp:docPr id="127" name="Frame12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16890" cy="175260"/>
                      <wp:effectExtent l="0" t="0" r="0" b="0"/>
                      <wp:wrapNone/>
                      <wp:docPr id="128" name="Frame128"/>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3025" cy="175260"/>
                      <wp:effectExtent l="0" t="0" r="0" b="0"/>
                      <wp:wrapNone/>
                      <wp:docPr id="130" name="Frame130"/>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47370" cy="175260"/>
                      <wp:effectExtent l="0" t="0" r="0" b="0"/>
                      <wp:wrapNone/>
                      <wp:docPr id="131" name="Frame13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2292"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Six Months Ended June 30,</w:t>
            </w:r>
          </w:p>
        </w:tc>
      </w:tr>
      <w:tr>
        <w:trPr/>
        <w:tc>
          <w:tcPr>
            <w:tcW w:w="2266"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Risk-free interest rate</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5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1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3.52%</w:t>
            </w:r>
          </w:p>
        </w:tc>
        <w:tc>
          <w:tcPr>
            <w:tcW w:w="34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1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6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1.81%</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term (in years)</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55" w:type="dxa"/>
            <w:tcBorders/>
            <w:vAlign w:val="center"/>
          </w:tcPr>
          <w:p>
            <w:pPr>
              <w:pStyle w:val="TableContents"/>
              <w:bidi w:val="0"/>
              <w:spacing w:before="0" w:after="1"/>
              <w:ind w:left="0" w:right="0" w:hanging="0"/>
              <w:jc w:val="left"/>
              <w:rPr>
                <w:color w:val="231F20"/>
              </w:rPr>
            </w:pPr>
            <w:r>
              <w:rPr>
                <w:color w:val="231F20"/>
              </w:rPr>
              <w:t>​</w:t>
            </w:r>
          </w:p>
        </w:tc>
        <w:tc>
          <w:tcPr>
            <w:tcW w:w="814"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6.02</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15" w:type="dxa"/>
            <w:tcBorders/>
            <w:vAlign w:val="center"/>
          </w:tcPr>
          <w:p>
            <w:pPr>
              <w:pStyle w:val="TableContents"/>
              <w:bidi w:val="0"/>
              <w:spacing w:before="0" w:after="1"/>
              <w:ind w:left="0" w:right="0" w:hanging="0"/>
              <w:jc w:val="left"/>
              <w:rPr>
                <w:color w:val="231F20"/>
              </w:rPr>
            </w:pPr>
            <w:r>
              <w:rPr>
                <w:color w:val="231F20"/>
              </w:rPr>
              <w:t>​</w:t>
            </w:r>
          </w:p>
        </w:tc>
        <w:tc>
          <w:tcPr>
            <w:tcW w:w="862"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6.02</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volatility</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5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1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86.88%</w:t>
            </w:r>
          </w:p>
        </w:tc>
        <w:tc>
          <w:tcPr>
            <w:tcW w:w="3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1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6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79.33%</w:t>
            </w:r>
          </w:p>
        </w:tc>
      </w:tr>
      <w:tr>
        <w:trPr/>
        <w:tc>
          <w:tcPr>
            <w:tcW w:w="2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dividend yield</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55"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15"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862" w:type="dxa"/>
            <w:tcBorders>
              <w:bottom w:val="double" w:sz="6" w:space="0" w:color="000000"/>
            </w:tcBorders>
            <w:tcMar>
              <w:bottom w:w="28" w:type="dxa"/>
            </w:tcMar>
            <w:vAlign w:val="center"/>
          </w:tcPr>
          <w:p>
            <w:pPr>
              <w:pStyle w:val="TableContents"/>
              <w:bidi w:val="0"/>
              <w:spacing w:before="0" w:after="1"/>
              <w:ind w:left="0" w:right="60" w:hanging="0"/>
              <w:jc w:val="right"/>
              <w:rPr>
                <w:color w:val="231F20"/>
              </w:rPr>
            </w:pPr>
            <w:r>
              <w:rPr>
                <w:color w:val="231F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 Option Activity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the stock option activity under the 2014 Plan, the 2020 Plan and the 2022 Inducement Plan:</w:t>
      </w:r>
    </w:p>
    <w:p>
      <w:pPr>
        <w:pStyle w:val="TextBody"/>
        <w:bidi w:val="0"/>
        <w:spacing w:before="0" w:after="0"/>
        <w:ind w:left="0" w:right="0" w:hanging="0"/>
        <w:jc w:val="left"/>
        <w:rPr/>
      </w:pPr>
      <w:r>
        <w:rPr/>
        <w:t>​</w:t>
      </w:r>
    </w:p>
    <w:tbl>
      <w:tblPr>
        <w:tblW w:w="10188" w:type="dxa"/>
        <w:jc w:val="left"/>
        <w:tblInd w:w="0" w:type="dxa"/>
        <w:tblLayout w:type="fixed"/>
        <w:tblCellMar>
          <w:top w:w="0" w:type="dxa"/>
          <w:left w:w="0" w:type="dxa"/>
          <w:bottom w:w="0" w:type="dxa"/>
          <w:right w:w="0" w:type="dxa"/>
        </w:tblCellMar>
      </w:tblPr>
      <w:tblGrid>
        <w:gridCol w:w="4651"/>
        <w:gridCol w:w="326"/>
        <w:gridCol w:w="961"/>
        <w:gridCol w:w="326"/>
        <w:gridCol w:w="226"/>
        <w:gridCol w:w="630"/>
        <w:gridCol w:w="326"/>
        <w:gridCol w:w="1036"/>
        <w:gridCol w:w="326"/>
        <w:gridCol w:w="289"/>
        <w:gridCol w:w="109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953385" cy="175260"/>
                      <wp:effectExtent l="0" t="0" r="0" b="0"/>
                      <wp:wrapNone/>
                      <wp:docPr id="132" name="Frame132"/>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10235" cy="175260"/>
                      <wp:effectExtent l="0" t="0" r="0" b="0"/>
                      <wp:wrapNone/>
                      <wp:docPr id="134" name="Frame1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3510" cy="175260"/>
                      <wp:effectExtent l="0" t="0" r="0" b="0"/>
                      <wp:wrapNone/>
                      <wp:docPr id="136" name="Frame1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00050" cy="175260"/>
                      <wp:effectExtent l="0" t="0" r="0" b="0"/>
                      <wp:wrapNone/>
                      <wp:docPr id="137" name="Frame137"/>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9" name="Frame1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3515" cy="175260"/>
                      <wp:effectExtent l="0" t="0" r="0" b="0"/>
                      <wp:wrapNone/>
                      <wp:docPr id="141" name="Frame14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785" cy="175260"/>
                      <wp:effectExtent l="0" t="0" r="0" b="0"/>
                      <wp:wrapNone/>
                      <wp:docPr id="142" name="Frame142"/>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6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63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3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8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9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289" w:type="dxa"/>
            <w:tcBorders/>
            <w:vAlign w:val="center"/>
          </w:tcPr>
          <w:p>
            <w:pPr>
              <w:pStyle w:val="TableContents"/>
              <w:bidi w:val="0"/>
              <w:spacing w:before="0" w:after="1"/>
              <w:ind w:left="0" w:right="0" w:hanging="0"/>
              <w:jc w:val="center"/>
              <w:rPr/>
            </w:pPr>
            <w:r>
              <w:rPr/>
              <w:t>​</w:t>
            </w:r>
          </w:p>
        </w:tc>
        <w:tc>
          <w:tcPr>
            <w:tcW w:w="1091" w:type="dxa"/>
            <w:tcBorders/>
            <w:vAlign w:val="center"/>
          </w:tcPr>
          <w:p>
            <w:pPr>
              <w:pStyle w:val="TableContents"/>
              <w:bidi w:val="0"/>
              <w:spacing w:before="0" w:after="1"/>
              <w:ind w:left="0" w:right="0" w:hanging="0"/>
              <w:jc w:val="center"/>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289" w:type="dxa"/>
            <w:tcBorders/>
            <w:vAlign w:val="center"/>
          </w:tcPr>
          <w:p>
            <w:pPr>
              <w:pStyle w:val="TableContents"/>
              <w:bidi w:val="0"/>
              <w:spacing w:before="0" w:after="1"/>
              <w:ind w:left="0" w:right="0" w:hanging="0"/>
              <w:jc w:val="center"/>
              <w:rPr/>
            </w:pPr>
            <w:r>
              <w:rPr/>
              <w:t>​</w:t>
            </w:r>
          </w:p>
        </w:tc>
        <w:tc>
          <w:tcPr>
            <w:tcW w:w="1091" w:type="dxa"/>
            <w:tcBorders/>
            <w:vAlign w:val="center"/>
          </w:tcPr>
          <w:p>
            <w:pPr>
              <w:pStyle w:val="TableContents"/>
              <w:bidi w:val="0"/>
              <w:spacing w:before="0" w:after="1"/>
              <w:ind w:left="0" w:right="0" w:hanging="0"/>
              <w:jc w:val="center"/>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 Value</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56" w:type="dxa"/>
            <w:gridSpan w:val="2"/>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years)</w:t>
            </w:r>
          </w:p>
        </w:tc>
        <w:tc>
          <w:tcPr>
            <w:tcW w:w="326" w:type="dxa"/>
            <w:tcBorders/>
            <w:vAlign w:val="center"/>
          </w:tcPr>
          <w:p>
            <w:pPr>
              <w:pStyle w:val="TableContents"/>
              <w:bidi w:val="0"/>
              <w:spacing w:before="0" w:after="1"/>
              <w:ind w:left="0" w:right="0" w:hanging="0"/>
              <w:jc w:val="right"/>
              <w:rPr/>
            </w:pPr>
            <w:r>
              <w:rPr/>
              <w:t>​</w:t>
            </w:r>
          </w:p>
        </w:tc>
        <w:tc>
          <w:tcPr>
            <w:tcW w:w="1380"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as of December 31, 2022</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8,384,858</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8.59</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2,234,718</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4.98</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right"/>
              <w:rPr/>
            </w:pPr>
            <w:r>
              <w:rPr/>
              <w:t>​</w:t>
            </w:r>
          </w:p>
        </w:tc>
        <w:tc>
          <w:tcPr>
            <w:tcW w:w="109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Exercised(1)</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(483,411)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3.77</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right"/>
              <w:rPr/>
            </w:pPr>
            <w:r>
              <w:rPr/>
              <w:t>​</w:t>
            </w:r>
          </w:p>
        </w:tc>
        <w:tc>
          <w:tcPr>
            <w:tcW w:w="109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(859,447)</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as of June 30, 2023(2)</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9,276,718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8.26</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31,572</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right"/>
              <w:rPr/>
            </w:pPr>
            <w:r>
              <w:rPr/>
              <w:t>​</w:t>
            </w:r>
          </w:p>
        </w:tc>
        <w:tc>
          <w:tcPr>
            <w:tcW w:w="109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Options vested and exercisable as of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4,203,758</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10.05</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13,179</w:t>
            </w:r>
          </w:p>
        </w:tc>
      </w:tr>
      <w:tr>
        <w:trPr/>
        <w:tc>
          <w:tcPr>
            <w:tcW w:w="465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Options expected to vest as of June 30, 2023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5,072,960</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6.77</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18,305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(1)</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Exercised amount includes vesting of early-exercised options and shares returned for taxes withheld for exercise and net transactions.</w:t>
            </w:r>
          </w:p>
        </w:tc>
      </w:tr>
    </w:tbl>
    <w:tbl>
      <w:tblPr>
        <w:tblW w:w="6632" w:type="dxa"/>
        <w:jc w:val="left"/>
        <w:tblInd w:w="0" w:type="dxa"/>
        <w:tblLayout w:type="fixed"/>
        <w:tblCellMar>
          <w:top w:w="0" w:type="dxa"/>
          <w:left w:w="0" w:type="dxa"/>
          <w:bottom w:w="0" w:type="dxa"/>
          <w:right w:w="0" w:type="dxa"/>
        </w:tblCellMar>
      </w:tblPr>
      <w:tblGrid>
        <w:gridCol w:w="331"/>
        <w:gridCol w:w="6301"/>
      </w:tblGrid>
      <w:tr>
        <w:trPr/>
        <w:tc>
          <w:tcPr>
            <w:tcW w:w="331" w:type="dxa"/>
            <w:tcBorders/>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(2)</w:t>
            </w:r>
          </w:p>
        </w:tc>
        <w:tc>
          <w:tcPr>
            <w:tcW w:w="630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6"/>
              </w:rPr>
              <w:t>Balance as of June 30, 2023 includes 4,660</w:t>
            </w:r>
            <w:r>
              <w:rPr>
                <w:caps w:val="false"/>
                <w:smallCaps w:val="false"/>
                <w:color w:val="231F20"/>
              </w:rPr>
              <w:t xml:space="preserve"> </w:t>
            </w:r>
            <w:r>
              <w:rPr>
                <w:rFonts w:ascii="Arial;Helvetica;sans-serif" w:hAnsi="Arial;Helvetica;sans-serif"/>
                <w:b w:val="false"/>
                <w:i w:val="false"/>
                <w:caps w:val="false"/>
                <w:smallCaps w:val="false"/>
                <w:color w:val="231F20"/>
                <w:sz w:val="16"/>
              </w:rPr>
              <w:t>unvested early-exercised stock options.</w:t>
            </w:r>
          </w:p>
        </w:tc>
      </w:tr>
    </w:tbl>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Early Exercise of Stock Options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less than $0.1 million in other current liabilities as of June 30, 2023.</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bookmarkStart w:id="1088" w:name="Tc_V8eP-YxBbEK-9qYq4owcyw_6_5"/>
      <w:bookmarkStart w:id="1089" w:name="Tc_N6dE8HZBu0GBNHDxOAKofQ_6_0"/>
      <w:bookmarkStart w:id="1090" w:name="Tc_-5z-F9FKtkWmCtbfSVNU1w_5_6"/>
      <w:bookmarkStart w:id="1091" w:name="Tc_SHzifKFGQU65c20Y_WfA5A_5_3"/>
      <w:bookmarkStart w:id="1092" w:name="Tc_JMYx2_FE2UK3_a5vYv5aOg_5_0"/>
      <w:bookmarkStart w:id="1093" w:name="Tc_UuAtqVbRc0OvV6qJLcChKw_4_0"/>
      <w:bookmarkStart w:id="1094" w:name="Tc_TUyB8ZLkSUKQ2PaIiwt4JA_3_6"/>
      <w:bookmarkStart w:id="1095" w:name="Tc__GvalrrgWE2FoyuefNgX3A_3_3"/>
      <w:bookmarkStart w:id="1096" w:name="Tc_c82fVymTM0mqIXsA9Pouxg_3_0"/>
      <w:bookmarkStart w:id="1097" w:name="Tc_WxSo6Pzt_kuSexYt1ODSrw_2_5"/>
      <w:bookmarkStart w:id="1098" w:name="Tc_5uZ76uxWs0-kTiw8lHZpJw_2_0"/>
      <w:bookmarkStart w:id="1099" w:name="Tc_ryqMnhS6jka-7fnEk81Spw_1_5"/>
      <w:bookmarkStart w:id="1100" w:name="Tc_zStLVC3c4Ui7X5BljHZc3g_1_3"/>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Arial;Helvetica;sans-serif" w:hAnsi="Arial;Helvetica;sans-serif"/>
          <w:i/>
          <w:sz w:val="20"/>
        </w:rPr>
        <w:t>Restricted Stock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the restricted stock activity under the 2014 Plan during the six months ended June 30, 2023:</w:t>
      </w:r>
    </w:p>
    <w:p>
      <w:pPr>
        <w:pStyle w:val="TextBody"/>
        <w:bidi w:val="0"/>
        <w:spacing w:before="0" w:after="0"/>
        <w:ind w:left="0" w:right="0" w:hanging="0"/>
        <w:jc w:val="left"/>
        <w:rPr/>
      </w:pPr>
      <w:r>
        <w:rPr/>
        <w:t>​</w:t>
      </w:r>
    </w:p>
    <w:tbl>
      <w:tblPr>
        <w:tblW w:w="8728" w:type="dxa"/>
        <w:jc w:val="left"/>
        <w:tblInd w:w="0" w:type="dxa"/>
        <w:tblLayout w:type="fixed"/>
        <w:tblCellMar>
          <w:top w:w="0" w:type="dxa"/>
          <w:left w:w="0" w:type="dxa"/>
          <w:bottom w:w="0" w:type="dxa"/>
          <w:right w:w="0" w:type="dxa"/>
        </w:tblCellMar>
      </w:tblPr>
      <w:tblGrid>
        <w:gridCol w:w="4606"/>
        <w:gridCol w:w="326"/>
        <w:gridCol w:w="109"/>
        <w:gridCol w:w="1531"/>
        <w:gridCol w:w="326"/>
        <w:gridCol w:w="484"/>
        <w:gridCol w:w="134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924810" cy="175260"/>
                      <wp:effectExtent l="0" t="0" r="0" b="0"/>
                      <wp:wrapNone/>
                      <wp:docPr id="143" name="Frame143"/>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72185" cy="175260"/>
                      <wp:effectExtent l="0" t="0" r="0" b="0"/>
                      <wp:wrapNone/>
                      <wp:docPr id="146" name="Frame14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07340" cy="175260"/>
                      <wp:effectExtent l="0" t="0" r="0" b="0"/>
                      <wp:wrapNone/>
                      <wp:docPr id="148" name="Frame14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54710" cy="175260"/>
                      <wp:effectExtent l="0" t="0" r="0" b="0"/>
                      <wp:wrapNone/>
                      <wp:docPr id="149" name="Frame149"/>
                      <a:graphic xmlns:a="http://schemas.openxmlformats.org/drawingml/2006/main">
                        <a:graphicData uri="http://schemas.microsoft.com/office/word/2010/wordprocessingShape">
                          <wps:wsp>
                            <wps:cNvSpPr txBox="1"/>
                            <wps:spPr>
                              <a:xfrm>
                                <a:off x="0" y="0"/>
                                <a:ext cx="85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153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 Shares</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color w:val="231F20"/>
              </w:rPr>
            </w:pPr>
            <w:r>
              <w:rPr>
                <w:color w:val="231F20"/>
              </w:rPr>
              <w:t>​</w:t>
            </w:r>
          </w:p>
        </w:tc>
        <w:tc>
          <w:tcPr>
            <w:tcW w:w="183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Fair Value</w:t>
            </w:r>
          </w:p>
        </w:tc>
      </w:tr>
      <w:tr>
        <w:trPr/>
        <w:tc>
          <w:tcPr>
            <w:tcW w:w="4606" w:type="dxa"/>
            <w:tcBorders/>
            <w:shd w:fill="CCEEFF" w:val="clear"/>
            <w:vAlign w:val="center"/>
          </w:tcPr>
          <w:p>
            <w:pPr>
              <w:pStyle w:val="TableContents"/>
              <w:pBdr/>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as of December 31, 2022</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53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295,911</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48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4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06" w:type="dxa"/>
            <w:tcBorders/>
            <w:vAlign w:val="center"/>
          </w:tcPr>
          <w:p>
            <w:pPr>
              <w:pStyle w:val="TableContents"/>
              <w:pBdr/>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Granted</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53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484" w:type="dxa"/>
            <w:tcBorders/>
            <w:vAlign w:val="center"/>
          </w:tcPr>
          <w:p>
            <w:pPr>
              <w:pStyle w:val="TableContents"/>
              <w:bidi w:val="0"/>
              <w:spacing w:before="0" w:after="1"/>
              <w:ind w:left="0" w:right="0" w:hanging="0"/>
              <w:jc w:val="right"/>
              <w:rPr>
                <w:color w:val="231F20"/>
              </w:rPr>
            </w:pPr>
            <w:r>
              <w:rPr>
                <w:color w:val="231F20"/>
              </w:rPr>
              <w:t>​</w:t>
            </w:r>
          </w:p>
        </w:tc>
        <w:tc>
          <w:tcPr>
            <w:tcW w:w="1346" w:type="dxa"/>
            <w:tcBorders/>
            <w:vAlign w:val="center"/>
          </w:tcPr>
          <w:p>
            <w:pPr>
              <w:pStyle w:val="TableContents"/>
              <w:bidi w:val="0"/>
              <w:spacing w:before="0" w:after="1"/>
              <w:ind w:left="0" w:right="0" w:hanging="0"/>
              <w:jc w:val="right"/>
              <w:rPr>
                <w:color w:val="231F20"/>
              </w:rPr>
            </w:pPr>
            <w:r>
              <w:rPr>
                <w:color w:val="231F20"/>
              </w:rPr>
              <w:t>—</w:t>
            </w:r>
          </w:p>
        </w:tc>
      </w:tr>
      <w:tr>
        <w:trPr/>
        <w:tc>
          <w:tcPr>
            <w:tcW w:w="4606" w:type="dxa"/>
            <w:tcBorders/>
            <w:shd w:fill="CCEEFF" w:val="clear"/>
            <w:vAlign w:val="center"/>
          </w:tcPr>
          <w:p>
            <w:pPr>
              <w:pStyle w:val="TableContents"/>
              <w:pBdr/>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Vested</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53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(98,637)</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484"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34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06" w:type="dxa"/>
            <w:tcBorders/>
            <w:vAlign w:val="center"/>
          </w:tcPr>
          <w:p>
            <w:pPr>
              <w:pStyle w:val="TableContents"/>
              <w:pBdr/>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Forfeited</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531"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231F2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484"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34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4606" w:type="dxa"/>
            <w:tcBorders>
              <w:bottom w:val="double" w:sz="6" w:space="0" w:color="000000"/>
            </w:tcBorders>
            <w:shd w:fill="CCEEFF" w:val="clear"/>
            <w:tcMar>
              <w:bottom w:w="28" w:type="dxa"/>
            </w:tcMar>
            <w:vAlign w:val="center"/>
          </w:tcPr>
          <w:p>
            <w:pPr>
              <w:pStyle w:val="TableContents"/>
              <w:pBdr/>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as of June 30, 2023</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197,274</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2.40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Performance-Based Restricted Stock Unit Awards</w:t>
      </w:r>
    </w:p>
    <w:p>
      <w:pPr>
        <w:pStyle w:val="TextBody"/>
        <w:bidi w:val="0"/>
        <w:spacing w:before="24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In November 2022, the Company granted to certain employees 710,000</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of each PSU vests upon certification by the Compensation Committee of the Company of achieving a pre-determined performance goal by June 30, 2024, and 35%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 xml:space="preserve">of each PSU vests upon certification by the Compensation Committee of the Company of achieving a pre-determined performance goal by June 30, 2024. </w:t>
      </w:r>
    </w:p>
    <w:p>
      <w:pPr>
        <w:pStyle w:val="TextBody"/>
        <w:bidi w:val="0"/>
        <w:spacing w:before="24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Expense recognition for PSUs commences when it is determined that attainment of the performance goal is probable or met. As of June 30, 2023, it was determined that the performance goals were not yet met, and therefore, the Company recorded zero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stock-based compensation expense related to the PSUs for the three and six months ended June 30, 2023.</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2020 Employee Stock Purchase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The current offering period will consist of two (2) six-month Purchase Periods during which payroll deductions of the participants are accumulated under the ESPP. A total of 430,416 shares of common stock were initially reserved for issuance pursuant to the ESPP.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$0.2 million for the three and six months ended June 30, 2023,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bookmarkStart w:id="1101" w:name="Tc_ELfibmqelUW062CfEC9Z7A_5_11"/>
      <w:bookmarkStart w:id="1102" w:name="Tc_PfQ5ifMvcEu-VNuJnq-9cw_5_8"/>
      <w:bookmarkStart w:id="1103" w:name="Tc_l5axwVYa40aa4xzmju7PJQ_5_5"/>
      <w:bookmarkStart w:id="1104" w:name="Tc_iSlKwqFloEWgRMarjRw0wg_5_2"/>
      <w:bookmarkStart w:id="1105" w:name="Tc_V8wL3XaVhUiCpdRTZ89pyA_5_0"/>
      <w:bookmarkStart w:id="1106" w:name="Tc_ZDF93nwTZECR96jJzJI6LA_4_0"/>
      <w:bookmarkStart w:id="1107" w:name="Tc_XfC-psa9DkuN6jGiypgyIw_3_11"/>
      <w:bookmarkStart w:id="1108" w:name="Tc_ON7pYlv4eEq4JqA1g5loWg_3_8"/>
      <w:bookmarkStart w:id="1109" w:name="Tc_t7WAjlkH7kCP7lM9CkTEUw_3_5"/>
      <w:bookmarkStart w:id="1110" w:name="Tc_mMSjNFCK8kK0XjLD6vMZCg_3_2"/>
      <w:bookmarkStart w:id="1111" w:name="Tc_BxO5cuguHUiokNkz1-rDRQ_3_0"/>
      <w:bookmarkStart w:id="1112" w:name="Tc_uLURq7VsiUeQzQGQR4fnnw_2_11"/>
      <w:bookmarkStart w:id="1113" w:name="Tc_wJ7VTFaNWUOCKdxH7qCc5A_2_8"/>
      <w:bookmarkStart w:id="1114" w:name="Tc_XgOTF0jYikGOYGGaegFABg_2_5"/>
      <w:bookmarkStart w:id="1115" w:name="Tc_3DhaF7robkKb8XJMZtuipQ_2_2"/>
      <w:bookmarkStart w:id="1116" w:name="Tc_Fd2JABWUAkWtcA21TpMi1w_1_8"/>
      <w:bookmarkStart w:id="1117" w:name="Tc_1CyYHZGI80Sdwp1_jBU4DA_1_2"/>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rFonts w:ascii="Arial;Helvetica;sans-serif" w:hAnsi="Arial;Helvetica;sans-serif"/>
          <w:i/>
          <w:sz w:val="20"/>
        </w:rPr>
        <w:t>Stock-Based Compensation Expense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spacing w:before="0" w:after="0"/>
        <w:ind w:left="0" w:right="0" w:hanging="0"/>
        <w:jc w:val="left"/>
        <w:rPr/>
      </w:pPr>
      <w:r>
        <w:rPr/>
        <w:t>​</w:t>
      </w:r>
    </w:p>
    <w:tbl>
      <w:tblPr>
        <w:tblW w:w="7983" w:type="dxa"/>
        <w:jc w:val="left"/>
        <w:tblInd w:w="0" w:type="dxa"/>
        <w:tblLayout w:type="fixed"/>
        <w:tblCellMar>
          <w:top w:w="0" w:type="dxa"/>
          <w:left w:w="0" w:type="dxa"/>
          <w:bottom w:w="0" w:type="dxa"/>
          <w:right w:w="0" w:type="dxa"/>
        </w:tblCellMar>
      </w:tblPr>
      <w:tblGrid>
        <w:gridCol w:w="2491"/>
        <w:gridCol w:w="326"/>
        <w:gridCol w:w="275"/>
        <w:gridCol w:w="764"/>
        <w:gridCol w:w="425"/>
        <w:gridCol w:w="275"/>
        <w:gridCol w:w="764"/>
        <w:gridCol w:w="326"/>
        <w:gridCol w:w="243"/>
        <w:gridCol w:w="677"/>
        <w:gridCol w:w="376"/>
        <w:gridCol w:w="243"/>
        <w:gridCol w:w="798"/>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81785" cy="175260"/>
                      <wp:effectExtent l="0" t="0" r="0" b="0"/>
                      <wp:wrapNone/>
                      <wp:docPr id="150" name="Frame15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4625" cy="175260"/>
                      <wp:effectExtent l="0" t="0" r="0" b="0"/>
                      <wp:wrapNone/>
                      <wp:docPr id="152" name="Frame15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85140" cy="175260"/>
                      <wp:effectExtent l="0" t="0" r="0" b="0"/>
                      <wp:wrapNone/>
                      <wp:docPr id="153" name="Frame15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69875" cy="175260"/>
                      <wp:effectExtent l="0" t="0" r="0" b="0"/>
                      <wp:wrapNone/>
                      <wp:docPr id="154" name="Frame15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4625" cy="175260"/>
                      <wp:effectExtent l="0" t="0" r="0" b="0"/>
                      <wp:wrapNone/>
                      <wp:docPr id="155" name="Frame15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85140" cy="175260"/>
                      <wp:effectExtent l="0" t="0" r="0" b="0"/>
                      <wp:wrapNone/>
                      <wp:docPr id="156" name="Frame156"/>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4305" cy="175260"/>
                      <wp:effectExtent l="0" t="0" r="0" b="0"/>
                      <wp:wrapNone/>
                      <wp:docPr id="158" name="Frame15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895" cy="175260"/>
                      <wp:effectExtent l="0" t="0" r="0" b="0"/>
                      <wp:wrapNone/>
                      <wp:docPr id="159" name="Frame15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8760" cy="175260"/>
                      <wp:effectExtent l="0" t="0" r="0" b="0"/>
                      <wp:wrapNone/>
                      <wp:docPr id="160" name="Frame16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4305" cy="175260"/>
                      <wp:effectExtent l="0" t="0" r="0" b="0"/>
                      <wp:wrapNone/>
                      <wp:docPr id="161" name="Frame16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6730" cy="175260"/>
                      <wp:effectExtent l="0" t="0" r="0" b="0"/>
                      <wp:wrapNone/>
                      <wp:docPr id="162" name="Frame162"/>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503"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337"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2491"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Research and development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7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6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2,969</w:t>
            </w:r>
          </w:p>
        </w:tc>
        <w:tc>
          <w:tcPr>
            <w:tcW w:w="425"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7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6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3,211</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4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7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6,057</w:t>
            </w:r>
          </w:p>
        </w:tc>
        <w:tc>
          <w:tcPr>
            <w:tcW w:w="37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4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6,278</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General and administrative</w:t>
            </w:r>
          </w:p>
        </w:tc>
        <w:tc>
          <w:tcPr>
            <w:tcW w:w="326" w:type="dxa"/>
            <w:tcBorders/>
            <w:vAlign w:val="center"/>
          </w:tcPr>
          <w:p>
            <w:pPr>
              <w:pStyle w:val="TableContents"/>
              <w:bidi w:val="0"/>
              <w:spacing w:before="0" w:after="1"/>
              <w:ind w:left="0" w:right="0" w:hanging="0"/>
              <w:jc w:val="left"/>
              <w:rPr/>
            </w:pPr>
            <w:r>
              <w:rPr/>
              <w:t> </w:t>
            </w:r>
          </w:p>
        </w:tc>
        <w:tc>
          <w:tcPr>
            <w:tcW w:w="275" w:type="dxa"/>
            <w:tcBorders>
              <w:bottom w:val="single" w:sz="2" w:space="0" w:color="231F20"/>
            </w:tcBorders>
            <w:tcMar>
              <w:bottom w:w="28" w:type="dxa"/>
            </w:tcMar>
            <w:vAlign w:val="center"/>
          </w:tcPr>
          <w:p>
            <w:pPr>
              <w:pStyle w:val="TableContents"/>
              <w:bidi w:val="0"/>
              <w:spacing w:before="0" w:after="1"/>
              <w:ind w:left="0" w:right="0" w:hanging="0"/>
              <w:jc w:val="right"/>
              <w:rPr/>
            </w:pPr>
            <w:r>
              <w:rPr/>
              <w:t> </w:t>
            </w:r>
          </w:p>
        </w:tc>
        <w:tc>
          <w:tcPr>
            <w:tcW w:w="764"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1,201</w:t>
            </w:r>
          </w:p>
        </w:tc>
        <w:tc>
          <w:tcPr>
            <w:tcW w:w="425" w:type="dxa"/>
            <w:tcBorders>
              <w:bottom w:val="single" w:sz="2" w:space="0" w:color="231F2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75"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764"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1,517</w:t>
            </w:r>
          </w:p>
        </w:tc>
        <w:tc>
          <w:tcPr>
            <w:tcW w:w="326" w:type="dxa"/>
            <w:tcBorders/>
            <w:vAlign w:val="center"/>
          </w:tcPr>
          <w:p>
            <w:pPr>
              <w:pStyle w:val="TableContents"/>
              <w:bidi w:val="0"/>
              <w:spacing w:before="0" w:after="1"/>
              <w:ind w:left="0" w:right="0" w:hanging="0"/>
              <w:jc w:val="left"/>
              <w:rPr/>
            </w:pPr>
            <w:r>
              <w:rPr/>
              <w:t> </w:t>
            </w:r>
          </w:p>
        </w:tc>
        <w:tc>
          <w:tcPr>
            <w:tcW w:w="243" w:type="dxa"/>
            <w:tcBorders>
              <w:bottom w:val="single" w:sz="2" w:space="0" w:color="231F20"/>
            </w:tcBorders>
            <w:tcMar>
              <w:bottom w:w="28" w:type="dxa"/>
            </w:tcMar>
            <w:vAlign w:val="center"/>
          </w:tcPr>
          <w:p>
            <w:pPr>
              <w:pStyle w:val="TableContents"/>
              <w:bidi w:val="0"/>
              <w:spacing w:before="0" w:after="1"/>
              <w:ind w:left="0" w:right="0" w:hanging="0"/>
              <w:jc w:val="right"/>
              <w:rPr/>
            </w:pPr>
            <w:r>
              <w:rPr/>
              <w:t> </w:t>
            </w:r>
          </w:p>
        </w:tc>
        <w:tc>
          <w:tcPr>
            <w:tcW w:w="677"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2,743</w:t>
            </w:r>
          </w:p>
        </w:tc>
        <w:tc>
          <w:tcPr>
            <w:tcW w:w="376" w:type="dxa"/>
            <w:tcBorders>
              <w:bottom w:val="single" w:sz="2" w:space="0" w:color="231F2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798"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3,415</w:t>
            </w:r>
          </w:p>
        </w:tc>
      </w:tr>
      <w:tr>
        <w:trPr/>
        <w:tc>
          <w:tcPr>
            <w:tcW w:w="24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4,170</w:t>
            </w:r>
          </w:p>
        </w:tc>
        <w:tc>
          <w:tcPr>
            <w:tcW w:w="4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4,728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8,800</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9,693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18" w:name="Tc_a4js4Lf5pU2gg6pAsWPEMg_6_0"/>
      <w:bookmarkStart w:id="1119" w:name="Tc_o2QveoCUOUSiGzUhsxnBHQ_5_0"/>
      <w:bookmarkStart w:id="1120" w:name="Tc_3t03eKWpO02MXe9ISlvH5g_4_6"/>
      <w:bookmarkStart w:id="1121" w:name="Tc_PE8DOG04tky7ZLA_JdZbkA_4_0"/>
      <w:bookmarkStart w:id="1122" w:name="Tc_xSzHW3vUIUKa0RgKABe3hw_3_0"/>
      <w:bookmarkStart w:id="1123" w:name="Tc_SiQyf79_mUuFmdpLIzbh4g_2_6"/>
      <w:bookmarkStart w:id="1124" w:name="Tc_EejqoKW4yU2Gxu27sgBovQ_2_3"/>
      <w:bookmarkStart w:id="1125" w:name="Tc_Bn8jFfD1gkmpEnyH-y1ciw_1_3"/>
      <w:bookmarkStart w:id="1126" w:name="Tc_v6VFZtVptUmN_BTJ6MNUtg_7_11"/>
      <w:bookmarkStart w:id="1127" w:name="Tc_ruxV8sca1kqpf5i8ahWjMQ_7_8"/>
      <w:bookmarkStart w:id="1128" w:name="Tc_zwO782HdHU-BAGX8mtvHwQ_7_5"/>
      <w:bookmarkStart w:id="1129" w:name="Tc_HW65qnJyFEWLzJWrHBTzvA_7_2"/>
      <w:bookmarkStart w:id="1130" w:name="Tc_TOBme6wxaU6kp8EDfFRB8g_7_0"/>
      <w:bookmarkStart w:id="1131" w:name="Tc_LFNDYxnb4EWjfDmELRIiIg_6_0"/>
      <w:bookmarkStart w:id="1132" w:name="Tc_JUPYoqFOsUu8lWsX1skqvA_5_0"/>
      <w:bookmarkStart w:id="1133" w:name="Tc_Wzvyv4U67kOI4cQ3RkhJhQ_4_11"/>
      <w:bookmarkStart w:id="1134" w:name="Tc_fS717eHFr0y_JPSnGBWz7A_4_8"/>
      <w:bookmarkStart w:id="1135" w:name="Tc_Tr-2Fk462UOIo2wHxLnWAA_4_5"/>
      <w:bookmarkStart w:id="1136" w:name="Tc_S_XWLexM8UqzsXkSlxO64A_4_2"/>
      <w:bookmarkStart w:id="1137" w:name="Tc_L8GVTkDwRE-FS7KAZutRfg_4_0"/>
      <w:bookmarkStart w:id="1138" w:name="Tc_krXTRbyTL0G4JaQEcuxDQw_3_0"/>
      <w:bookmarkStart w:id="1139" w:name="Tc_O_-aUYHNg0OnwUZs0_Nqhw_2_11"/>
      <w:bookmarkStart w:id="1140" w:name="Tc_vdpICN7TAEqo7uUArx-kuQ_2_8"/>
      <w:bookmarkStart w:id="1141" w:name="Tc_NtD2VJrwZUeNw1N1WSFKrA_2_5"/>
      <w:bookmarkStart w:id="1142" w:name="Tc_D4dQhKmQXE-p5bS1mHpQqA_2_2"/>
      <w:bookmarkStart w:id="1143" w:name="Tc_G5hVFsCvF0-INgUBv06TEw_1_8"/>
      <w:bookmarkStart w:id="1144" w:name="Tc_ZKgpT25CIkGl0Ly5rg-Cpg_1_2"/>
      <w:bookmarkStart w:id="1145" w:name="_c1d399cf_3ebe_4830_accf_b3af50adaf27"/>
      <w:bookmarkStart w:id="1146" w:name="_19893027_4e96_4434_bf40_b4f83e8a082a"/>
      <w:bookmarkStart w:id="1147" w:name="Tc_a4js4Lf5pU2gg6pAsWPEMg_6_0"/>
      <w:bookmarkStart w:id="1148" w:name="Tc_o2QveoCUOUSiGzUhsxnBHQ_5_0"/>
      <w:bookmarkStart w:id="1149" w:name="Tc_3t03eKWpO02MXe9ISlvH5g_4_6"/>
      <w:bookmarkStart w:id="1150" w:name="Tc_PE8DOG04tky7ZLA_JdZbkA_4_0"/>
      <w:bookmarkStart w:id="1151" w:name="Tc_xSzHW3vUIUKa0RgKABe3hw_3_0"/>
      <w:bookmarkStart w:id="1152" w:name="Tc_SiQyf79_mUuFmdpLIzbh4g_2_6"/>
      <w:bookmarkStart w:id="1153" w:name="Tc_EejqoKW4yU2Gxu27sgBovQ_2_3"/>
      <w:bookmarkStart w:id="1154" w:name="Tc_Bn8jFfD1gkmpEnyH-y1ciw_1_3"/>
      <w:bookmarkStart w:id="1155" w:name="Tc_v6VFZtVptUmN_BTJ6MNUtg_7_11"/>
      <w:bookmarkStart w:id="1156" w:name="Tc_ruxV8sca1kqpf5i8ahWjMQ_7_8"/>
      <w:bookmarkStart w:id="1157" w:name="Tc_zwO782HdHU-BAGX8mtvHwQ_7_5"/>
      <w:bookmarkStart w:id="1158" w:name="Tc_HW65qnJyFEWLzJWrHBTzvA_7_2"/>
      <w:bookmarkStart w:id="1159" w:name="Tc_TOBme6wxaU6kp8EDfFRB8g_7_0"/>
      <w:bookmarkStart w:id="1160" w:name="Tc_LFNDYxnb4EWjfDmELRIiIg_6_0"/>
      <w:bookmarkStart w:id="1161" w:name="Tc_JUPYoqFOsUu8lWsX1skqvA_5_0"/>
      <w:bookmarkStart w:id="1162" w:name="Tc_Wzvyv4U67kOI4cQ3RkhJhQ_4_11"/>
      <w:bookmarkStart w:id="1163" w:name="Tc_fS717eHFr0y_JPSnGBWz7A_4_8"/>
      <w:bookmarkStart w:id="1164" w:name="Tc_Tr-2Fk462UOIo2wHxLnWAA_4_5"/>
      <w:bookmarkStart w:id="1165" w:name="Tc_S_XWLexM8UqzsXkSlxO64A_4_2"/>
      <w:bookmarkStart w:id="1166" w:name="Tc_L8GVTkDwRE-FS7KAZutRfg_4_0"/>
      <w:bookmarkStart w:id="1167" w:name="Tc_krXTRbyTL0G4JaQEcuxDQw_3_0"/>
      <w:bookmarkStart w:id="1168" w:name="Tc_O_-aUYHNg0OnwUZs0_Nqhw_2_11"/>
      <w:bookmarkStart w:id="1169" w:name="Tc_vdpICN7TAEqo7uUArx-kuQ_2_8"/>
      <w:bookmarkStart w:id="1170" w:name="Tc_NtD2VJrwZUeNw1N1WSFKrA_2_5"/>
      <w:bookmarkStart w:id="1171" w:name="Tc_D4dQhKmQXE-p5bS1mHpQqA_2_2"/>
      <w:bookmarkStart w:id="1172" w:name="Tc_G5hVFsCvF0-INgUBv06TEw_1_8"/>
      <w:bookmarkStart w:id="1173" w:name="Tc_ZKgpT25CIkGl0Ly5rg-Cpg_1_2"/>
      <w:bookmarkStart w:id="1174" w:name="_c1d399cf_3ebe_4830_accf_b3af50adaf27"/>
      <w:bookmarkStart w:id="1175" w:name="_19893027_4e96_4434_bf40_b4f83e8a082a"/>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p>
    <w:tbl>
      <w:tblPr>
        <w:tblW w:w="2147" w:type="dxa"/>
        <w:jc w:val="left"/>
        <w:tblInd w:w="0" w:type="dxa"/>
        <w:tblLayout w:type="fixed"/>
        <w:tblCellMar>
          <w:top w:w="0" w:type="dxa"/>
          <w:left w:w="0" w:type="dxa"/>
          <w:bottom w:w="0" w:type="dxa"/>
          <w:right w:w="0" w:type="dxa"/>
        </w:tblCellMar>
      </w:tblPr>
      <w:tblGrid>
        <w:gridCol w:w="286"/>
        <w:gridCol w:w="1861"/>
      </w:tblGrid>
      <w:tr>
        <w:trPr/>
        <w:tc>
          <w:tcPr>
            <w:tcW w:w="286" w:type="dxa"/>
            <w:tcBorders/>
            <w:vAlign w:val="center"/>
          </w:tcPr>
          <w:p>
            <w:pPr>
              <w:pStyle w:val="TableContents"/>
              <w:bidi w:val="0"/>
              <w:spacing w:before="120" w:after="240"/>
              <w:jc w:val="left"/>
              <w:rPr>
                <w:rFonts w:ascii="Arial;Helvetica;sans-serif" w:hAnsi="Arial;Helvetica;sans-serif"/>
                <w:sz w:val="20"/>
              </w:rPr>
            </w:pPr>
            <w:r>
              <w:rPr>
                <w:rFonts w:ascii="Arial;Helvetica;sans-serif" w:hAnsi="Arial;Helvetica;sans-serif"/>
                <w:sz w:val="20"/>
              </w:rPr>
              <w:t>8.</w:t>
            </w:r>
          </w:p>
        </w:tc>
        <w:tc>
          <w:tcPr>
            <w:tcW w:w="1861" w:type="dxa"/>
            <w:tcBorders/>
            <w:vAlign w:val="center"/>
          </w:tcPr>
          <w:p>
            <w:pPr>
              <w:pStyle w:val="TableContents"/>
              <w:bidi w:val="0"/>
              <w:spacing w:before="120" w:after="240"/>
              <w:jc w:val="left"/>
              <w:rPr>
                <w:rFonts w:ascii="Arial;Helvetica;sans-serif" w:hAnsi="Arial;Helvetica;sans-serif"/>
                <w:sz w:val="20"/>
              </w:rPr>
            </w:pPr>
            <w:r>
              <w:rPr>
                <w:rFonts w:ascii="Arial;Helvetica;sans-serif" w:hAnsi="Arial;Helvetica;sans-serif"/>
                <w:sz w:val="20"/>
              </w:rPr>
              <w:t>Net Loss Per Share</w:t>
            </w:r>
          </w:p>
        </w:tc>
      </w:tr>
    </w:tbl>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Net Loss Per Share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Basic and diluted net loss per share was calculated as follows (in thousands, except share and per share amounts):</w:t>
      </w:r>
    </w:p>
    <w:tbl>
      <w:tblPr>
        <w:tblW w:w="10205" w:type="dxa"/>
        <w:jc w:val="left"/>
        <w:tblInd w:w="0" w:type="dxa"/>
        <w:tblLayout w:type="fixed"/>
        <w:tblCellMar>
          <w:top w:w="0" w:type="dxa"/>
          <w:left w:w="0" w:type="dxa"/>
          <w:bottom w:w="0" w:type="dxa"/>
          <w:right w:w="0" w:type="dxa"/>
        </w:tblCellMar>
      </w:tblPr>
      <w:tblGrid>
        <w:gridCol w:w="3748"/>
        <w:gridCol w:w="326"/>
        <w:gridCol w:w="211"/>
        <w:gridCol w:w="1066"/>
        <w:gridCol w:w="326"/>
        <w:gridCol w:w="211"/>
        <w:gridCol w:w="1066"/>
        <w:gridCol w:w="326"/>
        <w:gridCol w:w="211"/>
        <w:gridCol w:w="1066"/>
        <w:gridCol w:w="326"/>
        <w:gridCol w:w="211"/>
        <w:gridCol w:w="1111"/>
      </w:tblGrid>
      <w:tr>
        <w:trPr/>
        <w:tc>
          <w:tcPr>
            <w:tcW w:w="3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79980" cy="175260"/>
                      <wp:effectExtent l="0" t="0" r="0" b="0"/>
                      <wp:wrapNone/>
                      <wp:docPr id="163" name="Frame163"/>
                      <a:graphic xmlns:a="http://schemas.openxmlformats.org/drawingml/2006/main">
                        <a:graphicData uri="http://schemas.microsoft.com/office/word/2010/wordprocessingShape">
                          <wps:wsp>
                            <wps:cNvSpPr txBox="1"/>
                            <wps:spPr>
                              <a:xfrm>
                                <a:off x="0" y="0"/>
                                <a:ext cx="2379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76910" cy="175260"/>
                      <wp:effectExtent l="0" t="0" r="0" b="0"/>
                      <wp:wrapNone/>
                      <wp:docPr id="166" name="Frame16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76910" cy="175260"/>
                      <wp:effectExtent l="0" t="0" r="0" b="0"/>
                      <wp:wrapNone/>
                      <wp:docPr id="169" name="Frame16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76910" cy="175260"/>
                      <wp:effectExtent l="0" t="0" r="0" b="0"/>
                      <wp:wrapNone/>
                      <wp:docPr id="172" name="Frame17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05485" cy="175260"/>
                      <wp:effectExtent l="0" t="0" r="0" b="0"/>
                      <wp:wrapNone/>
                      <wp:docPr id="175" name="Frame17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48" w:type="dxa"/>
            <w:tcBorders>
              <w:top w:val="single" w:sz="2" w:space="0" w:color="000000"/>
            </w:tcBorders>
            <w:tcMar>
              <w:top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color w:val="231F20"/>
              </w:rPr>
            </w:pPr>
            <w:r>
              <w:rPr>
                <w:color w:val="231F20"/>
              </w:rPr>
              <w:t>​</w:t>
            </w:r>
          </w:p>
        </w:tc>
        <w:tc>
          <w:tcPr>
            <w:tcW w:w="2880"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Three Months Ended June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color w:val="231F20"/>
              </w:rPr>
            </w:pPr>
            <w:r>
              <w:rPr>
                <w:color w:val="231F20"/>
              </w:rPr>
              <w:t>​</w:t>
            </w:r>
          </w:p>
        </w:tc>
        <w:tc>
          <w:tcPr>
            <w:tcW w:w="2925"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Six Months Ended June 30, </w:t>
            </w:r>
          </w:p>
        </w:tc>
      </w:tr>
      <w:tr>
        <w:trPr/>
        <w:tc>
          <w:tcPr>
            <w:tcW w:w="3748"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3748"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Numerator:</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111"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3748"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Net loss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(20,095)</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(32,858)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(48,381)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1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(55,888)</w:t>
            </w:r>
          </w:p>
        </w:tc>
      </w:tr>
      <w:tr>
        <w:trPr/>
        <w:tc>
          <w:tcPr>
            <w:tcW w:w="3748"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3748"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Weighted average shares used to compute 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40,720,294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39,918,219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40,470,041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39,876,650</w:t>
            </w:r>
          </w:p>
        </w:tc>
      </w:tr>
      <w:tr>
        <w:trPr/>
        <w:tc>
          <w:tcPr>
            <w:tcW w:w="37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Net loss per share, basic and diluted</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(0.49)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(0.82)</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(1.20)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(1.40)</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potentially dilutive shares that were excluded from the calculation of diluted net loss per share because their effect would have been anti-dilutive for the periods presented are as follows:</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6196"/>
        <w:gridCol w:w="146"/>
        <w:gridCol w:w="109"/>
        <w:gridCol w:w="1066"/>
        <w:gridCol w:w="146"/>
        <w:gridCol w:w="109"/>
        <w:gridCol w:w="1066"/>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934460" cy="175260"/>
                      <wp:effectExtent l="0" t="0" r="0" b="0"/>
                      <wp:wrapNone/>
                      <wp:docPr id="176" name="Frame176"/>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2710" cy="175260"/>
                      <wp:effectExtent l="0" t="0" r="0" b="0"/>
                      <wp:wrapNone/>
                      <wp:docPr id="177"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76910" cy="175260"/>
                      <wp:effectExtent l="0" t="0" r="0" b="0"/>
                      <wp:wrapNone/>
                      <wp:docPr id="179" name="Frame17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2710" cy="175260"/>
                      <wp:effectExtent l="0" t="0" r="0" b="0"/>
                      <wp:wrapNone/>
                      <wp:docPr id="180" name="Frame1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76910" cy="175260"/>
                      <wp:effectExtent l="0" t="0" r="0" b="0"/>
                      <wp:wrapNone/>
                      <wp:docPr id="182" name="Frame18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9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387"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6196" w:type="dxa"/>
            <w:tcBorders/>
            <w:vAlign w:val="center"/>
          </w:tcPr>
          <w:p>
            <w:pPr>
              <w:pStyle w:val="TableContents"/>
              <w:bidi w:val="0"/>
              <w:spacing w:before="0" w:after="1"/>
              <w:ind w:left="0" w:right="0" w:hanging="0"/>
              <w:jc w:val="left"/>
              <w:rPr>
                <w:color w:val="231F20"/>
              </w:rPr>
            </w:pPr>
            <w:r>
              <w:rPr>
                <w:color w:val="231F20"/>
              </w:rPr>
              <w:t>​</w:t>
            </w:r>
          </w:p>
        </w:tc>
        <w:tc>
          <w:tcPr>
            <w:tcW w:w="14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619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awards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197,274</w:t>
            </w:r>
          </w:p>
        </w:tc>
        <w:tc>
          <w:tcPr>
            <w:tcW w:w="1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394,548</w:t>
            </w:r>
          </w:p>
        </w:tc>
      </w:tr>
      <w:tr>
        <w:trPr/>
        <w:tc>
          <w:tcPr>
            <w:tcW w:w="619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performance-based restricted stock unit awards outstanding</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710,000</w:t>
            </w:r>
          </w:p>
        </w:tc>
        <w:tc>
          <w:tcPr>
            <w:tcW w:w="14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066" w:type="dxa"/>
            <w:tcBorders/>
            <w:vAlign w:val="center"/>
          </w:tcPr>
          <w:p>
            <w:pPr>
              <w:pStyle w:val="TableContents"/>
              <w:bidi w:val="0"/>
              <w:spacing w:before="0" w:after="1"/>
              <w:ind w:left="0" w:right="0" w:hanging="0"/>
              <w:jc w:val="right"/>
              <w:rPr>
                <w:color w:val="231F20"/>
              </w:rPr>
            </w:pPr>
            <w:r>
              <w:rPr>
                <w:color w:val="231F20"/>
              </w:rPr>
              <w:t>—</w:t>
            </w:r>
          </w:p>
        </w:tc>
      </w:tr>
      <w:tr>
        <w:trPr/>
        <w:tc>
          <w:tcPr>
            <w:tcW w:w="619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Options to purchase common stock</w:t>
            </w:r>
          </w:p>
        </w:tc>
        <w:tc>
          <w:tcPr>
            <w:tcW w:w="1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9,276,718</w:t>
            </w:r>
          </w:p>
        </w:tc>
        <w:tc>
          <w:tcPr>
            <w:tcW w:w="1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8,425,053</w:t>
            </w:r>
          </w:p>
        </w:tc>
      </w:tr>
      <w:tr>
        <w:trPr/>
        <w:tc>
          <w:tcPr>
            <w:tcW w:w="619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Employee stock purchase plan contingently issuable</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22,749</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70,477</w:t>
            </w:r>
          </w:p>
        </w:tc>
      </w:tr>
      <w:tr>
        <w:trPr/>
        <w:tc>
          <w:tcPr>
            <w:tcW w:w="6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10,206,741</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8,890,078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Included in the potentially dilutive options to purchase common stock for the three and six months ended June 30, 2023 and June 30, 2022 are 4,660 unvested stock options that were early exercised in September 2020 (see Note 7, “Stock-Based Compensation”). The Company determined the early exercises to be non-substantive as the shares were subject to repurchase rights. Accordingly, the Company has excluded these shares from the calculation of basic and diluted net loss per share for the three and six months ended June 30, 2023 and 2022.</w:t>
      </w:r>
    </w:p>
    <w:tbl>
      <w:tblPr>
        <w:tblW w:w="1067" w:type="dxa"/>
        <w:jc w:val="left"/>
        <w:tblInd w:w="0" w:type="dxa"/>
        <w:tblLayout w:type="fixed"/>
        <w:tblCellMar>
          <w:top w:w="0" w:type="dxa"/>
          <w:left w:w="0" w:type="dxa"/>
          <w:bottom w:w="0" w:type="dxa"/>
          <w:right w:w="0" w:type="dxa"/>
        </w:tblCellMar>
      </w:tblPr>
      <w:tblGrid>
        <w:gridCol w:w="286"/>
        <w:gridCol w:w="781"/>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9.</w:t>
            </w:r>
          </w:p>
        </w:tc>
        <w:tc>
          <w:tcPr>
            <w:tcW w:w="78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Leases</w:t>
            </w:r>
          </w:p>
        </w:tc>
      </w:tr>
    </w:tbl>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The Company leases certain of its facilities under non-cancellable operating leases expiring at various dates through 2026.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June 1, 2013, the Company entered into a management services agreement with MandalMed, Inc. (the “MandalMed Services Agreement”) to have access to and use a portion of approximately 5,762 square feet of space for the use of laboratory benches, lab equipment, office space, and administrative and facilities services.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176" w:name="Tc_MbVeDc5hX0SiRtt0KfnC3Q_10_2"/>
      <w:bookmarkStart w:id="1177" w:name="Tc_th01L6QumEeAY2SEIazKYA_10_0"/>
      <w:bookmarkStart w:id="1178" w:name="Tc_fRvMhls88kW4UM7g2VhNLg_9_0"/>
      <w:bookmarkStart w:id="1179" w:name="Tc_WiHtcg1F5k6gSBez8dOmnw_8_0"/>
      <w:bookmarkStart w:id="1180" w:name="Tc_KdfVHQ0wfUaSyxUESwD6fA_7_0"/>
      <w:bookmarkStart w:id="1181" w:name="Tc_RXpTVtcuBkiCuxoqa0_bdw_6_0"/>
      <w:bookmarkStart w:id="1182" w:name="Tc_5l3GLmRDkkSmXxlVRk3Z2Q_5_0"/>
      <w:bookmarkStart w:id="1183" w:name="Tc_EbVXReGmUUGL0VxNSyS4Kw_4_0"/>
      <w:bookmarkStart w:id="1184" w:name="Tc_D2-RL3BjDkyutAsBea657g_3_0"/>
      <w:bookmarkStart w:id="1185" w:name="Tc_aF_45mtwe0ejTRbZY4c7MQ_2_2"/>
      <w:bookmarkStart w:id="1186" w:name="Tc_XYWgr-VBekuWvYZ12vixkg_2_0"/>
      <w:bookmarkStart w:id="1187" w:name="Tc_KDjD84KtxkGCynKFVxsEUQ_1_0"/>
      <w:bookmarkStart w:id="1188" w:name="Tc_kKkh8FFcwEewKNf1ixfaVA_4_5"/>
      <w:bookmarkStart w:id="1189" w:name="Tc_bsf5dRGowU2RZy2pp1rbQw_4_2"/>
      <w:bookmarkStart w:id="1190" w:name="Tc_LN-ep9Vb5UGrqA5A86sGug_4_0"/>
      <w:bookmarkStart w:id="1191" w:name="Tc_o4CuqlhRsEK6DLwZPBe5zg_3_0"/>
      <w:bookmarkStart w:id="1192" w:name="Tc_Z33C-Isj2UeNUtImA7rALQ_2_6"/>
      <w:bookmarkStart w:id="1193" w:name="Tc_9O4IzWv90U2MbVggVnISmg_2_3"/>
      <w:bookmarkStart w:id="1194" w:name="Tc_EpCF67L4wkiWqGpvOtGWkQ_1_6"/>
      <w:bookmarkStart w:id="1195" w:name="Tc_s3ZAUfy8CkK3L6HIi3tH1w_1_3"/>
      <w:bookmarkStart w:id="1196" w:name="Tc_SIlPjxfGqUyOR_IXRRwoPQ_6_5"/>
      <w:bookmarkStart w:id="1197" w:name="Tc_a71rF5MfK0ySN_VjvZaq2g_6_2"/>
      <w:bookmarkStart w:id="1198" w:name="Tc_DVvo5dSWFEmFXKZ7PH6rjg_6_0"/>
      <w:bookmarkStart w:id="1199" w:name="Tc_SntIHpREdUWGrijJSjTDdA_5_0"/>
      <w:bookmarkStart w:id="1200" w:name="Tc_-FyjaK-KIEyLQvmIemH62g_4_0"/>
      <w:bookmarkStart w:id="1201" w:name="Tc_gwtGGlY8s0uBuUIjBz_gUQ_3_5"/>
      <w:bookmarkStart w:id="1202" w:name="Tc_NqOiDKzO10a7sBIlM8Emxg_3_2"/>
      <w:bookmarkStart w:id="1203" w:name="Tc_-3jV5kPozE6zp9j2GnQzZg_3_0"/>
      <w:bookmarkStart w:id="1204" w:name="Tc_mvysdVgzX0SYiB-JyptPtQ_2_6"/>
      <w:bookmarkStart w:id="1205" w:name="Tc_Jk0PVxDoV0OsJOiPwAxyXg_2_3"/>
      <w:bookmarkStart w:id="1206" w:name="Tc_JvtzV2w4A0ek_vSkqOjsyg_1_6"/>
      <w:bookmarkStart w:id="1207" w:name="Tc_2F16OeQvT0CCOQB_T5KeBg_1_3"/>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Pr>
          <w:rFonts w:ascii="Arial;Helvetica;sans-serif" w:hAnsi="Arial;Helvetica;sans-serif"/>
          <w:sz w:val="20"/>
        </w:rPr>
        <w:t>The Company subsequently entered into six amendments to extend the agreement term to November 2023. As part of the sixth amendment, the Company gained access to use additional space of approximately 2,130 square feet for a three year period commencing on December 1, 2020 and ending on November 30, 2023. According to the terms of the MandalMed Services Agreement, the Company paid a security deposit of less than $0.1 million and is required to pay monthly rent and common area charges.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w:t>
      </w:r>
      <w:r>
        <w:rPr>
          <w:rFonts w:ascii="Arial;Helvetica;sans-serif" w:hAnsi="Arial;Helvetica;sans-serif"/>
          <w:b w:val="false"/>
          <w:i w:val="false"/>
          <w:caps w:val="false"/>
          <w:smallCaps w:val="false"/>
          <w:sz w:val="20"/>
        </w:rPr>
        <w:t>August 31, 2024</w:t>
      </w:r>
      <w:r>
        <w:rPr>
          <w:rFonts w:ascii="Arial;Helvetica;sans-serif" w:hAnsi="Arial;Helvetica;sans-serif"/>
          <w:sz w:val="20"/>
        </w:rPr>
        <w:t>. The Company decided not to exercise the one-year renewal option at the end of the lease term. According to the terms of the Office Space Lease Agreement, the Company paid a $0.1 million security deposit and is required to pay monthly rent and common area charges. The extension of the lease term was accounted for as a modification under Topic 842 and the Company recorded additional ROU asset and lease liability of $0.3 million and $0.3 million, respectively, in the condensed consolidated financial statements.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table summarizes total lease expense during the three and six months ended June 30, 2023 (in thousands):</w:t>
      </w:r>
    </w:p>
    <w:p>
      <w:pPr>
        <w:pStyle w:val="TextBody"/>
        <w:bidi w:val="0"/>
        <w:spacing w:before="0" w:after="0"/>
        <w:ind w:left="0" w:right="0" w:hanging="0"/>
        <w:jc w:val="left"/>
        <w:rPr/>
      </w:pPr>
      <w:r>
        <w:rPr/>
        <w:t>​</w:t>
      </w:r>
    </w:p>
    <w:tbl>
      <w:tblPr>
        <w:tblW w:w="9095" w:type="dxa"/>
        <w:jc w:val="left"/>
        <w:tblInd w:w="0" w:type="dxa"/>
        <w:tblLayout w:type="fixed"/>
        <w:tblCellMar>
          <w:top w:w="0" w:type="dxa"/>
          <w:left w:w="0" w:type="dxa"/>
          <w:bottom w:w="0" w:type="dxa"/>
          <w:right w:w="0" w:type="dxa"/>
        </w:tblCellMar>
      </w:tblPr>
      <w:tblGrid>
        <w:gridCol w:w="3331"/>
        <w:gridCol w:w="109"/>
        <w:gridCol w:w="211"/>
        <w:gridCol w:w="2506"/>
        <w:gridCol w:w="386"/>
        <w:gridCol w:w="211"/>
        <w:gridCol w:w="234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15185" cy="175260"/>
                      <wp:effectExtent l="0" t="0" r="0" b="0"/>
                      <wp:wrapNone/>
                      <wp:docPr id="183" name="Frame183"/>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591310" cy="175260"/>
                      <wp:effectExtent l="0" t="0" r="0" b="0"/>
                      <wp:wrapNone/>
                      <wp:docPr id="186" name="Frame18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5110" cy="175260"/>
                      <wp:effectExtent l="0" t="0" r="0" b="0"/>
                      <wp:wrapNone/>
                      <wp:docPr id="187" name="Frame18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86535" cy="175260"/>
                      <wp:effectExtent l="0" t="0" r="0" b="0"/>
                      <wp:wrapNone/>
                      <wp:docPr id="189" name="Frame189"/>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506" w:type="dxa"/>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Three Months Ended June 30, </w:t>
            </w:r>
          </w:p>
        </w:tc>
        <w:tc>
          <w:tcPr>
            <w:tcW w:w="38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2341"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Six Months Ended June 30, </w:t>
            </w:r>
          </w:p>
        </w:tc>
      </w:tr>
      <w:tr>
        <w:trPr/>
        <w:tc>
          <w:tcPr>
            <w:tcW w:w="3331"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250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8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234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3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Straight-line operating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5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326</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34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w:t>
            </w:r>
          </w:p>
        </w:tc>
      </w:tr>
      <w:tr>
        <w:trPr/>
        <w:tc>
          <w:tcPr>
            <w:tcW w:w="3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25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c>
          <w:tcPr>
            <w:tcW w:w="38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 </w:t>
            </w:r>
          </w:p>
        </w:tc>
        <w:tc>
          <w:tcPr>
            <w:tcW w:w="234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w:t>
            </w:r>
          </w:p>
        </w:tc>
      </w:tr>
      <w:tr>
        <w:trPr/>
        <w:tc>
          <w:tcPr>
            <w:tcW w:w="3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2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23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r>
      <w:tr>
        <w:trPr/>
        <w:tc>
          <w:tcPr>
            <w:tcW w:w="33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expense</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5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34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779</w:t>
            </w:r>
          </w:p>
        </w:tc>
      </w:tr>
    </w:tbl>
    <w:p>
      <w:pPr>
        <w:pStyle w:val="TextBody"/>
        <w:bidi w:val="0"/>
        <w:spacing w:before="0" w:after="0"/>
        <w:ind w:left="0" w:right="0" w:hanging="0"/>
        <w:jc w:val="left"/>
        <w:rPr/>
      </w:pPr>
      <w:r>
        <w:rPr/>
        <w:t>​</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The following table summarizes supplemental cash flow information during the three and six months ended June 30, 2023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55"/>
        <w:gridCol w:w="109"/>
        <w:gridCol w:w="211"/>
        <w:gridCol w:w="2273"/>
        <w:gridCol w:w="109"/>
        <w:gridCol w:w="211"/>
        <w:gridCol w:w="2137"/>
      </w:tblGrid>
      <w:tr>
        <w:trPr/>
        <w:tc>
          <w:tcPr>
            <w:tcW w:w="5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73425" cy="175260"/>
                      <wp:effectExtent l="0" t="0" r="0" b="0"/>
                      <wp:wrapNone/>
                      <wp:docPr id="190" name="Frame190"/>
                      <a:graphic xmlns:a="http://schemas.openxmlformats.org/drawingml/2006/main">
                        <a:graphicData uri="http://schemas.microsoft.com/office/word/2010/wordprocessingShape">
                          <wps:wsp>
                            <wps:cNvSpPr txBox="1"/>
                            <wps:spPr>
                              <a:xfrm>
                                <a:off x="0" y="0"/>
                                <a:ext cx="327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43355" cy="175260"/>
                      <wp:effectExtent l="0" t="0" r="0" b="0"/>
                      <wp:wrapNone/>
                      <wp:docPr id="193" name="Frame193"/>
                      <a:graphic xmlns:a="http://schemas.openxmlformats.org/drawingml/2006/main">
                        <a:graphicData uri="http://schemas.microsoft.com/office/word/2010/wordprocessingShape">
                          <wps:wsp>
                            <wps:cNvSpPr txBox="1"/>
                            <wps:spPr>
                              <a:xfrm>
                                <a:off x="0" y="0"/>
                                <a:ext cx="144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56995" cy="175260"/>
                      <wp:effectExtent l="0" t="0" r="0" b="0"/>
                      <wp:wrapNone/>
                      <wp:docPr id="196" name="Frame196"/>
                      <a:graphic xmlns:a="http://schemas.openxmlformats.org/drawingml/2006/main">
                        <a:graphicData uri="http://schemas.microsoft.com/office/word/2010/wordprocessingShape">
                          <wps:wsp>
                            <wps:cNvSpPr txBox="1"/>
                            <wps:spPr>
                              <a:xfrm>
                                <a:off x="0" y="0"/>
                                <a:ext cx="1356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55"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273" w:type="dxa"/>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Three Months Ended June 30, </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2137"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Six Months Ended June 30, </w:t>
            </w:r>
          </w:p>
        </w:tc>
      </w:tr>
      <w:tr>
        <w:trPr/>
        <w:tc>
          <w:tcPr>
            <w:tcW w:w="5155"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227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213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515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measurement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2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37" w:type="dxa"/>
            <w:tcBorders/>
            <w:shd w:fill="CCEEFF" w:val="clear"/>
            <w:vAlign w:val="center"/>
          </w:tcPr>
          <w:p>
            <w:pPr>
              <w:pStyle w:val="TableContents"/>
              <w:bidi w:val="0"/>
              <w:spacing w:before="0" w:after="1"/>
              <w:ind w:left="0" w:right="0" w:hanging="0"/>
              <w:jc w:val="center"/>
              <w:rPr>
                <w:color w:val="231F20"/>
              </w:rPr>
            </w:pPr>
            <w:r>
              <w:rPr>
                <w:color w:val="231F20"/>
              </w:rPr>
              <w:t>​</w:t>
            </w:r>
          </w:p>
        </w:tc>
      </w:tr>
      <w:tr>
        <w:trPr/>
        <w:tc>
          <w:tcPr>
            <w:tcW w:w="515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27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37"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653</w:t>
            </w:r>
          </w:p>
        </w:tc>
      </w:tr>
    </w:tbl>
    <w:p>
      <w:pPr>
        <w:pStyle w:val="TextBody"/>
        <w:bidi w:val="0"/>
        <w:spacing w:before="0" w:after="0"/>
        <w:ind w:left="0" w:right="0" w:hanging="0"/>
        <w:jc w:val="left"/>
        <w:rPr/>
      </w:pPr>
      <w:r>
        <w:rPr/>
        <w:t>​</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The following table summarizes the Company’s future minimum lease payments and reconciliation of lease liabilities as of June 30, 2023 (in thousands):</w:t>
      </w:r>
    </w:p>
    <w:p>
      <w:pPr>
        <w:pStyle w:val="TextBody"/>
        <w:bidi w:val="0"/>
        <w:spacing w:before="0" w:after="0"/>
        <w:ind w:left="0" w:right="0" w:hanging="0"/>
        <w:jc w:val="left"/>
        <w:rPr/>
      </w:pPr>
      <w:r>
        <w:rPr/>
        <w:t>​</w:t>
      </w:r>
    </w:p>
    <w:tbl>
      <w:tblPr>
        <w:tblW w:w="4694" w:type="dxa"/>
        <w:jc w:val="left"/>
        <w:tblInd w:w="0" w:type="dxa"/>
        <w:tblLayout w:type="fixed"/>
        <w:tblCellMar>
          <w:top w:w="0" w:type="dxa"/>
          <w:left w:w="0" w:type="dxa"/>
          <w:bottom w:w="0" w:type="dxa"/>
          <w:right w:w="0" w:type="dxa"/>
        </w:tblCellMar>
      </w:tblPr>
      <w:tblGrid>
        <w:gridCol w:w="3406"/>
        <w:gridCol w:w="386"/>
        <w:gridCol w:w="211"/>
        <w:gridCol w:w="69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62810" cy="175260"/>
                      <wp:effectExtent l="0" t="0" r="0" b="0"/>
                      <wp:wrapNone/>
                      <wp:docPr id="197" name="Frame19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45110" cy="175260"/>
                      <wp:effectExtent l="0" t="0" r="0" b="0"/>
                      <wp:wrapNone/>
                      <wp:docPr id="198" name="Frame1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Years Ending December 31,</w:t>
            </w:r>
          </w:p>
        </w:tc>
        <w:tc>
          <w:tcPr>
            <w:tcW w:w="3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color w:val="231F20"/>
              </w:rPr>
            </w:pPr>
            <w:r>
              <w:rPr>
                <w:color w:val="231F20"/>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color w:val="231F20"/>
              </w:rPr>
            </w:pPr>
            <w:r>
              <w:rPr>
                <w:color w:val="231F20"/>
              </w:rPr>
              <w:t>​</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(from July 2023)</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531</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822</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future minimum lease payments</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2,221</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Interest</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liabilities at present value</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2,008</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liabilities, current</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798</w:t>
            </w:r>
          </w:p>
        </w:tc>
      </w:tr>
      <w:tr>
        <w:trPr/>
        <w:tc>
          <w:tcPr>
            <w:tcW w:w="3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liabilities, non-current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1,210</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08" w:name="Tc_GJQdI2lnn0OmlBzOXJVlDw_4_0"/>
      <w:bookmarkStart w:id="1209" w:name="Tc_qHZMfhZoq0eOLpCQZlgAYQ_3_0"/>
      <w:bookmarkStart w:id="1210" w:name="Tc_HBdRBmjO9kyJh6SszKB5TQ_2_3"/>
      <w:bookmarkStart w:id="1211" w:name="Tc_QivQ7z-pTU2r7Qq4r5as-g_1_3"/>
      <w:bookmarkEnd w:id="1208"/>
      <w:bookmarkEnd w:id="1209"/>
      <w:bookmarkEnd w:id="1210"/>
      <w:bookmarkEnd w:id="1211"/>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table summarizes lease term and discount rate as of June 30, 2023:</w:t>
      </w:r>
    </w:p>
    <w:p>
      <w:pPr>
        <w:pStyle w:val="TextBody"/>
        <w:bidi w:val="0"/>
        <w:spacing w:before="0" w:after="0"/>
        <w:ind w:left="0" w:right="0" w:hanging="0"/>
        <w:jc w:val="left"/>
        <w:rPr/>
      </w:pPr>
      <w:r>
        <w:rPr/>
        <w:t>​</w:t>
      </w:r>
    </w:p>
    <w:tbl>
      <w:tblPr>
        <w:tblW w:w="5522" w:type="dxa"/>
        <w:jc w:val="left"/>
        <w:tblInd w:w="0" w:type="dxa"/>
        <w:tblLayout w:type="fixed"/>
        <w:tblCellMar>
          <w:top w:w="0" w:type="dxa"/>
          <w:left w:w="0" w:type="dxa"/>
          <w:bottom w:w="0" w:type="dxa"/>
          <w:right w:w="0" w:type="dxa"/>
        </w:tblCellMar>
      </w:tblPr>
      <w:tblGrid>
        <w:gridCol w:w="4216"/>
        <w:gridCol w:w="386"/>
        <w:gridCol w:w="109"/>
        <w:gridCol w:w="81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77160" cy="175260"/>
                      <wp:effectExtent l="0" t="0" r="0" b="0"/>
                      <wp:wrapNone/>
                      <wp:docPr id="201" name="Frame201"/>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5110" cy="175260"/>
                      <wp:effectExtent l="0" t="0" r="0" b="0"/>
                      <wp:wrapNone/>
                      <wp:docPr id="202" name="Frame20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4985" cy="175260"/>
                      <wp:effectExtent l="0" t="0" r="0" b="0"/>
                      <wp:wrapNone/>
                      <wp:docPr id="204" name="Frame20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8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w:t>
            </w:r>
          </w:p>
        </w:tc>
      </w:tr>
      <w:tr>
        <w:trPr/>
        <w:tc>
          <w:tcPr>
            <w:tcW w:w="4216" w:type="dxa"/>
            <w:tcBorders/>
            <w:vAlign w:val="center"/>
          </w:tcPr>
          <w:p>
            <w:pPr>
              <w:pStyle w:val="TableContents"/>
              <w:bidi w:val="0"/>
              <w:spacing w:before="0" w:after="1"/>
              <w:ind w:left="0" w:right="0" w:hanging="0"/>
              <w:jc w:val="left"/>
              <w:rPr>
                <w:color w:val="231F20"/>
              </w:rPr>
            </w:pPr>
            <w:r>
              <w:rPr>
                <w:color w:val="231F20"/>
              </w:rPr>
              <w:t>​</w:t>
            </w:r>
          </w:p>
        </w:tc>
        <w:tc>
          <w:tcPr>
            <w:tcW w:w="38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remaining lease term (years)</w:t>
            </w:r>
          </w:p>
        </w:tc>
        <w:tc>
          <w:tcPr>
            <w:tcW w:w="38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w:t>
            </w:r>
          </w:p>
        </w:tc>
      </w:tr>
      <w:tr>
        <w:trPr/>
        <w:tc>
          <w:tcPr>
            <w:tcW w:w="421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discount rate</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8.69%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3422" w:type="dxa"/>
        <w:jc w:val="left"/>
        <w:tblInd w:w="0" w:type="dxa"/>
        <w:tblLayout w:type="fixed"/>
        <w:tblCellMar>
          <w:top w:w="0" w:type="dxa"/>
          <w:left w:w="0" w:type="dxa"/>
          <w:bottom w:w="0" w:type="dxa"/>
          <w:right w:w="0" w:type="dxa"/>
        </w:tblCellMar>
      </w:tblPr>
      <w:tblGrid>
        <w:gridCol w:w="391"/>
        <w:gridCol w:w="3031"/>
      </w:tblGrid>
      <w:tr>
        <w:trPr/>
        <w:tc>
          <w:tcPr>
            <w:tcW w:w="39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10.</w:t>
            </w:r>
          </w:p>
        </w:tc>
        <w:tc>
          <w:tcPr>
            <w:tcW w:w="30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Commitments and Contingencies</w:t>
            </w:r>
          </w:p>
        </w:tc>
      </w:tr>
    </w:tbl>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 xml:space="preserve">Clinical Collaboration and Supply Agreement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July 22, 2020, the Company entered into a non-exclusive clinical collaboration and supply agreement with Novartis Institutes for BioMedical Research, Inc. (“Novartis”) and on January 13, 2022, the Company entered into the amended and restated clinical collaboration and supply agreement with Novartis (as amended and restated,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Symbol" w:hAnsi="Symbol"/>
          <w:sz w:val="20"/>
        </w:rPr>
        <w:t>a</w:t>
      </w:r>
      <w:r>
        <w:rPr>
          <w:rFonts w:ascii="Arial;Helvetica;sans-serif" w:hAnsi="Arial;Helvetica;sans-serif"/>
          <w:sz w:val="20"/>
        </w:rPr>
        <w:t>”) Inhibitor Piqray® (alpelisib) (collectively the “Novartis Study Drugs”) as part of the Company’s planned Phase 1b clinical study of palazestrant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For the three and six months ended June 30, 2023, costs reimbursable from Novartis were $0.8 million and $1.4 million, respectively. As of June 30, 2023, the receivable due from Novartis was $1.8 million, which is recorded under prepaid expenses and other current assets in the accompanying condensed consolidated balance sheets.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Clinical Trial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and six months ended June 30, 2023, and 2022.</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License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$8.0 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June 30, 2023, it was determined that it is not probable to achieve any of the milestone target, and therefore, the Company recorded zero expense related to the milestone for the three and six months ended June 30, 2023.</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Management Services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2023, the Company did not have material contractual commitments with respect to these arrangements.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Contingencies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Indemnification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2023, and December 31, 2022, the Company had not incurred any material costs as a result of such indemnifications.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12" w:name="Item2ManagementsDiscussionandAnalysisofF"/>
      <w:bookmarkStart w:id="1213" w:name="_2eda1e9c_efcb_4b7a_8945_946b4b088492"/>
      <w:bookmarkEnd w:id="1212"/>
      <w:bookmarkEnd w:id="1213"/>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2022, filed with the U.S. Securities and Exchange Commission, or the SEC, on March 9, 2023, or our Annual Report on Form 10-K.</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palazestrant (OP-1250), is a novel oral therapy with combined activity as both a complete ER antagonist, or CERAN, and a selective ER degrader, or SERD, which we believe will drive deeper, more durable responses than existing therapies. Palazestrant, both as a monotherapy and in combination with inhibitors of cyclin-dependent kinase 4 and 6, or CDK4/6, demonstrated robust anti-tumor activity in a range of preclinical xenograft models of breast cancer, including in ESR1 and PIK3CA mutations and central nervous system, or CNS, metastasis. In August 2020, we initiated an ongoing Phase 1/2 monotherapy dose escalation and expansion study evaluating palazestrant for the treatment of recurrent, locally advanced or metastatic ER-positive, or ER+, human epidermal growth factor receptor 2-negative, or HER2-, breast cancer. We reported initial data from the Phase 1a dose escalation portion of this study in November 2021, which provided proof-of-concept for palazestrant as a monotherapy treatment for ER+/HER2- breast cancer. We reported additional monotherapy data from the Phase 1b dose expansion portion of this study in October 2022 and initiated the Phase 2 portion of the study. We plan to present Phase 2 clinical data for palazestrant as a monotherapy at the European Society for Medical Oncology Congress 2023 in October 2023. We expect to initiate our proposed Phase 3 monotherapy clinical trial for the treatment of advanced or metastatic breast cancer (OPERA-01) in the fourth quarter of 2023.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shd w:fill="FFFFFF" w:val="clear"/>
        </w:rPr>
        <w:t xml:space="preserve">In 2022, we also initiated Phase 1b/2 dose escalation and expansion studies evaluating palazestrant in combination with CDK4/6 inhibitors palbociclib and ribociclib and phosphatidylinositol 3 kinase alpha, or </w:t>
      </w:r>
      <w:r>
        <w:rPr>
          <w:rFonts w:ascii="Arial;Helvetica;sans-serif" w:hAnsi="Arial;Helvetica;sans-serif"/>
          <w:sz w:val="20"/>
        </w:rPr>
        <w:t>PI3K</w:t>
      </w:r>
      <w:r>
        <w:rPr>
          <w:rFonts w:ascii="Symbol" w:hAnsi="Symbol"/>
          <w:sz w:val="20"/>
        </w:rPr>
        <w:t>a,</w:t>
      </w:r>
      <w:r>
        <w:rPr>
          <w:rFonts w:ascii="Arial;Helvetica;sans-serif" w:hAnsi="Arial;Helvetica;sans-serif"/>
          <w:sz w:val="20"/>
          <w:shd w:fill="FFFFFF" w:val="clear"/>
        </w:rPr>
        <w:t xml:space="preserv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inhibitor, alpelisib. In December 2022, we reported initial data from the Phase 1a dose escalation portion of the study in combination with palbociclib which demonstrated combinability including no drug-drug interaction, or DDI, between the two agents. In May 2023, we presented additional interim data from the combination study which continued to demonstrate combinability,</w:t>
      </w:r>
      <w:r>
        <w:rPr>
          <w:rFonts w:ascii="Arial;Helvetica;sans-serif" w:hAnsi="Arial;Helvetica;sans-serif"/>
          <w:sz w:val="20"/>
        </w:rPr>
        <w:t xml:space="preserve"> with no DDI between palbociclib and palazestrant. Exposure of palbociclib and palazestrant in combination with each other was consistent with observed monotherapy exposure levels.</w:t>
      </w:r>
      <w:r>
        <w:rPr>
          <w:rFonts w:ascii="Arial;Helvetica;sans-serif" w:hAnsi="Arial;Helvetica;sans-serif"/>
          <w:sz w:val="20"/>
          <w:shd w:fill="FFFFFF" w:val="clear"/>
        </w:rPr>
        <w:t xml:space="preserve"> We anticipate presenting updated results from the Phase 2 expansion portion of the palazestrant-palbociclib combination clinical study and from the Phase 1b dose escalation portion of the palazestrant-ribociclib combination clinical study in the fourth quarter of 2023. </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In July 2022, we were granted Fast Track designation from the U.S. Food and Drug Administration, or the FDA, for palazestrant for patients with ER+/HER2- metastatic breast cancer that has progressed following one or more lines of endocrine therapy with at least one line given in combination with a CDK4/6 inhibitor. Based on the clinical results we have achieved to date, we are advancing palazestrant through late-stage clinical development both as a monotherapy and in combination with other targeted agents. We own worldwide development and commercialization rights to palazestrant. We believe palazestrant’s oral formulation and dual mechanism of action directly address the limitations of current endocrine therapies, such as fulvestrant and tamoxifen, and position palazestrant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 On March 9, 2023, we announced a corporate restructuring and portfolio prioritization to focus our resources on the late-stage clinical development of palazestrant for the treatment of ER+/HER2- metastatic breast cancer.</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June 30, 2023, we had cash, cash equivalents, and marketable securities of $167.4 million. Based on our current operating plan, we believe that our cash, cash equivalents, and marketable securities as of June 30, 2023 will be sufficient to fund our planned operating expenses and capital expenditure requirements into the second quarter of 2025.</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incurred significant operating losses since the commencement of our operations. Our net losses were $20.1 million and $32.9 million for the three months ended June 30, 2023 and 2022, respectively, and $48.4 million and $55.9 million for the six months ended June 30, 2023 and 2022, respectively. </w:t>
      </w:r>
      <w:r>
        <w:rPr>
          <w:rFonts w:ascii="Arial;Helvetica;sans-serif" w:hAnsi="Arial;Helvetica;sans-serif"/>
          <w:sz w:val="20"/>
          <w:shd w:fill="FFFFFF" w:val="clear"/>
        </w:rPr>
        <w:t xml:space="preserve">We expect to incur significant and increasing losses for the foreseeable future as we continue to advance our product candidate, make potential milestone payments to our licensors, and as we continue to operate as a public company. Our net losses may fluctuate significantly from period to period, depending on the timing of expenditures on our research and development activities. As of June 30, 2023, we had an accumulated deficit of $257.4 million. Our primary use of cash is to fund operating expenses, which consist primarily of research and development expenditures and general and administrative expenditures. Cash used to fund operating expenses is impacted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by the timing of when we pay these expenses, as reflected in the change in our outstanding accounts payable and other current liabilities.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r>
        <w:rPr>
          <w:rFonts w:ascii="Arial;Helvetica;sans-serif" w:hAnsi="Arial;Helvetica;san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our ongoing and planned research and development of our lead product candidate, palazestrant, for the treatment of ER+ positive breast cancer;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initiate nonclinical studies and clinical trials for any additional product candidates that we may pursue in the future;</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to discover and develop additional product candidates and further expand our clinical product pipeline;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regulatory approvals for any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to scale up external manufacturing capacity with the aim of securing sufficient quantities to meet our capacity requirements for clinical trials and potential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 a sales, marketing and distribution infrastructure to commercialize any approved product candidates and related additional commercial manufacturing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 maintain, expand, protect and enforce our intellectual property portfolio, including patents, trade secrets and know how;</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 hire and retain additional clinical, scientific, quality control, and manufacturing management and administrative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 clinical, operational, financial and management information systems and personnel, including personnel to support our product development and planned future commercialization efforts;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expand our operations in the United States and to other geographies;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incur additional legal, accounting, investor relations and other expenses associated with operating as a public company.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will require substantial additional funding to develop our product candidate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geopolitical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and macroeconomic events, such as the COVID-19 pandemic, the ongoing conflict between Ukraine and Russia and related sanctions, and recent bank failures.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Global economic and business activities continue to face widespread geopolitical and macroeconomic uncertainties, including labor shortages, inflation and monetary supply shifts, bank failures and related financial market risks and instability, recession risks, as well as potential disruptions from the Russia-Ukraine conflict,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date, we have not generated any revenue from product sales and do not expect to generate any revenue from the sale of products for the foreseeable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palazestrant.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External expenses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incurred in connection with the discovery and nonclinical development of our product candidates, including under agreements with third parties, such as consultants and contract research organizations, or CROs;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manufacturing products for use in our nonclinical studies and clinical trials, including payments to contract manufacturing organizations, or CMOs, and consultants;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funding research performed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purchasing lab supplies and non-capital equipment used in designing, developing and manufacturing nonclinical study and clinical trial materials;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associated with consultants for chemistry, manufacturing and controls development, regulatory, statistics and other services;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related to regulatory activities, including filing fees paid to regulatory agencies; and</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facility costs including rent, depreciation and maintenance expenses.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to advance the development of our lead product candidate and nonclinical program were $18.0 million and $27.1 million for the three months ended June 30, 2023 and 2022, respectively, and $40.8 million and $43.1 million for the six months ended June 30, 2023 and 2022,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our research and development expenses may fluctuate from period to period, we generally expect our research and development expenses to increase substantially in absolute dollars for the foreseeable future as we advance palazestrant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progress of nonclinical and clinical development activities;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number and scope of nonclinical and clinical programs we decide to pursue;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maintain our current research and development programs and to establish new ones;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 appropriate safety profile with investigational new drug-enabling toxicology studies;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successful patient enrollment in, and the initiation and completion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successful completion of clinical trials with safety, tolerability and efficacy profiles that are satisfactory to the FDA or any comparable foreign regulatory authority;</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commercial manufacturing capabilities or making arrangements with third-party manufacturers;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receipt of regulatory approvals from applicable regulatory authorities;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receipt and terms of any marketing approvals from applicable regulatory authorities;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licensing or collaboration arrangements;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performance of our future collaborators,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 and timely delivery of commercial-grade product formulations that can be used in our planned clinical trials and for commercial launch;</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commercializing the product candidate, if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maintaining patent and trade secret protection and regulatory exclusivity for our product candidates;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maintaining, defending and enforcing patent claims and other intellectual property rights;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continued acceptable safety profiles of our products following approval; and</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retaining key research and development personnel.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changes in the outcome of any of these factors could significantly impact the costs, timing and viability associated with the development of our product candidates.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standards applicable to companies listed on a national securities exchange, additional insurance expenses, investor relations activities and other administrative and professional services.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Total other income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Total other income consists of interest income and other expense. Interest income primarily consists of interest income on our cash equivalents and marketable securities. Other expense primarily consists of unrealized foreign currency remeasurement gain (loss) and miscellaneous income (expense) not related to operating activities.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Comparison of the three months ended June 30, 2023 and 2022</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three months ended June 30, 2023 and 2022:</w:t>
      </w:r>
    </w:p>
    <w:tbl>
      <w:tblPr>
        <w:tblW w:w="6222" w:type="dxa"/>
        <w:jc w:val="left"/>
        <w:tblInd w:w="0" w:type="dxa"/>
        <w:tblLayout w:type="fixed"/>
        <w:tblCellMar>
          <w:top w:w="0" w:type="dxa"/>
          <w:left w:w="0" w:type="dxa"/>
          <w:bottom w:w="0" w:type="dxa"/>
          <w:right w:w="0" w:type="dxa"/>
        </w:tblCellMar>
      </w:tblPr>
      <w:tblGrid>
        <w:gridCol w:w="2491"/>
        <w:gridCol w:w="223"/>
        <w:gridCol w:w="857"/>
        <w:gridCol w:w="344"/>
        <w:gridCol w:w="223"/>
        <w:gridCol w:w="857"/>
        <w:gridCol w:w="326"/>
        <w:gridCol w:w="90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81785" cy="175260"/>
                      <wp:effectExtent l="0" t="0" r="0" b="0"/>
                      <wp:wrapNone/>
                      <wp:docPr id="205" name="Frame20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1605" cy="175260"/>
                      <wp:effectExtent l="0" t="0" r="0" b="0"/>
                      <wp:wrapNone/>
                      <wp:docPr id="206" name="Frame20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44195" cy="175260"/>
                      <wp:effectExtent l="0" t="0" r="0" b="0"/>
                      <wp:wrapNone/>
                      <wp:docPr id="207" name="Frame20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8440" cy="175260"/>
                      <wp:effectExtent l="0" t="0" r="0" b="0"/>
                      <wp:wrapNone/>
                      <wp:docPr id="208" name="Frame208"/>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1605" cy="175260"/>
                      <wp:effectExtent l="0" t="0" r="0" b="0"/>
                      <wp:wrapNone/>
                      <wp:docPr id="209" name="Frame20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44195" cy="175260"/>
                      <wp:effectExtent l="0" t="0" r="0" b="0"/>
                      <wp:wrapNone/>
                      <wp:docPr id="210" name="Frame210"/>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260"/>
                      <wp:effectExtent l="0" t="0" r="0" b="0"/>
                      <wp:wrapNone/>
                      <wp:docPr id="212" name="Frame2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504" w:type="dxa"/>
            <w:gridSpan w:val="5"/>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249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3508" w:type="dxa"/>
            <w:gridSpan w:val="6"/>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223"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c>
          <w:tcPr>
            <w:tcW w:w="344"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22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17,989</w:t>
            </w:r>
          </w:p>
        </w:tc>
        <w:tc>
          <w:tcPr>
            <w:tcW w:w="344"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27,054</w:t>
            </w:r>
          </w:p>
        </w:tc>
        <w:tc>
          <w:tcPr>
            <w:tcW w:w="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(9,065)</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223" w:type="dxa"/>
            <w:tcBorders/>
            <w:shd w:fill="CCEEFF" w:val="clear"/>
            <w:vAlign w:val="center"/>
          </w:tcPr>
          <w:p>
            <w:pPr>
              <w:pStyle w:val="TableContents"/>
              <w:bidi w:val="0"/>
              <w:spacing w:before="0" w:after="1"/>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3,612</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(2,627)</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223"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21,601</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33,293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(11,692)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223" w:type="dxa"/>
            <w:tcBorders/>
            <w:shd w:fill="CCEEFF" w:val="clear"/>
            <w:vAlign w:val="center"/>
          </w:tcPr>
          <w:p>
            <w:pPr>
              <w:pStyle w:val="TableContents"/>
              <w:bidi w:val="0"/>
              <w:spacing w:before="0" w:after="1"/>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(21,601)</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(33,293)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11,692</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223"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left"/>
              <w:rPr/>
            </w:pPr>
            <w:r>
              <w:rPr/>
              <w:t>  </w:t>
            </w:r>
          </w:p>
        </w:tc>
        <w:tc>
          <w:tcPr>
            <w:tcW w:w="344"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right"/>
              <w:rPr/>
            </w:pPr>
            <w:r>
              <w:rPr/>
              <w:t> </w:t>
            </w:r>
          </w:p>
        </w:tc>
        <w:tc>
          <w:tcPr>
            <w:tcW w:w="857"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223"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w:t>
            </w:r>
          </w:p>
        </w:tc>
        <w:tc>
          <w:tcPr>
            <w:tcW w:w="344"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right"/>
              <w:rPr/>
            </w:pPr>
            <w:r>
              <w:rPr/>
              <w:t> </w:t>
            </w:r>
          </w:p>
        </w:tc>
        <w:tc>
          <w:tcPr>
            <w:tcW w:w="8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1,135</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 income</w:t>
            </w:r>
          </w:p>
        </w:tc>
        <w:tc>
          <w:tcPr>
            <w:tcW w:w="223" w:type="dxa"/>
            <w:tcBorders/>
            <w:vAlign w:val="center"/>
          </w:tcPr>
          <w:p>
            <w:pPr>
              <w:pStyle w:val="TableContents"/>
              <w:bidi w:val="0"/>
              <w:spacing w:before="0" w:after="1"/>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223" w:type="dxa"/>
            <w:tcBorders/>
            <w:shd w:fill="CCEEFF" w:val="clear"/>
            <w:vAlign w:val="center"/>
          </w:tcPr>
          <w:p>
            <w:pPr>
              <w:pStyle w:val="TableContents"/>
              <w:bidi w:val="0"/>
              <w:spacing w:before="0" w:after="1"/>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1,506</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1,071</w:t>
            </w:r>
          </w:p>
        </w:tc>
      </w:tr>
      <w:tr>
        <w:trPr/>
        <w:tc>
          <w:tcPr>
            <w:tcW w:w="249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(20,095)</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(32,858)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12,763</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for the three months ended June 30, 2023 were $18.0 million, compared to $27.1 million for the three months ended June 30, 2022. The decrease of $9.1 million was primarily due to decreased spending on (i) preclinical research programs, which included the $8.0 million upfront payment in connection with the exclusive global license agreement entered into in June 2022 between the Company and Aurigene Discovery Technologies Limited, or the Aurigene Agreement, incurred and paid in June 2022, (ii) clinical pharmacology-related costs, and (iii) personnel-related expenses, which primarily related to lower headcount as a result of the restructuring and portfolio prioritization during the first quarter of 2023, and a decrease of approximately $0.2 million in non-cash stock-based compensation expense. Total decreases were primarily offset by increased spending on clinical operations-related activities as we continue to advance palazestrant into late-stage clinical trials.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General and administrative expenses for the three months ended June 30, 2023 were $3.6 million compared to $6.2 million for the three months ended June 30, 2022. The decrease of $2.6 million was primarily due to decreased spending on (i) corporate- and legal-related costs, and (ii) personnel-related expenses, primarily due to lower headcount as a result of the restructuring and portfolio prioritization, and a decrease of approximately </w:t>
      </w:r>
      <w:r>
        <w:rPr>
          <w:rFonts w:ascii="Arial;Helvetica;sans-serif" w:hAnsi="Arial;Helvetica;sans-serif"/>
          <w:sz w:val="20"/>
          <w:shd w:fill="FFFFFF" w:val="clear"/>
        </w:rPr>
        <w:t>$0.3 million in non-cash stock-based compensation expense</w:t>
      </w:r>
      <w:r>
        <w:rPr>
          <w:rFonts w:ascii="Arial;Helvetica;sans-serif" w:hAnsi="Arial;Helvetica;sans-serif"/>
          <w:sz w:val="20"/>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income for the three months ended June 30, 2023 was $1.5 million, which primarily consisted of interest income from our marketable securities of $1.6 million, partially offset by unrealized foreign currency remeasurement loss on our foreign-currency-denominated monetary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Comparison of the six months ended June 30, 2023 and 2022</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six months ended June 30, 2023 and 2022:</w:t>
      </w:r>
    </w:p>
    <w:tbl>
      <w:tblPr>
        <w:tblW w:w="6414" w:type="dxa"/>
        <w:jc w:val="left"/>
        <w:tblInd w:w="0" w:type="dxa"/>
        <w:tblLayout w:type="fixed"/>
        <w:tblCellMar>
          <w:top w:w="0" w:type="dxa"/>
          <w:left w:w="0" w:type="dxa"/>
          <w:bottom w:w="0" w:type="dxa"/>
          <w:right w:w="0" w:type="dxa"/>
        </w:tblCellMar>
      </w:tblPr>
      <w:tblGrid>
        <w:gridCol w:w="2491"/>
        <w:gridCol w:w="326"/>
        <w:gridCol w:w="211"/>
        <w:gridCol w:w="811"/>
        <w:gridCol w:w="326"/>
        <w:gridCol w:w="211"/>
        <w:gridCol w:w="811"/>
        <w:gridCol w:w="326"/>
        <w:gridCol w:w="90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81785" cy="175260"/>
                      <wp:effectExtent l="0" t="0" r="0" b="0"/>
                      <wp:wrapNone/>
                      <wp:docPr id="213" name="Frame21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14985" cy="175260"/>
                      <wp:effectExtent l="0" t="0" r="0" b="0"/>
                      <wp:wrapNone/>
                      <wp:docPr id="216" name="Frame21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14985" cy="175260"/>
                      <wp:effectExtent l="0" t="0" r="0" b="0"/>
                      <wp:wrapNone/>
                      <wp:docPr id="219" name="Frame21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72135" cy="175260"/>
                      <wp:effectExtent l="0" t="0" r="0" b="0"/>
                      <wp:wrapNone/>
                      <wp:docPr id="221" name="Frame2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370" w:type="dxa"/>
            <w:gridSpan w:val="5"/>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386" w:type="dxa"/>
            <w:gridSpan w:val="6"/>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43,063</w:t>
            </w:r>
          </w:p>
        </w:tc>
        <w:tc>
          <w:tcPr>
            <w:tcW w:w="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(2,248)</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10,388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13,484</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(3,096)</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51,203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56,547</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(5,344)</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(51,203)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(56,547)</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5,344</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633</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2,222</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2,163</w:t>
            </w:r>
          </w:p>
        </w:tc>
      </w:tr>
      <w:tr>
        <w:trPr/>
        <w:tc>
          <w:tcPr>
            <w:tcW w:w="249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(48,381)</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(55,888)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7,507</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for the six months ended June 30, 2023 were $40.8 million, compared to $43.1 million for the six months ended June 30, 2022. The decrease of $2.2 million was primarily due to decreased spending on (i) preclinical research programs, including the $8.0 million upfront payment in correction with the Aurigene Agreement incurred and paid in June 2022, and (ii) personnel-related expenses, which primarily related to lower headcount as a result of the restructuring and portfolio prioritization, and a decrease of approximately $0.2 million in non-cash stock-based compensation expense. Total decreases were primarily offset by increased spending on clinical operations-related activities as we continue to advance palazestrant into late-stage clinical trials.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General and administrative expenses for the six months ended June 30, 2023 were $10.4 million compared to $13.5 million for the six months ended June 30, 2022. The decrease of $3.1 million was primarily due to decreased spending on (i) corporate- and legal-related costs, and (ii) personnel-related expenses, which primarily related to lower headcount as a result of the restructuring and portfolio prioritization, and a decrease </w:t>
      </w:r>
      <w:r>
        <w:rPr>
          <w:rFonts w:ascii="Arial;Helvetica;sans-serif" w:hAnsi="Arial;Helvetica;sans-serif"/>
          <w:sz w:val="20"/>
          <w:shd w:fill="FFFFFF" w:val="clear"/>
        </w:rPr>
        <w:t>of approximately $0.7 million in non-cash stock-based compensation expense</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 xml:space="preserve">Other income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income for the six months ended June 30, 2023 was $2.8 million, which primarily consisted of interest income from our marketable securities of $2.9 million, partially offset by unrealized foreign currency remeasurement loss on our foreign-currency denominated monetary accounts.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Sources of liquidity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Since our inception, we have not generated any revenue from product sales and have incurred significant operating losses and negative cash flows from our operations. Our net losses were $20.1 million and $32.9 million for the three months ended June 30, 2023 and 2022, respectively, and $48.4 million and $55.9 million for the six months ended June 30, 2023 and 2022, respectively. Through June 30, 2023, we had received aggregate gross proceeds of $395.5 million from sales of our common stock, convertible preferred stock and issuance of convertible promissory notes, stock option exercises, and the sale of stock through the Company’s 2020 Employee Stock Purchase Plan, or ESPP.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As of June 30, 2023, we had $167.4 million in cash, cash equivalents and marketable securities and accumulated deficit of $257.4 million. We had no debt outstanding as of June 30, 2023.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to incur significant expenses and operating losses for the foreseeable future as we advance the clinical development of palazestrant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primary uses of cash are to fund our research and development activities, including with respect to palazestrant and other nonclinical programs, business planning, establishing and maintaining our intellectual property portfolio, hiring personnel, raising capital and providing general and administrative support for these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have no financing commitments, such as lines of credit or guarantees, that are expected to affect our liquidity over the next five years.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Future funding and material cash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expect our cash, cash equivalents, and marketable securities as of June 30, 2023 will enable us to fund our operating expenses and capital expenditure requirements into the second quarter of 2025. Total operating expenses of $21.6 million for the three months ended June 30, 2023 reflects a $8.0 million reduction of costs versus the three months ended March 31, 2023 as a result of the restructuring and portfolio prioritization announced in March 2023. We anticipate our cash, cash equivalents, and marketable securities balance to range between $120.0 to $125.0 million for the year ending December 31, 2023. If we are unable to raise capital when needed or on attractive terms, we would be forced to delay, reduce or eliminate our research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development programs or future commercialization efforts. Our future capital requirements will depend on many factors, including:</w:t>
      </w:r>
    </w:p>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progress, results and costs of product discovery, nonclinical studies and clinical trials;</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prioritization and number of our research and development programs;</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timing and outcome of regulatory review of our product candidate;</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achievement of milestones or occurrence of other developments that trigger payments under any collaboration agreements we enter into;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are obligated to reimburse, or entitled to reimbursement of, clinical trial costs under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preparing, filing and prosecuting patent applications, maintaining and enforcing our intellectual property rights and defending intellectual property-related claims;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acquire or in-license other product candidates and technologies;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securing manufacturing arrangements for commercial production;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establishing or contracting for sales and marketing capabilities if we obtain regulatory approvals to market our product candidates.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a summary of our cash flows for each of the periods presented:</w:t>
      </w:r>
    </w:p>
    <w:tbl>
      <w:tblPr>
        <w:tblW w:w="6552" w:type="dxa"/>
        <w:jc w:val="left"/>
        <w:tblInd w:w="0" w:type="dxa"/>
        <w:tblLayout w:type="fixed"/>
        <w:tblCellMar>
          <w:top w:w="0" w:type="dxa"/>
          <w:left w:w="0" w:type="dxa"/>
          <w:bottom w:w="0" w:type="dxa"/>
          <w:right w:w="0" w:type="dxa"/>
        </w:tblCellMar>
      </w:tblPr>
      <w:tblGrid>
        <w:gridCol w:w="3811"/>
        <w:gridCol w:w="326"/>
        <w:gridCol w:w="211"/>
        <w:gridCol w:w="811"/>
        <w:gridCol w:w="326"/>
        <w:gridCol w:w="211"/>
        <w:gridCol w:w="85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19985" cy="175260"/>
                      <wp:effectExtent l="0" t="0" r="0" b="0"/>
                      <wp:wrapNone/>
                      <wp:docPr id="222" name="Frame22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14985" cy="175260"/>
                      <wp:effectExtent l="0" t="0" r="0" b="0"/>
                      <wp:wrapNone/>
                      <wp:docPr id="225" name="Frame22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43560" cy="175260"/>
                      <wp:effectExtent l="0" t="0" r="0" b="0"/>
                      <wp:wrapNone/>
                      <wp:docPr id="228" name="Frame22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415"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(42,507)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(44,362)</w:t>
            </w:r>
          </w:p>
        </w:tc>
      </w:tr>
      <w:tr>
        <w:trPr/>
        <w:tc>
          <w:tcPr>
            <w:tcW w:w="38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54,979</w:t>
            </w:r>
          </w:p>
        </w:tc>
      </w:tr>
      <w:tr>
        <w:trPr/>
        <w:tc>
          <w:tcPr>
            <w:tcW w:w="38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w:t>
            </w:r>
          </w:p>
        </w:tc>
      </w:tr>
      <w:tr>
        <w:trPr/>
        <w:tc>
          <w:tcPr>
            <w:tcW w:w="38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increase in cash and cash equivalents</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11,256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10,714</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Operating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Net cash used in operating activities in the six months ended June 30, 2023 consisted primarily of our net loss of $48.4 million and a net decrease in operating assets and liabilities of $1.1 million, partially offset by non-cash charges of $7.0 million. The net loss consisted primarily of $40.8 million in research and development expenses and $10.4 million in general and administrative expenses. The non-cash charges consisted primarily of stock-based compensation expense of $8.8 million and depreciation and amortization expenses of $0.2 million</w:t>
      </w:r>
      <w:r>
        <w:rPr>
          <w:rFonts w:ascii="Arial;Helvetica;sans-serif" w:hAnsi="Arial;Helvetica;sans-serif"/>
          <w:sz w:val="20"/>
          <w:shd w:fill="FFFFFF" w:val="clear"/>
        </w:rPr>
        <w:t>, primarily offset by non-cash interest income on our marketable securities of $2.0 million</w:t>
      </w:r>
      <w:r>
        <w:rPr>
          <w:rFonts w:ascii="Arial;Helvetica;sans-serif" w:hAnsi="Arial;Helvetica;sans-serif"/>
          <w:sz w:val="20"/>
        </w:rPr>
        <w:t>. The net decrease in operating assets and liabilities was primarily due to (i) a decrease of $2.7 million in accrued and other current liabilities and (ii) an increase of $0.1 million in other assets and long-term deposits. The changes were partially offset by (i) an increase of $1.3 million in accounts payable, which is primarily a result of timing of invoice payment, and (ii) a decrease of $0.4 million in prepaid expenses and other current assets.</w:t>
      </w:r>
    </w:p>
    <w:p>
      <w:pPr>
        <w:pStyle w:val="TextBody"/>
        <w:bidi w:val="0"/>
        <w:spacing w:before="0" w:after="240"/>
        <w:ind w:left="0" w:right="0" w:hanging="0"/>
        <w:jc w:val="both"/>
        <w:rPr>
          <w:rFonts w:ascii="Arial;Helvetica;sans-serif" w:hAnsi="Arial;Helvetica;sans-serif"/>
          <w:i w:val="false"/>
          <w:caps w:val="false"/>
          <w:smallCaps w:val="false"/>
          <w:sz w:val="20"/>
          <w:shd w:fill="FFFFFF" w:val="clear"/>
        </w:rPr>
      </w:pPr>
      <w:r>
        <w:rPr>
          <w:rFonts w:ascii="Arial;Helvetica;sans-serif" w:hAnsi="Arial;Helvetica;sans-serif"/>
          <w:i w:val="false"/>
          <w:caps w:val="false"/>
          <w:smallCaps w:val="false"/>
          <w:sz w:val="20"/>
          <w:shd w:fill="FFFFFF" w:val="clear"/>
        </w:rPr>
        <w:t>Net cash used in operating activities in the six months ended June 30, 2022 consisted primarily of our net loss of $55.9 million, partially offset by non-cash charges of $9.9 million and a net increase in operating assets and liabilities of $1.7 million. The net loss consisted primarily of $43.1 million in research and development expenses and $13.5 million in general and administrative expenses. The non-cash charges consisted primarily of stock-based compensation expense of $9.7 million and depreciation and amortization expenses of $0.1 million, and non-cash lease expense of less than $0.1 million, net of cash payments of $0.6 million. The net increase in operating assets and liabilities was primarily due to (i) an increase of $1.9 million in accrued and other current liabilities, (ii) an increase of $0.1 million in accounts payable, which is primarily a result of timing of invoice payment, and (iii) a decrease of $0.2 million in prepaid expenses and other current assets. The changes were partially offset by a net increase of $0.5 million in other assets and long-term deposits.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Investing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Net cash provided by investing activities in the six months ended June 30, 2023 was predominately due to maturities of marketable securities which was partially offset by purchase of marketable securities. </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Net cash provided by investing activities in the six-month ended June 30, 2022 was predominately due to maturities of marketable securities which was partially offset by purchase of marketable securities.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Financing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Net cash provided by financing activities during the six months ended June 30, 2023 consists of $1.6 million and $0.7 million in net proceeds from the exercise of stock options and the sale of our common stock under the 2020 ESPP,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Net cash provided by financing activities during the six months ended June 30, 2022 represents $0.1 million in net proceeds from the sale of our common stock under the 2020 ESPP and exercise of stock options</w:t>
      </w:r>
      <w:r>
        <w:rPr>
          <w:rFonts w:ascii="Arial;Helvetica;sans-serif" w:hAnsi="Arial;Helvetica;sans-serif"/>
          <w:sz w:val="20"/>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Contractual obligations and commitments </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Refer to Note 10 of our notes to the condensed consolidated financial statements contained in this Quarterly Report on Form 10-Q for further information. There have been no material changes outside the ordinary course of business during the six months ended June 30, 2023 to our commitments and contingencies disclosed in “Management’s Discussion and Analysis of Financial Condition and Results of Operations” included in our Annual Report on Form 10-K.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Critical accounting policies and significant judgements and estimates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During the six months ended June 30, 2023, there were no material changes to our critical accounting policies and estimates as reported in our Annual Report on Form 10-K. </w:t>
      </w:r>
    </w:p>
    <w:p>
      <w:pPr>
        <w:pStyle w:val="TextBody"/>
        <w:bidi w:val="0"/>
        <w:spacing w:before="0" w:after="240"/>
        <w:ind w:left="0" w:right="0" w:hanging="0"/>
        <w:jc w:val="both"/>
        <w:rPr>
          <w:rFonts w:ascii="Arial;Helvetica;sans-serif" w:hAnsi="Arial;Helvetica;sans-serif"/>
          <w:b/>
          <w:sz w:val="20"/>
        </w:rPr>
      </w:pPr>
      <w:bookmarkStart w:id="1214" w:name="Item3Quantitative"/>
      <w:bookmarkEnd w:id="1214"/>
      <w:r>
        <w:rPr>
          <w:rFonts w:ascii="Arial;Helvetica;sans-serif" w:hAnsi="Arial;Helvetica;sans-serif"/>
          <w:b/>
          <w:sz w:val="20"/>
        </w:rPr>
        <w:t>Item 3. Quantitative and Qualitative Disclosures About Market Risk.</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During the six months ended June 30, 2023, there were no material changes to our market risk disclosures reported in our Annual Report on Form 10-K.</w:t>
      </w:r>
    </w:p>
    <w:p>
      <w:pPr>
        <w:pStyle w:val="TextBody"/>
        <w:bidi w:val="0"/>
        <w:spacing w:before="0" w:after="240"/>
        <w:ind w:left="0" w:right="0" w:hanging="0"/>
        <w:jc w:val="left"/>
        <w:rPr>
          <w:rFonts w:ascii="Arial;Helvetica;sans-serif" w:hAnsi="Arial;Helvetica;sans-serif"/>
          <w:b/>
          <w:sz w:val="20"/>
        </w:rPr>
      </w:pPr>
      <w:bookmarkStart w:id="1215" w:name="Item4ControlsandProcedures"/>
      <w:bookmarkEnd w:id="1215"/>
      <w:r>
        <w:rPr>
          <w:rFonts w:ascii="Arial;Helvetica;sans-serif" w:hAnsi="Arial;Helvetica;sans-serif"/>
          <w:b/>
          <w:sz w:val="20"/>
        </w:rPr>
        <w:t>Item 4.     Controls and Procedures.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June 30, 2023,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2023, the design and operation of our disclosure controls and procedures were effective at a reasonable assurance level.</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There was no change in our internal control over financial reporting identified in connection with the evaluation required by Rules 13a-15(d) and 15d-15(d) of the Exchange Act that occurred during the three months ended June 30, 2023 that has materially affected, or is reasonably likely to materially affect, our internal control over financial reporting.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216" w:name="PARTIIOTHERINFORMATION_169197"/>
      <w:bookmarkStart w:id="1217" w:name="_5f05145b_8a33_480d_81fa_0e2c99f9952b"/>
      <w:bookmarkEnd w:id="1216"/>
      <w:bookmarkEnd w:id="1217"/>
      <w:r>
        <w:rPr>
          <w:rFonts w:ascii="Arial;Helvetica;sans-serif" w:hAnsi="Arial;Helvetica;sans-serif"/>
          <w:b/>
          <w:sz w:val="20"/>
        </w:rPr>
        <w:t>PART II-OTHER INFORMATION</w:t>
      </w:r>
    </w:p>
    <w:p>
      <w:pPr>
        <w:pStyle w:val="TextBody"/>
        <w:bidi w:val="0"/>
        <w:spacing w:before="0" w:after="240"/>
        <w:ind w:left="0" w:right="0" w:hanging="0"/>
        <w:jc w:val="left"/>
        <w:rPr>
          <w:rFonts w:ascii="Arial;Helvetica;sans-serif" w:hAnsi="Arial;Helvetica;sans-serif"/>
          <w:b/>
          <w:sz w:val="20"/>
        </w:rPr>
      </w:pPr>
      <w:bookmarkStart w:id="1218" w:name="Item1LegalProceedings_105808"/>
      <w:bookmarkEnd w:id="1218"/>
      <w:r>
        <w:rPr>
          <w:rFonts w:ascii="Arial;Helvetica;sans-serif" w:hAnsi="Arial;Helvetica;sans-serif"/>
          <w:b/>
          <w:sz w:val="20"/>
        </w:rPr>
        <w:t>Item 1. Legal Proceedings.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0" w:after="240"/>
        <w:ind w:left="0" w:right="0" w:hanging="0"/>
        <w:jc w:val="left"/>
        <w:rPr>
          <w:rFonts w:ascii="Arial;Helvetica;sans-serif" w:hAnsi="Arial;Helvetica;sans-serif"/>
          <w:b/>
          <w:sz w:val="20"/>
        </w:rPr>
      </w:pPr>
      <w:bookmarkStart w:id="1219" w:name="Item_1A_Risk_Factors"/>
      <w:bookmarkStart w:id="1220" w:name="_12e7dbf4_cd63_4016_b5a5_33c356024ab7"/>
      <w:bookmarkEnd w:id="1219"/>
      <w:bookmarkEnd w:id="1220"/>
      <w:r>
        <w:rPr>
          <w:rFonts w:ascii="Arial;Helvetica;sans-serif" w:hAnsi="Arial;Helvetica;sans-serif"/>
          <w:b/>
          <w:sz w:val="20"/>
        </w:rPr>
        <w:t>Item 1A. Risk Factors.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RISK FACTOR SUMMARY</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r>
        <w:rPr>
          <w:rFonts w:ascii="Arial;Helvetica;sans-serif" w:hAnsi="Arial;Helvetica;sans-serif"/>
          <w:sz w:val="20"/>
          <w:shd w:fill="FFFFFF" w:val="clear"/>
        </w:rPr>
        <w:t>.</w:t>
      </w:r>
    </w:p>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completed any clinical trials and have no products approved for commercial sale, which may make it difficult for you to evaluate our current business and predict our future success and viability.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incurred net losses since inception, and we expect to continue to incur net losses for the foreseeable future. While our expenses may fluctuate from period to period, we generally expect to continue to incur increased expenses and operating losses for the foreseeable future as we continue our research and development efforts and seek to obtain regulatory approval for palazestrant. In addition, we may be unable to continue as a going concern over the long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realize the expected benefits from our recent corporate restructuring, portfolio prioritization, and workforce reduction and we may incur additional costs or other difficulties implementing such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substantially dependent on the success of our only product candidate, palazestrant, which is currently in clinical development. We cannot assure you that our planned clinical development programs for palazestrant will be completed in a timely manner, or at all, or that we will be able to obtain approval for palazestrant from the FDA,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we will be unable to generate product revenue and our business, financial condition, results of operations and prospects will be significantly harmed.</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Even if approved, palazestrant may not achieve adequate market acceptance among physicians, patients, healthcare payors and others in the medical community necessary for commercial success. The degree of market acceptance would depend on a number of factors. If palazestrant is approved but does not achieve an adequate level of acceptance by physicians, hospitals, healthcare payors and patients, we may not generate or derive sufficient revenue which could significantly harm our business, financial condition, results of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significant competition, and if our competitors develop and market technologies or products more rapidly than we do or that are more effective, safer or less expensive than palazestrant, or product candidates we may develop in the future, our commercial opportunities will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obtain U.S. or foreign regulatory approvals and, as a result, may be unable to commercialize palazestrant or any future product candidate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Unfavorable U.S. and global macroeconomic and geopolitical conditions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palazestrant and any other future product candidates we may develop and, accordingly, may not achieve our research, development and commercialization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internal computer systems, or those of any of our CROs, manufacturers, other contractors, consultants, collaborators or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or future product candidates we may develop and our business, financial condition, results of operations and prospects could be significantly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tc>
      </w:tr>
    </w:tbl>
    <w:p>
      <w:pPr>
        <w:pStyle w:val="TextBody"/>
        <w:pBdr/>
        <w:bidi w:val="0"/>
        <w:spacing w:before="0" w:after="0"/>
        <w:ind w:left="0" w:right="0" w:hanging="0"/>
        <w:jc w:val="both"/>
        <w:rPr>
          <w:rFonts w:ascii="Arial;Helvetica;sans-serif" w:hAnsi="Arial;Helvetica;sans-serif"/>
          <w:b/>
          <w:sz w:val="20"/>
        </w:rPr>
      </w:pPr>
      <w:r>
        <w:rPr>
          <w:rFonts w:ascii="Arial;Helvetica;sans-serif" w:hAnsi="Arial;Helvetica;sans-serif"/>
          <w:b/>
          <w:sz w:val="20"/>
        </w:rPr>
        <w:t>Risks related to our financial position and the need for additional capital</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have not completed any clinical trials and have no products approved for commercial sale, which may make it difficult for you to evaluate our current business and predict our future success and viability.</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palazestrant (OP-1250), securing related intellectual property rights and conducting nonclinical studies and a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Phase 1/2 clinical study of palazestrant.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palazestrant and any future drug candidates we may develop. Our expenses could increase beyond expectations if we are required by the FDA, the European Medicines Agency, or the EMA, or other regulatory agencies to perform clinical trials or nonclinical studies in addition to those that we currently anticipate. Other unanticipated costs may also arise. In addition, if we obtain marketing approval for palazestrant,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As of June 30, 2023, we had $167.4 million in cash, cash equivalents, and marketable securities. Based on our current operating plans, we believe that our cash, cash equivalents, and marketable securities as of June 30, 2023 will be sufficient to fund our operating expenses and capital expenditures requirements into the second quarter of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the COVID-19 pandemic, the ongoing conflict between Ukraine and Russia and related sanctions, and recent bank failures and financial instability. Advancing the development of palazestrant and any future product candidates we may develop will require a significant amount of capital, and our existing cash, cash equivalents and marketable securities will not be sufficient to fund all of the activities that are necessary to complete the development of palazestrant.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geopolitical and macroeconomic events such as the COVID-19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pandemic and the ongoing conflict between Ukraine and Russia and related sanctions, could adversely increase our need to access capital and likewise, adversely impact our ability to access capital as and when needed.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have incurred net losses since inception, and we expect to continue to incur net losses for the foreseeable future. In addition, we may be unable to continue as a going concern over the long term.</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incurred net losses in each reporting period since our inception, have not generated any revenue from product sales to date and have financed our operations principally through our initial public offering and private financings. We have incurred net losses of $20.1 million and $32.9 million for the three months ended June 30, 2023 and 2022, respectively. We had an accumulated deficit of $257.4 million as of June 30, 2023. Our losses have resulted principally from expenses incurred in research and development of palazestrant and from management and administrative costs and other expenses that we have incurred while building our business infrastructure. Our only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our condensed consolidated financial statements for the three months ended June 30, 2023 and 2022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Regulatory approval is not guaranteed and may never be obtained. As a result, these conditions raise substantial doubt about our ability to continue as a going concern over the long term.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not realize the expected benefits from our recent corporate restructuring, portfolio prioritization, and workforce reduction and we may incur additional costs or other difficulties implementing such initiatives.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March 2023, we announced a corporate restructuring and portfolio prioritization to focus our resources on the late-stage clinical development of palazestrant for the treatment of ER+/HER2- metastatic breast cancer. As part of this restructuring, our workforce was reduced by approximately 25%, affecting employees across research, early development, and general and administrative functions. </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restructuring and reduction in force may yield unintended consequences and costs, such as the loss of institutional knowledge and expertise, attrition beyond our intended reduction in force, a reduction in morale among our remaining employees, and the risk that we may not achieve the anticipated benefits, all of which may have an adverse effect on our clinical activities and results of operations or financial condition. We incurred one-time accounting charges of approximately $2.8 million, $2.7 million of which was attributable to cash expenditures. We may also incur other charges, costs, future cash expenditures or impairments not currently contemplated due to events that may occur as a result of, or in connection with, the restructuring and reduction in workforce. In addition, we may be unsuccessful in distributing the duties and obligations of departed employees among our remaining employees, where applicable. We may also discover that the reduction in 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material adverse impact on our business, financial condition, results of operations, and ability to successfully develop palazestrant.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never generated revenue from product sales and may never be profitable.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completing clinical and nonclinical development of our product candidate and programs and identifying and developing new product candidates;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and obtaining marketing approvals for any product candidates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achieving adequate access and reimbursement by government and third-party payors for product candidates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market acceptance of product candidates that we develop as viable treatment options;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addressing any competing technological and market developments;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negotiating favorable terms in any collaboration, licensing or other arrangements into which we may enter and performing our obligations in such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protecting, enforcing and expanding our portfolio of intellectual property rights, including patents, trade secrets and know-how;</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defending against third-party interference, infringement or other intellectual property-related claims, if any; and</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attracting, hiring and retaining qualified personnel.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palazestrant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the discovery, development and commercialization of our product candidate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are substantially dependent on the success of our only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future success is heavily dependent on our ability to timely complete clinical trials, obtain marketing approval for and successfully commercialize palazestrant, our only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commonly referred to as EMA approval</w:t>
      </w:r>
      <w:r>
        <w:rPr>
          <w:rFonts w:ascii="Times New Roman;Times;serif" w:hAnsi="Times New Roman;Times;serif"/>
          <w:sz w:val="24"/>
        </w:rPr>
        <w:t>)</w:t>
      </w:r>
      <w:r>
        <w:rPr>
          <w:rFonts w:ascii="Arial;Helvetica;sans-serif" w:hAnsi="Arial;Helvetica;sans-serif"/>
          <w:sz w:val="20"/>
        </w:rPr>
        <w:t>,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we will be unable to generate product revenue and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Clinical testing is expensive and can take many years to complete, and its outcome is inherently uncertain. Failure can occur at any time during the clinical trial process. The results of nonclinical studies and early clinical trials of palazestrant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or product candidates we may develop in the future may also be undergoing surgical, radiation and chemotherapy treatments and may be using other approved products or investigational new drugs, which can cause side effects or adverse events that are unrelated to palazestrant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know whether our current clinical trial of palazestrant or any future clinical trials we may conduct will demonstrate consistent or adequate efficacy and safety to obtain regulatory approval to market palazestrant or any future product candidates we may develop. Most product candidates that begin clinical trials are never approved by regulatory authorities for commercialization. If we are unable to bring palazestrant or any future product candidates to market, our ability to create long-term stockholder value will be limited.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may rely in part on nonclinical, clinical and quality data generated by CROs and other third parties for regulatory submissions for palazestrant.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palazestrant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palazestrant or any future product candidates we may develop. Even if regulatory approval is secured for palazestrant, the terms of such approval may limit the scope and use of palazestrant,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palazestrant, including and any other indication we are seeking for approval under palazestrant.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regulatory approval processes of the FDA, EMA and comparable foreign authorities are lengthy, time consuming and inherently unpredictable, and if we are ultimately unable to obtain regulatory approval for palazestrant or any future product candidates we may develop,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Applications for palazestrant could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the design, implementation or results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determine that palazestrant is not safe and effective, only moderately effective or have undesirable or unintended side effects, toxicities or other characteristics that preclude our obtaining marketing approval or prevent or limit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population studied in the clinical trial may not be sufficiently broad or representative to assure efficacy and safety in the full population for which we seek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our interpretation of data from nonclinical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data collected from clinical trials of palazestrant may not be sufficient to support the submission of a NDA, or other submission or to obtain regulatory approval in the United States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be unable to demonstrate to the FDA, EMA or other comparable foreign regulatory authorities that palazestrant’s risk-benefit ratio for its proposed indication is acceptable;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policies or regulations of the FDA, EMA or other comparable foreign regulatory authorities may significantly change in a manner rendering our clinical data insufficient for approval.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lengthy approval process, as well as the unpredictability of the results of clinical trials, may result in our failing to obtain regulatory approval to market palazestrant, which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even if we obtain approval of palazestrant for a lead indication, regulatory authorities may not approve palazestrant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palazestrant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if regulatory approval is limited, our business, financial condition, results of operation and prospects will be significantly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experience delays in clinical trials of palazestrant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comparable foreign regulatory authorities disagreeing as to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regulatory authorizations to commence a trial or reaching a consensus with regulatory authorities on trial design;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failure or delay in reaching an agreement with CROs and clinical trial sites, the terms of which can be subject to extensive negotiation and may vary significantly among different CROs and trial sites;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approval from one or more institutional review boards, or IRBs;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IRBs refusing to approve, suspending or terminating the trial at an investigational site, precluding enrollment of additional subjects, or withdrawing their approval of the trial;</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to clinical trial protocol;</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sites deviating from trial protocol or dropping out of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manufacturing sufficient quantities of product candidate or obtaining sufficient quantities of combination therapies for use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failing to enroll or remain in our trial at the rate we expect, or failing to return for post- treatment follow-up;</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in enrollment by subjects, or completion of the trial by subjects, due to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choosing an alternative treatment for the indication for which we are developing palazestrant, or participating in competing clinical trials;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lack of adequate funding to continue the clinical trial;</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experiencing severe or unexpected drug-related adverse effects;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authorities imposing a clinical hold;</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occurrence of serious adverse events in trials of the same class of agents conducted by other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selection of clinical end points that require prolonged periods of clinical observation or analysis of the resulting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shutdowns, either temporarily or permanently, of any facility manufacturing palazestrant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palazestrant or any future product candidate we may develop in the manufacturing process;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changes to our manufacturing process that may be necessary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not performing data collection or analysis in a timely or accurate manner;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could also encounter delays if a clinical trial is suspended or terminated by us, by the IRBs of the institutions in which such trials are being conducted, by a Data Safety Monitoring Board for such trial or by the FDA, </w:t>
      </w:r>
      <w:r>
        <w:rPr>
          <w:rFonts w:ascii="Arial;Helvetica;sans-serif" w:hAnsi="Arial;Helvetica;sans-serif"/>
          <w:color w:val="231F20"/>
          <w:sz w:val="20"/>
        </w:rPr>
        <w:t>competent authorities of EU Member States</w:t>
      </w:r>
      <w:r>
        <w:rPr>
          <w:rFonts w:ascii="Arial;Helvetica;sans-serif" w:hAnsi="Arial;Helvetica;sans-serif"/>
          <w:sz w:val="20"/>
        </w:rPr>
        <w:t xml:space="preserve">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Helvetica;sans-serif" w:hAnsi="Arial;Helvetica;sans-serif"/>
          <w:color w:val="231F20"/>
          <w:sz w:val="20"/>
        </w:rPr>
        <w:t>competent authorities of EU Member States</w:t>
      </w:r>
      <w:r>
        <w:rPr>
          <w:rFonts w:ascii="Arial;Helvetica;sans-serif" w:hAnsi="Arial;Helvetica;sans-serif"/>
          <w:sz w:val="2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conducting clinical trials in foreign countries, as we may do for palazestrant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we experience delays in the completion of, or termination of, any clinical trial of palazestrant or any product candidates we may develop in the future, the commercial prospects of palazestrant or any product candidates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develop in the future will be harmed, and our ability to generate product revenues from palazestrant or any product candidates we may develop in the future will be delayed. Moreover, any delays in completing our clinical trials will increase our costs, slow down palazestrant’s or any product candidates we may develop in the future’s development and approval process and jeopardize our ability to commence product sales and generate revenues.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many of the factors that cause, or lead to, termination or suspension of, or a delay in the commencement or completion of, clinical trials may also ultimately lead to the denial of regulatory approval of palazestrant or any product candidates we may develop in the future. Any delays in our clinical trials that occur as a result could shorten any period during which we may have the exclusive right to commercialize palazestrant or any product candidates we may develop in the future and our competitors may be able to bring products to market before we do, and the commercial viability of palazestrant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currently focused on pursuing a variety of target indications for palazestrant, and we have expended, and plan to continue to expend, significant resources to pursue these and other indications for palazestrant. In addition, in March 2023, we underwent a corporate restructuring and portfolio prioritization to focus our resources on late-stage clinical development of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approved, palazestrant may not achieve adequate market acceptance among physicians, patients, healthcare payors and others in the medical community necessary for commercial success.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palazestrant receives regulatory approval, it may not gain adequate market acceptance among physicians, patients, healthcare payors and others in the medical community. The degree of market acceptance would depend on a number of factors, including:</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efficacy and safety profile as demonstrated in clinical trials compared to alternative treatments;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of market introduction of the product candidate as well as competitive products;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clinical indications for which the product candidate is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use of palazestrant, such as boxed warnings or contraindications in labeling, or a REMS, if any, which may not be required of alternative treatments and competitor products;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potential and perceived advantages of product candidates over alternative treatments;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 of treatment in relation to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pricing and the availability of coverage and adequate reimbursement by third-party payors, including government authorities;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availability of palazestrant for use as a combination therapy;</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relative convenience and ease of administration;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willingness of the target patient population to try new therapies and of physicians to prescribe these therapies;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effectiveness of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unfavorable publicity relating to palazestrant or similar approved products or product candidates in development by third parties; and</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of other new therapies for the same indications.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palazestrant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Patient enrollment may also be affected if our competitors have ongoing clinical trials for product candidates that are under development for the same indications as palazestrant,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size and nature of the patient population;</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severity of the disease under investigation;</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availability and efficacy of approved drugs for the disease under investigation;</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eligibility criteria for the trial in question as defined in the protocol;</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perceived risks and benefits of the product candidate under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efforts to facilitate timely enrollment in clinical trials;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referral practices of physicians;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ability to monitor patients adequately during and after treatment;</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proximity and availability of clinical trial sites for prospective patients;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continued enrollment of prospective patients by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risk that patients enrolled in clinical trials will drop out of the trials before completion or, because they may be late-stage cancer patients, will not survive the full terms of the clinical trials; and</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level of resources that clinical sites have to conduct a growing number of clinical studies.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or any future product candidate we may develop and jeopardize our ability to obtain marketing approval for the sale of palazestrant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intend to develop palazestrant, and may develop future product candidates, in combination with other therapies, which exposes us to additional risks.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intend to develop palazestrant, and may develop other future product candidates, in combination with one or more other approved or unapproved therapies to treat cancer or other diseases. For example, in December 2021, we initiated a Phase 1b clinical study of palazestrant in a combination trial with a cyclin-dependent kinase 4 and 6 inhibitor, and in the third quarter of 2022 we initiated Phase 1b clinical studies of palazestrant in combination with another CDK4/6 inhibitor and with a </w:t>
      </w:r>
      <w:r>
        <w:rPr>
          <w:rFonts w:ascii="Arial;Helvetica;sans-serif" w:hAnsi="Arial;Helvetica;sans-serif"/>
          <w:sz w:val="20"/>
          <w:shd w:fill="FFFFFF" w:val="clear"/>
        </w:rPr>
        <w:t>PI3K</w:t>
      </w:r>
      <w:r>
        <w:rPr>
          <w:rFonts w:ascii="Symbol" w:hAnsi="Symbol"/>
          <w:sz w:val="20"/>
        </w:rPr>
        <w:t>a</w:t>
      </w:r>
      <w:r>
        <w:rPr>
          <w:rFonts w:ascii="Arial;Helvetica;sans-serif" w:hAnsi="Arial;Helvetica;sans-serif"/>
          <w:sz w:val="20"/>
        </w:rPr>
        <w:t xml:space="preserve"> inhibitor.</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Even if palazestrant, or any future product candidate we develop, were to receive marketing approval or be commercialized for use in combination with other existing therapies, we would continue to be subject to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or any future product candidate we may develop, are replaced as the standard of care for the indications we choose for palazestrant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also may choose to evaluate palazestrant or future product candidates in combination with one or more cancer therapies that have not yet been approved for marketing by the FDA, EMA or comparable foreign regulatory authorities. We will not be able to market and sell palazestrant,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currently in development and clinical trials, including the potential for serious adverse effects, delay in their clinical trials and lack of FDA, EMA or comparable foreign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the FDA, EMA or comparable foreign regulatory authorities do not approve these other drugs or revoke their approval of, or if safety, efficacy, quality, manufacturing or supply issues arise with, the drugs we choose to evaluate in combination with palazestrant or future product candidates we may develop, we may be unable to obtain approval of or market such combination therapy.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Risks associated with the in-licensing or acquisition of drug candidates could cause substantial delays in the preclinical and clinical development of our drug candidates.</w:t>
      </w:r>
    </w:p>
    <w:p>
      <w:pPr>
        <w:pStyle w:val="TextBody"/>
        <w:bidi w:val="0"/>
        <w:spacing w:before="120" w:after="240"/>
        <w:ind w:left="0" w:right="0" w:hanging="0"/>
        <w:jc w:val="both"/>
        <w:rPr>
          <w:rFonts w:ascii="Arial;Helvetica;sans-serif" w:hAnsi="Arial;Helvetica;sans-serif"/>
          <w:sz w:val="20"/>
        </w:rPr>
      </w:pPr>
      <w:r>
        <w:rPr>
          <w:rFonts w:ascii="Arial;Helvetica;sans-serif" w:hAnsi="Arial;Helvetica;sans-serif"/>
          <w:sz w:val="20"/>
        </w:rPr>
        <w:t xml:space="preserve">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incidence and prevalence for target patient populations of palazestrant are based on estimates and third-party sources. If the market opportunities for palazestrant,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incidence and prevalence for target patient populations of palazestrant are based on estimates and third-party sources. These estimates may be inaccurate or based on imprecise data. For example, the total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the interim, top-line, or preliminary data that we report differ from actual results, or if others, including regulatory authorities, disagree with the conclusions reached, our ability to obtain approval for, and commercialize, palazestrant or any future product candidates we may develop may be harmed,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face significant competition, and if our competitors develop and market technologies or products more rapidly than we do or that are more effective, safer or less expensive than palazestrant, or product candidates we may develop in the future, our commercial opportunities will be negatively impacted.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treatment of conditions for which we are attempting to develop palazestrant. Products we may develop in the future are also likely to face competition from other products and therapies, some of which we may not currently be aware. In addition, palazestrant and any product candidate that we may develop in the future may need to compete with off-label drugs used by physicians to treat the indications for which we seek approval. This may make it difficult for us to replace existing therapies with palazestrant and any product candidate that we may develop in the future.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40" w:before="0" w:after="240"/>
        <w:ind w:left="0" w:right="0" w:hanging="0"/>
        <w:jc w:val="both"/>
        <w:rPr>
          <w:rFonts w:ascii="Arial;Helvetica;sans-serif" w:hAnsi="Arial;Helvetica;sans-serif"/>
          <w:sz w:val="20"/>
        </w:rPr>
      </w:pPr>
      <w:r>
        <w:rPr>
          <w:rFonts w:ascii="Arial;Helvetica;sans-serif" w:hAnsi="Arial;Helvetica;sans-serif"/>
          <w:sz w:val="20"/>
        </w:rPr>
        <w:t>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Helvetica;sans-serif" w:hAnsi="Arial;Helvetica;sans-serif"/>
          <w:sz w:val="15"/>
        </w:rPr>
        <w:t>TM</w:t>
      </w:r>
      <w:r>
        <w:rPr>
          <w:rFonts w:ascii="Arial;Helvetica;sans-serif" w:hAnsi="Arial;Helvetica;sans-serif"/>
          <w:sz w:val="20"/>
        </w:rPr>
        <w:t xml:space="preserve"> by Stemline Therapeutics Inc.; giredestrant (GDC-9545), being developed by Roche Holding AG/Genentech, Inc.; camizestrant (AZD9833), being developed by AstraZeneca PLC; imlunestrant (LY3484356), being developed by Eli Lilly and Co.; </w:t>
      </w:r>
      <w:r>
        <w:rPr>
          <w:rFonts w:ascii="Arial;Helvetica;sans-serif" w:hAnsi="Arial;Helvetica;sans-serif"/>
          <w:sz w:val="20"/>
          <w:shd w:fill="FFFFFF" w:val="clear"/>
        </w:rPr>
        <w:t>vepdegestrant (</w:t>
      </w:r>
      <w:r>
        <w:rPr>
          <w:rFonts w:ascii="Arial;Helvetica;sans-serif" w:hAnsi="Arial;Helvetica;sans-serif"/>
          <w:sz w:val="20"/>
        </w:rPr>
        <w:t xml:space="preserve">ARV-471), being developed by Arvinas, Inc.; and lasofoxifene, being developed by Sermonix Pharmaceuticals.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palazestrant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or product candidates we may develop in the future obsolete, less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competitive or not economical. If we are unable to compete effectively, our opportunity to generate revenue from the sale of our product we may develop, if approved, would be adversely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methods of palazestrant manufacturing or formulation may result in additional costs or delay.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palazestrant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Any product candidate we develop may become subject to unfavorable third-party coverage and reimbursement practices, as well as pricing regulations.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palazestrant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Guidelines and recommendations published by various organizations can reduce the use of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Government agencies promulgate regulations and guidelines directly applicable to us and to palazestrant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palazestrant or any future product candidates we may develop or the use of competitive or alternative products as the standard of care to be followed by patients and healthcare providers could result in decreased use of palazestrant or any future product candidates we may develop.</w:t>
      </w:r>
    </w:p>
    <w:p>
      <w:pPr>
        <w:pStyle w:val="TextBody"/>
        <w:pBdr/>
        <w:bidi w:val="0"/>
        <w:spacing w:before="0" w:after="240"/>
        <w:ind w:left="0" w:right="0" w:hanging="720"/>
        <w:jc w:val="left"/>
        <w:rPr>
          <w:rFonts w:ascii="Arial;Helvetica;sans-serif" w:hAnsi="Arial;Helvetica;sans-serif"/>
          <w:b/>
          <w:sz w:val="20"/>
        </w:rPr>
      </w:pPr>
      <w:r>
        <w:rPr>
          <w:rFonts w:ascii="Arial;Helvetica;sans-serif" w:hAnsi="Arial;Helvetica;sans-serif"/>
          <w:b/>
          <w:sz w:val="20"/>
        </w:rPr>
        <w:t>Risks related to regulatory approval and other legal compliance matters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unable to obtain U.S. or foreign regulatory approvals and, as a result, may be unable to commercialize palazestrant or any future product candidate we may develop.</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Palazestrant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palazestrant or any product candidate we may develop will progress through required clinical testing and obtain the regulatory approvals necessary for us to begin selling them.</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also become subject to numerous foreign regulatory requirements governing, among other things, the conduct of clinical trials and manufacturing of palazestrant.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The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caused by product liability claims that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Palazestrant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is the case with pharmaceuticals generally, there have been side effects and adverse events associated with the use of palazestrant, and it is likely that there may be additional side effects and adverse events associated with the use of palazestrant or any future product candidates we may develop. Results of our clinical trials could reveal a high and unacceptable severity and prevalence of side effects or unexpected characteristics. Undesirable side effects caused by palazestrant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palazestrant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in our ongoing and planned clinical trials may in the future suffer significant adverse events or other side effects not observed in our nonclinical studies or previous clinical trials. Palazestrant or any future product candidates we may develop, may be used as chronic therapies or be used in pediatric populations, for which safety concerns may be particularly scrutinized by regulatory agencies. In addition, if palazestrant or any future product candidates we may develop, are used in combination with other therapies, palazestrant or any future product candidates we may develop may exacerbate adverse events associated with the therapy and it may not be possible to determine whether it was caused by our product or the one with which it was combined. Patients treated with palazestrant or any future candidates we may develop, may also be undergoing surgical, radiation and chemotherapy treatments, which can cause side effects or adverse events that are unrelated to palazestrant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Helvetica;sans-serif" w:hAnsi="Arial;Helvetica;sans-serif"/>
          <w:color w:val="231F20"/>
          <w:sz w:val="20"/>
        </w:rPr>
        <w:t>competent authorities of EU Member States</w:t>
      </w:r>
      <w:r>
        <w:rPr>
          <w:rFonts w:ascii="Arial;Helvetica;sans-serif" w:hAnsi="Arial;Helvetica;sans-serif"/>
          <w:sz w:val="20"/>
        </w:rPr>
        <w:t xml:space="preserve">,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business, financial condition, results of operations and prospects. Further, if palazestrant obtains marketing approval, toxicities associated with palazestrant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will cause toxicities in humans that would preclude or lead to the revocation of regulatory approval based on nonclinical studies or early-stage clinical trials.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EMA and other comparable foreign regulatory authorities may not accept data from trials conducted in locations outside of their jurisdiction.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palazestrant or any future product candidates we may develop not receiving approval for commercialization in the applicable jurisdiction.</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regulatory approval of palazestrant, or any product candidate we develop in the future, in one jurisdiction does not mean that we will be successful in obtaining regulatory approval of palazestrant, or any product candidate we develop in the future, in other jurisdictions.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regulatory approval of palazestrant,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or any product candidate we develop in the future, will be harmed.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palazestrant, or any product candidate we develop in the future, receives regulatory approval, it will be subject to significant post-marketing regulatory requirements and oversight.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regulatory approvals that we may receive for palazestrant,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palazestrant or any product candidate we develop in the future, the manufacturing processes, labeling, packaging, distribution, adverse event reporting, storage, advertising, promotion, import, export and recordkeeping for palazestrant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in or the rejection of product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our ability to conduct clinical trials, including full or partial clinical holds on ongoing or planned trials;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products, manufacturers or manufacturing process;</w:t>
            </w:r>
          </w:p>
        </w:tc>
      </w:tr>
    </w:tbl>
    <w:tbl>
      <w:tblPr>
        <w:tblW w:w="1851" w:type="dxa"/>
        <w:jc w:val="left"/>
        <w:tblInd w:w="0" w:type="dxa"/>
        <w:tblLayout w:type="fixed"/>
        <w:tblCellMar>
          <w:top w:w="28" w:type="dxa"/>
          <w:left w:w="28" w:type="dxa"/>
          <w:bottom w:w="28" w:type="dxa"/>
          <w:right w:w="28" w:type="dxa"/>
        </w:tblCellMar>
      </w:tblPr>
      <w:tblGrid>
        <w:gridCol w:w="124"/>
        <w:gridCol w:w="256"/>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warning letters;</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civil and criminal penalties;</w:t>
            </w:r>
          </w:p>
        </w:tc>
      </w:tr>
    </w:tbl>
    <w:tbl>
      <w:tblPr>
        <w:tblW w:w="1521" w:type="dxa"/>
        <w:jc w:val="left"/>
        <w:tblInd w:w="0" w:type="dxa"/>
        <w:tblLayout w:type="fixed"/>
        <w:tblCellMar>
          <w:top w:w="28" w:type="dxa"/>
          <w:left w:w="28" w:type="dxa"/>
          <w:bottom w:w="28" w:type="dxa"/>
          <w:right w:w="28" w:type="dxa"/>
        </w:tblCellMar>
      </w:tblPr>
      <w:tblGrid>
        <w:gridCol w:w="124"/>
        <w:gridCol w:w="256"/>
        <w:gridCol w:w="1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injunctions;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suspension or withdrawal of regulatory approvals;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 seizures, detentions or import bans;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voluntary or mandatory product recalls and publicity requirements;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total or partial suspension of production;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imposition of restrictions on operations, including costly new manufacturing requirements.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occurrence of any event or penalty described above may inhibit our ability to commercialize palazestrant, or any product candidate we may develop in the future, and generate revenue and could require us to expend significant time and resources in response and could generate negative publicity.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FDA’s and other regulatory authorities’ policies may change, and additional government regulations may be enacted that could prevent, limit or delay regulatory approval of palazestrant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and other regulatory agencies actively enforce the laws and regulations prohibiting the promotion of off-label uses.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palazestrant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palazestrant or any future product candidates we may develop, if approved. In particular, a product may not be promoted for uses that are not approved by the FDA or such other regulatory agencies as reflected in the product’s approved labeling. If we receive marketing approval for palazestrant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or any future product candidates we may develop, if approved, we could become subject to significant liability, which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Disruptions at the FDA, EMA, applicable foreign regulatory authorities,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delayed.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Disruptions at the FDA and other agencies may also slow the time necessary for new drugs to be reviewed and/or approved by necessary government agencies,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in the future seek an accelerated approval for palazestrant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Prior to seeking accelerated approval for palazestrant,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would result in a longer time period to commercialization of such product candidate, could increase the cost of development of palazestrant and could harm our competitive position in the marketplace.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face difficulties from changes to current regulations and future legislation.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Existing regulatory policies may change, and additional government regulations may be enacted that could prevent, limit or delay regulatory approval of palazestrant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It is currently unclear how the IRA will be implemented but is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or any future product candidates we may develop, if any, may be.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 xml:space="preserve">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Helvetica;sans-serif" w:hAnsi="Arial;Helvetica;sans-serif"/>
                <w:b w:val="false"/>
                <w:i w:val="false"/>
                <w:caps w:val="false"/>
                <w:smallCaps w:val="false"/>
                <w:sz w:val="20"/>
              </w:rPr>
              <w:t>doctors, dentists, optometrists, podiatrists and chiropractors), other healthcare professionals (such as physician assistants and nurse practitioners),</w:t>
            </w:r>
            <w:r>
              <w:rPr>
                <w:caps w:val="false"/>
                <w:smallCaps w:val="false"/>
                <w:color w:val="231F20"/>
              </w:rPr>
              <w:t xml:space="preserve"> </w:t>
            </w:r>
            <w:r>
              <w:rPr>
                <w:rFonts w:ascii="Arial;Helvetica;sans-serif" w:hAnsi="Arial;Helvetica;sans-serif"/>
                <w:b w:val="false"/>
                <w:i w:val="false"/>
                <w:caps w:val="false"/>
                <w:smallCaps w:val="false"/>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are subject to stringent and evolving U.S. and foreign laws, regulations, rules, contractual obligations, policies and other obligations related to data privacy and security.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State, federal, and international laws, regulations, and rules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European Economic Area, or EEA, or the UK, security breach notifications and the security and confidentiality of personal data. Further, the UK has implemented legislation similar to the GDPR, including the UK Data Protection Act and the UK GDPR, which provides for fines of up to the greater of 17.5 million British Pounds or 4% of a company’s worldwide turnover, whichever is higher.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the UK.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Virginia, Colorado, Utah and Connecticut all passed comprehensive privacy laws that have or will go into effect in 2023.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of our systems or our third-party service providers could harm our reputation and brand, expose us to potential liability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research and development activities could be affected or delayed as a result of possible restrictions on animal testing.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Risks related to employee matters, managing our growth and other risks related to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Unfavorable U.S. and global macroeconomic and geopolitical conditions could adversely affect our business, financial condition and results of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results of operations could be adversely affected by general conditions in the U.S. and global economies, the U.S. and global financial markets and adverse geopolitical and macroeconomic developments, including the COVID-19 pandemic, the ongoing conflict between Ukraine and Russia and related sanctions, and recent bank failures and financial instability. U.S. and global market and economic conditions have been, and continue to be, disrupted and volatile due to many factors, including component shortages and related supply chain challenges, geopolitical developments such as the COVID-19 pandemic, the ongoing conflict between Ukraine and Russia and related sanctions, recent bank failures and financial instability,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is highly dependent on our ability to attract and retain highly skilled executive officers and employees.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our company and may be required to expend significant financial resources in our employee recruitment and retention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or any other product candidate will be limited and the potential for successfully growing our business will be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establish sales or marketing capabilities or enter into agreements with third parties to sell or market palazestrant or any product candidate we may develop in the future, we may not be able to successfully sell or market palazestrant or any future product candidate we may develop that obtain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or any future product candidate we may develop. We may not be successful in accomplishing these required tasks.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Establishing an internal sales or marketing team with technical expertise and supporting distribution capabilities to commercialize palazestrant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Factors that may affect our ability to commercialize palazestrant, or any future product candidate we may develop, on our own include recruiting and retaining adequate numbers of effective sales and marketing personnel, obtaining access to or persuading adequate numbers of physicians to prescribe palazestrant or any future product candidates we may develop and other unforeseen costs associated with creating an independent sales and marketing organization. Developing a sales and marketing organization will be expensive and time-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consuming and could delay the launch of palazestrant or any future product candidate we may develop. We may not be able to build an effective sales and marketing organization. If we are unable to build our own distribution and marketing capabilities or to find suitable partners for the commercialization of palazestrant or any future product candidate we may develop, we may not generate revenues from such product candidate or be able to reach or sustain profitability.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 order to successfully implement our plans and strategies, we will need to grow the size of our organization, and we may experience difficulties in managing this growth.</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June 30, 2023, we had 72 employees, 67 of whom were full-time, including 47 employees engaged in research and development. In March 2023, we implemented a reduction in force, which reduced our workforce by approximately 25% as part of our corporate restructuring and portfolio prioritization. However,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identifying, recruiting, integrating, maintaining and motivating additional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managing our internal development efforts effectively, including the clinical, FDA, EMA and other comparable foreign regulatory agencies’ review process for palazestrant and any other future product candidates we may develop, while complying with any contractual obligations to contractors and other third parties we may have; and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improving our operational, financial and management controls, reporting systems and procedures.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expect to be conducting multiple clinical trials of palazestrant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are not able to effectively expand our organization by hiring new employees and/or engaging additional third-party service providers, we may not be able to successfully implement the tasks necessary to further develop and commercialize palazestrant and any other future product candidates we may develop and, accordingly, may not achieve our research, development and commercialization goals.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We have in the past and may in the future be subject to security breaches. For instance, we have had company laptops containing corporate information stolen from company offices.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such an event were to occur or were alleged to have occurred and cause interruptions in our operations or result in the unauthorized acquisition of or access to personally identifiable information or individually identifiable health information,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could be delayed, and we could be subject to significant fines or penalties for any noncompliance with certain state, federal and/or international privacy and security laws.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could have high deductibles in any event, and defending a suit, regardless of its merit, could be costly and divert management attention.</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EU drug marketing and reimbursement regulations may materially affect our ability to market and receive coverage for our product in the European member states.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intend to seek approval to market palazestrant in both the United States and in selected foreign jurisdictions. If we obtain approval in one or more foreign jurisdictions for palazestrant,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In these countries, pricing negotiations with governmental authorities can take considerable time after obtaining marketing approval of a product candidate. In addition, market acceptance and sales of palazestrant will depend significantly on the availability of adequate coverage and reimbursement from third-party payors for palazestrant and may be affected by existing and future healthcare reform measures.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palazestrant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palazestrant in those countries would be negatively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Business disruptions could seriously harm our future revenue and financial condition and increase our costs and expenses.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ability to develop palazestrant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ability to utilize our net operating loss carryforwards and certain other tax attributes may be limited.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 variety of risks associated with marketing palazestrant or any future product candidate we may develop internationally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plan to seek regulatory approval of palazestrant or any future product candidates we may develop outside of the United States and, accordingly, we expect that we will be subject to additional risks related to operating in foreign countries if we obtain the necessary approvals, including:</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differing regulatory requirements and reimbursement regimes in foreign countries;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unexpected changes in tariffs, trade barriers, price and exchange controls and other regulatory requirements;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economic weakness, including inflation, or political instability in particular foreign economies and markets;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compliance with tax, employment, immigration and labor laws for employees living or traveling abroad;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taxes, including withholding of payroll taxes;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currency fluctuations, which could result in increased operating expenses and reduced revenue, and other obligations incident to doing business in another country;</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difficulties staffing and managing foreign operations;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workforce uncertainty in countries where labor unrest is more common than in the United States;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potential liability under the FCPA or comparable foreign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challenges enforcing our contractual and intellectual property rights, especially in those foreign countries that do not respect and protect intellectual property rights to the same extent as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production shortages resulting from any events affecting raw material supply or manufacturing capabilities abroad;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business interruptions resulting from geo-political actions, including war and terrorism.</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and other risks associated with our international operations may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intellectual property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depends on our ability to protect our intellectual property and our proprietary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commercial success depends in part on our ability to obtain and maintain proprietary or intellectual property protection in the United States and other countries for palazestrant and any future product candidates that we may develop and technologies related to their various uses. We generally seek to protect our proprietary position by, among other things, filing patent applications in the United States and abroad related to palazestrant,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proprietary technologies and their uses,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or any future product candidates we may develop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application process is subject to numerous risks and uncertainties, and there can be no assurance that we or any of our potential future collaborators will be successful in protecting palazestrant or any future product candidates we may develop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patent applications must be filed in advance of certain events (</w:t>
            </w:r>
            <w:r>
              <w:rPr>
                <w:rFonts w:ascii="Arial;Helvetica;sans-serif" w:hAnsi="Arial;Helvetica;sans-serif"/>
                <w:b w:val="false"/>
                <w:i/>
                <w:color w:val="231F20"/>
                <w:sz w:val="20"/>
              </w:rPr>
              <w:t xml:space="preserve">e.g., </w:t>
            </w:r>
            <w:r>
              <w:rPr>
                <w:rFonts w:ascii="Arial;Helvetica;sans-serif" w:hAnsi="Arial;Helvetica;sans-serif"/>
                <w:b w:val="false"/>
                <w:i w:val="false"/>
                <w:caps w:val="false"/>
                <w:smallCaps w:val="false"/>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patents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there may be significant pressure on the U.S. government and international governmental bodies to limit the scope of patent protection both inside and outside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which effectively prevent others from commercializing competitive technologies and product candidates.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issues, it may be susceptible to challenge that it is not valid over art that was not considered during its examination.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competitive advantage.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be able to detect infringement of our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be able to develop products that are similar to palazestrant, or any future product candidates we may develop, but that are not covered by the claims of the patents that we may in-license in the future or own;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may seek or may have already obtained patents that will limit, interfere with or eliminate our ability to make, use and sell palazestrant or any future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not have been the first to make the inventions covered by the issued patents or patent application that we may in-license in the future or own;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be found not have been the first to file patent applications covering certain of our or their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independently develop similar or alternative technologies or duplicate any of our technologies without infringing our intellectual property rights;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 pending patent applications we may in-license in the future or own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there are prior public disclosures that could invalidate our patents, or parts of our patents, for which we are not aware;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that we hold rights to may be held invalid or unenforceable, as a result of legal challenges by our competitors;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may not have sufficient term or geographic scope to provide meaningful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develop additional proprietary technologies that are patentable;</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patents of others may have an adverse effect on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choose not to file a patent in order to maintain certain trade secrets, and a third party may subsequently file a patent covering such intellectual property.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entities may have or obtain patents or proprietary rights that could limit our ability to make, use, sell, offer for sale or import palazestrant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or any future product candidates we may develop. There may be third-party patents or patent applications with claims to compositions, formulations, methods of manufacture or methods for treatment related to the use or manufacture of palazestrant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the biopharmaceutical industry expands and more patents are issued, the risk increases that palazestrant,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claims of patent infringement, misappropriation or other violations asserted by third parties would be time consuming and could:</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 in costly litigation that may cause negative publicity;</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cause development delays;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prevent us from commercializing palazestrant or any future product candidates we may develop;</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develop non-infringing technology, which may not be possible on a cost-effective basis;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 us to significant liability to third parties;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or a future strategic partner were able to obtain a license, the rights may be nonexclusive, which could result in our competitors gaining access to the same intellectual property. In addition, we cannot be certain that we could redesign palazestrant or any future product candidates we may develop processes to avoid infringement, if necessary.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 adverse determination in a judicial or administrative proceeding, or the failure to obtain necessary licenses, could prevent us from developing and commercializing palazestrant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and future product candidates and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not be successful in obtaining or maintaining necessary rights from third parties for that we identify as necessary for palazestrant through acquisitions and in-licenses.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we may have issued patents that cover palazestrant, it is possible that third parties may have blocking patents that prevent us from marketing, manufacturing or commercializing our own patented products and practicing our own patented technology.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palazestrant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Intellectual property litigation may lead to unfavorable publicity that harms our reputation and causes the market price of our common shares to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or any future product candidates to market.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or any future product candidate we may develop or (2) invent any of the inventions claimed in the patents or patent applications.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U.S. patent law, or laws in other countries, could diminish the value of patents in general, thereby impairing our ability to protect palazestrant or any future product candidates we may develop.</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challenging the inventorship or ownership of our patents and other intellectual property.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Patent terms may be inadequate to protect our competitive position on palazestrant or any future product candidates we may develop for an adequate amount of time.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protection for certain patents in all markets due to finite availability of resources.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do not obtain patent term extension for palazestrant or any future product candidates we may develop,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Depending upon the timing, duration and specifics of FDA marketing approval of palazestrant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will not be able to protect our intellectual property rights throughout the world.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or any future product candidates we may develop, without any available recourse.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that we or our employees have wrongfully used or disclosed alleged confidential information or trade secrets.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litigation could have a material adverse effect on our ability to raise additional funds or otherwise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rights to develop and commercialize our technology and product candidate may be subject, in part, to the terms and conditions of licenses granted to us by others.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enter into license agreements in the future with others to advance our research or allow commercialization of palazestrant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Disputes may arise between us and our past, current or future licensors regarding intellectual property subject to a license agreement, including:</w:t>
      </w:r>
    </w:p>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whether and the extent to which our technology and processes infringe on intellectual property of the licensor that is not subject to the licensing agreement;</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sublicense patents and other rights to third parties;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diligence obligations under the license agreement and what activities satisfy those diligence obligations;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transfer or assign the license;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inventorship and ownership of inventions and know-how resulting from the joint creation or use of intellectual property by our licensors and us and our partners;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priority of invention of patented technology.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dependence on third parties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or future product candidates we may develop and our business, financial condition, results of operations and prospects could be significantly harmed.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As a result, our results of operations and the commercial prospects for palazestrant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expect to continue to rely on third-party manufacturers for the commercial supply of palazestrant, if we obtain marketing approval. We may be unable to maintain or establish required agreements with third-party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manufacturers or to do so on acceptable terms. Even if we are able to establish agreements with third-party manufacturers, reliance on third-party manufacturers entails additional risks,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disruptions resulting from the impact of public health pandemics or epidemics (including, for example,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reduction or termination of production or deliveries by suppliers, or the raising of prices or renegotiation of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termination or nonrenewal of arrangements or agreements by our third-party contractors at a time that is costly or inconvenient for us;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breach by the third-party contractors of our agreements with them;</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third-party contractors to comply with applicable regulatory requirements;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palazestrant according to our specifications;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mislabeling of clinical supplies, potentially resulting in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supplies not being delivered to clinical sites on time, leading to clinical trial interruptions, or of drug supplies not being distributed to commercial vendors in a timely manner, resulting in lost sales; and</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misappropriation of our proprietary information, including our trade secrets and know-how.</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example, for our Phase 1b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 clinical study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increased operating expenses and cash requirements;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assumption of contingent liabilities;</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issuance of our equity securities;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assimilation of operations, intellectual property and products of an acquired company, including difficulties associated with integrating new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diversion of our management’s attention from our existing programs and initiatives in pursuing such a strategic merger or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retention of key employees, the loss of key personnel and 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of delay in receiving or the failure to receive anticipated benefits of any such transactions, or of facing unanticipated challenges;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risks and uncertainties associated with the other party to such a transaction, including the prospects of that party and their existing products or product candidates and marketing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have significant discretion in determining the efforts and resources that they will apply to these collaborations and may not perform their obligations as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 collaborator with marketing and distribution rights to multiple products may not commit sufficient resources to the marketing and distribution of our product relative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collaborations may be terminated and, if terminated, may result in a need for additional capital to pursue further development or commercialization of the applicable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 agreements may not lead to development or commercialization of product candidates in the most efficient manner or at all;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a collaborator of ours were to be involved in a business combination, the continued pursuit and emphasis on our drug development or commercialization program could be delayed, diminished or terminated.</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drug development programs and the potential commercialization of palazestrant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or any future product candidates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or any future product candidates we may develop or bring them to market and generate product revenue.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ownership of our common stock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 active trading market for our common stock may not be sustained.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price of our stock has been and may continue to be volatile, and you could lose all or part of your investment.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trading price of our common stock has been and may continue to be highly volatile and subject to wide fluctuations in response to various factors, some of which we cannot control. For example, the closing price of our common stock from January 1, 2022 to August 4, 2023 has ranged from a low of $2.04 to a high of $9.72.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results of nonclinical studies and clinical trials of palazestrant or any future product candidates we may develop or those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 of competitive products or announcements by potential competitors of their product development efforts;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actions with respect to our product candidate or our competitors’ products;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our growth rate relative to our competitors;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or legal developments in the United States and other countries;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developments or disputes concerning patent applications, issued patents or other proprietary rights;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recruitment or departure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announcements by us or our competitors of significant acquisitions, strategic collaborations, joint ventures, collaborations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estimates as to financial results, development timelines or recommendations by securities analysts;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fluctuations in the valuation of companies perceived by investors to be comparable to us;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market conditions in the pharmaceutical and biotechnology sector;</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the structure of healthcare payment systems;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share price and volume fluctuations attributable to inconsistent trading volume levels of our shares;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 or expectation of additional financing efforts;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sales of our common stock by us, our insiders or our other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general geopolitical, macroeconomic, industry and market conditions, including the COVID-19 pandemic, the ongoing conflict between Ukraine and Russia and related sanctions, and recent bank failures and financial instability.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 trading prices for common stock of other biopharmaceutical companies have been highly volatile as a result of factors unrelated to the specific company or its technology, as well as due to the COVID-19 pandemic.</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our operating results to be subject to quarterly fluctuations. Our net loss and other operating results will be affected by numerous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variations in the level of expense related to the ongoing development of palazestrant or future development programs;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status of enrollment for our clinical trials;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impacts from geopolitical and macroeconomic events on us or third parties with which we engage;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results of clinical trials, or the addition or termination of clinical trials or funding support by us or potential future partners;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execution of any collaboration, licensing or similar arrangements, and the timing of payments we may make or receive under potential future arrangements or the termination or modification of any such potential future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intellectual property infringement, misappropriation or violation lawsuit or opposition, interference or cancellation proceeding in which we may become involved;</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additions and departures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strategic decisions by us or our competitors, such as acquisitions, divestitures, spin-offs, joint ventures, strategic investments or changes in business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palazestrant or any future product candidate we may develop receive regulatory approval, the timing and terms of such approval and market acceptance and demand for such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developments affecting palazestrant or any future product candidate we may develop or those of our competitors;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general market and economic conditions.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principal stockholders and management own a significant percentage of our stock and will be able to exert significant control over matters subject to stockholder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Sales of a substantial number of shares of our common stock in the public market could cause our stock price to fall.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June 30, 2023, we had 41,122,482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Raising additional capital may cause dilution to our existing stockholders, restrict our operations or require us to relinquish rights to palazestrant or future product candidates we may develop on unfavorable terms to 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our annual revenue was less than $100.0 million during the most recently completed fiscal year and the market value of our voting and non-voting common stock held by non-affiliates was less than $560.0 million measured on the last business day of our second fiscal quarter for the year ending December 31, 2022,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New or future changes to tax laws could materially adversely affect our company.</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9531" w:type="dxa"/>
        <w:jc w:val="left"/>
        <w:tblInd w:w="0" w:type="dxa"/>
        <w:shd w:fill="FFFFFF" w:val="clear"/>
        <w:tblLayout w:type="fixed"/>
        <w:tblCellMar>
          <w:top w:w="28" w:type="dxa"/>
          <w:left w:w="28" w:type="dxa"/>
          <w:bottom w:w="28" w:type="dxa"/>
          <w:right w:w="28" w:type="dxa"/>
        </w:tblCellMar>
      </w:tblPr>
      <w:tblGrid>
        <w:gridCol w:w="124"/>
        <w:gridCol w:w="256"/>
        <w:gridCol w:w="915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 a classified Board of Directors such that not all members of the board are elected at one time;</w:t>
            </w:r>
          </w:p>
        </w:tc>
      </w:tr>
    </w:tbl>
    <w:tbl>
      <w:tblPr>
        <w:tblW w:w="9456" w:type="dxa"/>
        <w:jc w:val="left"/>
        <w:tblInd w:w="0" w:type="dxa"/>
        <w:shd w:fill="FFFFFF" w:val="clear"/>
        <w:tblLayout w:type="fixed"/>
        <w:tblCellMar>
          <w:top w:w="28" w:type="dxa"/>
          <w:left w:w="28" w:type="dxa"/>
          <w:bottom w:w="28" w:type="dxa"/>
          <w:right w:w="28" w:type="dxa"/>
        </w:tblCellMar>
      </w:tblPr>
      <w:tblGrid>
        <w:gridCol w:w="124"/>
        <w:gridCol w:w="256"/>
        <w:gridCol w:w="9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 the authorized number of our directors to be changed only by resolution of our Board of Directors;</w:t>
            </w:r>
          </w:p>
        </w:tc>
      </w:tr>
    </w:tbl>
    <w:tbl>
      <w:tblPr>
        <w:tblW w:w="7131" w:type="dxa"/>
        <w:jc w:val="left"/>
        <w:tblInd w:w="0" w:type="dxa"/>
        <w:shd w:fill="FFFFFF" w:val="clear"/>
        <w:tblLayout w:type="fixed"/>
        <w:tblCellMar>
          <w:top w:w="28" w:type="dxa"/>
          <w:left w:w="28" w:type="dxa"/>
          <w:bottom w:w="28" w:type="dxa"/>
          <w:right w:w="28" w:type="dxa"/>
        </w:tblCellMar>
      </w:tblPr>
      <w:tblGrid>
        <w:gridCol w:w="124"/>
        <w:gridCol w:w="256"/>
        <w:gridCol w:w="675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 the manner in which stockholders can remove directors from the board;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 advance notice requirements for stockholder proposals that can be acted on at stockholder meetings and nominations to our Board of Directors;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 that stockholder actions must be effected at a duly called stockholder meeting and prohibit actions by our stockholders by written consent;</w:t>
            </w:r>
          </w:p>
        </w:tc>
      </w:tr>
    </w:tbl>
    <w:tbl>
      <w:tblPr>
        <w:tblW w:w="7101" w:type="dxa"/>
        <w:jc w:val="left"/>
        <w:tblInd w:w="0" w:type="dxa"/>
        <w:shd w:fill="FFFFFF" w:val="clear"/>
        <w:tblLayout w:type="fixed"/>
        <w:tblCellMar>
          <w:top w:w="28" w:type="dxa"/>
          <w:left w:w="28" w:type="dxa"/>
          <w:bottom w:w="28" w:type="dxa"/>
          <w:right w:w="28" w:type="dxa"/>
        </w:tblCellMar>
      </w:tblPr>
      <w:tblGrid>
        <w:gridCol w:w="124"/>
        <w:gridCol w:w="256"/>
        <w:gridCol w:w="67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prohibit our stockholders from calling a special meeting of our stockholders;</w:t>
            </w:r>
          </w:p>
        </w:tc>
      </w:tr>
    </w:tbl>
    <w:tbl>
      <w:tblPr>
        <w:tblW w:w="2811" w:type="dxa"/>
        <w:jc w:val="left"/>
        <w:tblInd w:w="0" w:type="dxa"/>
        <w:shd w:fill="FFFFFF" w:val="clear"/>
        <w:tblLayout w:type="fixed"/>
        <w:tblCellMar>
          <w:top w:w="28" w:type="dxa"/>
          <w:left w:w="28" w:type="dxa"/>
          <w:bottom w:w="28" w:type="dxa"/>
          <w:right w:w="28" w:type="dxa"/>
        </w:tblCellMar>
      </w:tblPr>
      <w:tblGrid>
        <w:gridCol w:w="124"/>
        <w:gridCol w:w="256"/>
        <w:gridCol w:w="24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prohibit cumulative voting;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 the approval of the holders of at least 662⁄3% of the votes that all our stockholders would be entitled to cast to amend or repeal certain provisions of our amended and restated certificate of incorporations or amended and restated bylaws.</w:t>
            </w:r>
          </w:p>
        </w:tc>
      </w:tr>
    </w:tbl>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provides that the Court of Chancery of the State of Delaware is the exclusive forum for the following types of actions or proceedings under Delaware statutory or common law:</w:t>
      </w:r>
    </w:p>
    <w:tbl>
      <w:tblPr>
        <w:tblW w:w="5511" w:type="dxa"/>
        <w:jc w:val="left"/>
        <w:tblInd w:w="0" w:type="dxa"/>
        <w:shd w:fill="FFFFFF" w:val="clear"/>
        <w:tblLayout w:type="fixed"/>
        <w:tblCellMar>
          <w:top w:w="28" w:type="dxa"/>
          <w:left w:w="28" w:type="dxa"/>
          <w:bottom w:w="28" w:type="dxa"/>
          <w:right w:w="28" w:type="dxa"/>
        </w:tblCellMar>
      </w:tblPr>
      <w:tblGrid>
        <w:gridCol w:w="124"/>
        <w:gridCol w:w="256"/>
        <w:gridCol w:w="51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derivative action or proceeding brought on our behalf;</w:t>
            </w:r>
          </w:p>
        </w:tc>
      </w:tr>
    </w:tbl>
    <w:tbl>
      <w:tblPr>
        <w:tblW w:w="5361" w:type="dxa"/>
        <w:jc w:val="left"/>
        <w:tblInd w:w="0" w:type="dxa"/>
        <w:shd w:fill="FFFFFF" w:val="clear"/>
        <w:tblLayout w:type="fixed"/>
        <w:tblCellMar>
          <w:top w:w="28" w:type="dxa"/>
          <w:left w:w="28" w:type="dxa"/>
          <w:bottom w:w="28" w:type="dxa"/>
          <w:right w:w="28" w:type="dxa"/>
        </w:tblCellMar>
      </w:tblPr>
      <w:tblGrid>
        <w:gridCol w:w="124"/>
        <w:gridCol w:w="256"/>
        <w:gridCol w:w="49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of breach of fiduciary duty;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against us arising under the DGCL, our amended and restated certificate of incorporation or our amended and restated bylaws;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against us that is governed by the internal-affairs doctrine or otherwise related to our internal affairs.</w:t>
            </w:r>
          </w:p>
        </w:tc>
      </w:tr>
    </w:tbl>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do not currently intend to pay dividends on our common stock and, consequently, your ability to achieve a return on your investment will depend on appreciation of the value of our common stock.</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never declared or paid any cash dividends on our equity securities. We currently anticipate that we will retain future earnings for the development, operation and expansion of our business and do not anticipate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declaring or paying any cash dividends for the foreseeable future. Any return to stockholders will therefore be limited to any appreciation in the value of our common stock, which is not certain.</w:t>
      </w:r>
    </w:p>
    <w:p>
      <w:pPr>
        <w:pStyle w:val="TextBody"/>
        <w:shd w:fill="FFFFFF" w:val="clear"/>
        <w:bidi w:val="0"/>
        <w:spacing w:before="0" w:after="240"/>
        <w:ind w:left="0" w:right="0" w:hanging="0"/>
        <w:jc w:val="both"/>
        <w:rPr>
          <w:rFonts w:ascii="Arial;Helvetica;sans-serif" w:hAnsi="Arial;Helvetica;sans-serif"/>
          <w:b/>
          <w:sz w:val="20"/>
        </w:rPr>
      </w:pPr>
      <w:r>
        <w:rPr>
          <w:rFonts w:ascii="Arial;Helvetica;sans-serif" w:hAnsi="Arial;Helvetica;sans-serif"/>
          <w:b/>
          <w:sz w:val="20"/>
        </w:rPr>
        <w:t>General risk factors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requirements of being a public company may strain our resources, result in more litigation and divert management’s attention.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securities litigation, which is expensive and could divert management attention.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21" w:name="Item2UnregisteredSalesofEquitySecurities"/>
      <w:bookmarkStart w:id="1222" w:name="_504809c7_e5d0_48e2_a2ea_eabe2e338dd3"/>
      <w:bookmarkEnd w:id="1221"/>
      <w:bookmarkEnd w:id="1222"/>
      <w:r>
        <w:rPr>
          <w:rFonts w:ascii="Arial;Helvetica;sans-serif" w:hAnsi="Arial;Helvetica;sans-serif"/>
          <w:b/>
          <w:sz w:val="20"/>
        </w:rPr>
        <w:t>Item 2. Unregistered Sales of Equity Securities and Use of Proceeds.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Sales of Unregistered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Proceeds from our Initial Public Offering of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sale and issuance of 12,650,000 shares in the IPO closed on November 23, 2020, J.P. Morgan Securities LLC, Jefferies LLC and Cowen and Company, LLC acted as joint book-running managers for the offering.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has been no material change in the planned use of proceeds from the IPO from that described in the prospectus filed with the SEC pursuant to Rule 424(b)(4) under the Securities Act on November 19, 2020.</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Repurchase of Shares of Company Equity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223" w:name="Item3DefaultsUponSeniorSecurities_285444"/>
      <w:bookmarkStart w:id="1224" w:name="_6656a47a_6094_4dd0_afe5_a0b41fba0d3d"/>
      <w:bookmarkEnd w:id="1223"/>
      <w:bookmarkEnd w:id="1224"/>
      <w:r>
        <w:rPr>
          <w:rFonts w:ascii="Arial;Helvetica;sans-serif" w:hAnsi="Arial;Helvetica;sans-serif"/>
          <w:b/>
          <w:sz w:val="20"/>
        </w:rPr>
        <w:t>Item 3. Defaults Upon Senior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sz w:val="20"/>
        </w:rPr>
      </w:pPr>
      <w:bookmarkStart w:id="1225" w:name="Item4MineSafetyDisclosures_363877"/>
      <w:bookmarkStart w:id="1226" w:name="_307368c8_5f1c_43f7_ad0a_a2748f06150f"/>
      <w:bookmarkEnd w:id="1225"/>
      <w:bookmarkEnd w:id="1226"/>
      <w:r>
        <w:rPr>
          <w:rFonts w:ascii="Arial;Helvetica;sans-serif" w:hAnsi="Arial;Helvetica;sans-serif"/>
          <w:b/>
          <w:sz w:val="20"/>
        </w:rPr>
        <w:t>Item 4. Mine Safety Disclosures.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sz w:val="20"/>
        </w:rPr>
      </w:pPr>
      <w:bookmarkStart w:id="1227" w:name="Item5OtherInformation_250924"/>
      <w:bookmarkStart w:id="1228" w:name="_98949e7a_aff2_46fc_954e_c235ffd0230c"/>
      <w:bookmarkEnd w:id="1227"/>
      <w:bookmarkEnd w:id="1228"/>
      <w:r>
        <w:rPr>
          <w:rFonts w:ascii="Arial;Helvetica;sans-serif" w:hAnsi="Arial;Helvetica;sans-serif"/>
          <w:b/>
          <w:sz w:val="20"/>
        </w:rPr>
        <w:t>Item 5. Other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29" w:name="Item6Exhibits_686387"/>
      <w:bookmarkStart w:id="1230" w:name="_d54c43a4_ba55_48a8_97d5_89cf07dd0cf9"/>
      <w:bookmarkEnd w:id="1229"/>
      <w:bookmarkEnd w:id="1230"/>
      <w:r>
        <w:rPr>
          <w:rFonts w:ascii="Arial;Helvetica;sans-serif" w:hAnsi="Arial;Helvetica;sans-serif"/>
          <w:b/>
          <w:sz w:val="20"/>
        </w:rPr>
        <w:t>Item 6. Exhibits.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88"/>
        <w:gridCol w:w="5818"/>
        <w:gridCol w:w="976"/>
        <w:gridCol w:w="951"/>
        <w:gridCol w:w="766"/>
        <w:gridCol w:w="806"/>
      </w:tblGrid>
      <w:tr>
        <w:trPr/>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63880" cy="175260"/>
                      <wp:effectExtent l="0" t="0" r="0" b="0"/>
                      <wp:wrapNone/>
                      <wp:docPr id="229" name="Frame22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94430" cy="175260"/>
                      <wp:effectExtent l="0" t="0" r="0" b="0"/>
                      <wp:wrapNone/>
                      <wp:docPr id="230" name="Frame230"/>
                      <a:graphic xmlns:a="http://schemas.openxmlformats.org/drawingml/2006/main">
                        <a:graphicData uri="http://schemas.microsoft.com/office/word/2010/wordprocessingShape">
                          <wps:wsp>
                            <wps:cNvSpPr txBox="1"/>
                            <wps:spPr>
                              <a:xfrm>
                                <a:off x="0" y="0"/>
                                <a:ext cx="3694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9760" cy="175260"/>
                      <wp:effectExtent l="0" t="0" r="0" b="0"/>
                      <wp:wrapNone/>
                      <wp:docPr id="231" name="Frame2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3885" cy="175260"/>
                      <wp:effectExtent l="0" t="0" r="0" b="0"/>
                      <wp:wrapNone/>
                      <wp:docPr id="232" name="Frame232"/>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86410" cy="175260"/>
                      <wp:effectExtent l="0" t="0" r="0" b="0"/>
                      <wp:wrapNone/>
                      <wp:docPr id="233" name="Frame2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11810" cy="175260"/>
                      <wp:effectExtent l="0" t="0" r="0" b="0"/>
                      <wp:wrapNone/>
                      <wp:docPr id="234" name="Frame234"/>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8" w:type="dxa"/>
            <w:tcBorders/>
            <w:vAlign w:val="center"/>
          </w:tcPr>
          <w:p>
            <w:pPr>
              <w:pStyle w:val="TableContents"/>
              <w:bidi w:val="0"/>
              <w:spacing w:before="0" w:after="0"/>
              <w:ind w:left="0" w:right="0" w:hanging="0"/>
              <w:jc w:val="left"/>
              <w:rPr/>
            </w:pPr>
            <w:r>
              <w:rPr/>
              <w:t>​</w:t>
            </w:r>
          </w:p>
        </w:tc>
        <w:tc>
          <w:tcPr>
            <w:tcW w:w="5818" w:type="dxa"/>
            <w:tcBorders/>
            <w:vAlign w:val="center"/>
          </w:tcPr>
          <w:p>
            <w:pPr>
              <w:pStyle w:val="TableContents"/>
              <w:bidi w:val="0"/>
              <w:spacing w:before="0" w:after="0"/>
              <w:ind w:left="0" w:right="0" w:hanging="0"/>
              <w:jc w:val="left"/>
              <w:rPr/>
            </w:pPr>
            <w:r>
              <w:rPr/>
              <w:t>​</w:t>
            </w:r>
          </w:p>
        </w:tc>
        <w:tc>
          <w:tcPr>
            <w:tcW w:w="3499" w:type="dxa"/>
            <w:gridSpan w:val="4"/>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Incorporated by Reference</w:t>
            </w:r>
          </w:p>
        </w:tc>
      </w:tr>
      <w:tr>
        <w:trPr/>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581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Schedule</w:t>
              <w:br/>
              <w:t>Form</w:t>
            </w:r>
          </w:p>
        </w:tc>
        <w:tc>
          <w:tcPr>
            <w:tcW w:w="95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 Number</w:t>
            </w:r>
          </w:p>
        </w:tc>
        <w:tc>
          <w:tcPr>
            <w:tcW w:w="76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80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r>
      <w:tr>
        <w:trPr/>
        <w:tc>
          <w:tcPr>
            <w:tcW w:w="888"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5818"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w:t>
              </w:r>
            </w:hyperlink>
            <w:r>
              <w:rPr>
                <w:rFonts w:ascii="Arial;Helvetica;sans-serif" w:hAnsi="Arial;Helvetica;sans-serif"/>
                <w:sz w:val="20"/>
              </w:rPr>
              <w:t>.</w:t>
            </w:r>
          </w:p>
        </w:tc>
        <w:tc>
          <w:tcPr>
            <w:tcW w:w="97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80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11/23/2020</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5818"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w:t>
              </w:r>
            </w:hyperlink>
            <w:r>
              <w:rPr>
                <w:rFonts w:ascii="Arial;Helvetica;sans-serif" w:hAnsi="Arial;Helvetica;sans-serif"/>
                <w:sz w:val="20"/>
              </w:rPr>
              <w:t>.</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80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12/16/2022</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5818" w:type="dxa"/>
            <w:tcBorders/>
            <w:vAlign w:val="center"/>
          </w:tcPr>
          <w:p>
            <w:pPr>
              <w:pStyle w:val="TableContents"/>
              <w:bidi w:val="0"/>
              <w:spacing w:before="0" w:after="0"/>
              <w:ind w:left="0" w:right="0" w:hanging="0"/>
              <w:jc w:val="left"/>
              <w:rPr/>
            </w:pPr>
            <w:hyperlink w:anchor="olma-20230630xex31d1.htm">
              <w:r>
                <w:rPr>
                  <w:rStyle w:val="InternetLink"/>
                  <w:rFonts w:ascii="Arial;Helvetica;sans-serif" w:hAnsi="Arial;Helvetica;sans-serif"/>
                  <w:b w:val="false"/>
                  <w:i w:val="false"/>
                  <w:caps w:val="false"/>
                  <w:smallCaps w:val="false"/>
                  <w:sz w:val="20"/>
                </w:rPr>
                <w:t>Certification of Chief Executive Officer Pursuant to Rules 13a-14(a) and 15d-14(a) under the Securities Exchange Act of 1934, as Adopted Pursuant to Section 302 of the Sarbanes-Oxley Act of 2002.</w:t>
              </w:r>
            </w:hyperlink>
          </w:p>
        </w:tc>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95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806" w:type="dxa"/>
            <w:tcBorders/>
            <w:vAlign w:val="center"/>
          </w:tcPr>
          <w:p>
            <w:pPr>
              <w:pStyle w:val="TableContents"/>
              <w:bidi w:val="0"/>
              <w:spacing w:before="0" w:after="283"/>
              <w:ind w:left="0" w:right="0" w:hanging="0"/>
              <w:jc w:val="left"/>
              <w:rPr>
                <w:sz w:val="4"/>
                <w:szCs w:val="4"/>
              </w:rPr>
            </w:pPr>
            <w:r>
              <w:rPr>
                <w:sz w:val="4"/>
                <w:szCs w:val="4"/>
              </w:rPr>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5818" w:type="dxa"/>
            <w:tcBorders/>
            <w:vAlign w:val="center"/>
          </w:tcPr>
          <w:p>
            <w:pPr>
              <w:pStyle w:val="TableContents"/>
              <w:bidi w:val="0"/>
              <w:spacing w:before="0" w:after="0"/>
              <w:ind w:left="0" w:right="0" w:hanging="0"/>
              <w:jc w:val="left"/>
              <w:rPr/>
            </w:pPr>
            <w:hyperlink w:anchor="olma-20230630xex31d2.htm">
              <w:r>
                <w:rPr>
                  <w:rStyle w:val="InternetLink"/>
                  <w:rFonts w:ascii="Arial;Helvetica;sans-serif" w:hAnsi="Arial;Helvetica;sans-serif"/>
                  <w:b w:val="false"/>
                  <w:i w:val="false"/>
                  <w:caps w:val="false"/>
                  <w:smallCaps w:val="false"/>
                  <w:sz w:val="20"/>
                </w:rPr>
                <w:t>Certification of Chief Financial Officer Pursuant to Rules 13a-14(a) and 15d-14(a) under the Securities Exchange Act of 1934, as Adopted Pursuant to Section 302 of the Sarbanes-Oxley Act of 2002.</w:t>
              </w:r>
            </w:hyperlink>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5818" w:type="dxa"/>
            <w:tcBorders/>
            <w:vAlign w:val="center"/>
          </w:tcPr>
          <w:p>
            <w:pPr>
              <w:pStyle w:val="TableContents"/>
              <w:bidi w:val="0"/>
              <w:spacing w:before="0" w:after="0"/>
              <w:ind w:left="0" w:right="0" w:hanging="0"/>
              <w:jc w:val="left"/>
              <w:rPr/>
            </w:pPr>
            <w:hyperlink w:anchor="olma-20230630xex32d1.htm">
              <w:r>
                <w:rPr>
                  <w:rStyle w:val="InternetLink"/>
                  <w:rFonts w:ascii="Arial;Helvetica;sans-serif" w:hAnsi="Arial;Helvetica;san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95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806" w:type="dxa"/>
            <w:tcBorders/>
            <w:vAlign w:val="center"/>
          </w:tcPr>
          <w:p>
            <w:pPr>
              <w:pStyle w:val="TableContents"/>
              <w:bidi w:val="0"/>
              <w:spacing w:before="0" w:after="283"/>
              <w:ind w:left="0" w:right="0" w:hanging="0"/>
              <w:jc w:val="left"/>
              <w:rPr>
                <w:sz w:val="4"/>
                <w:szCs w:val="4"/>
              </w:rPr>
            </w:pPr>
            <w:r>
              <w:rPr>
                <w:sz w:val="4"/>
                <w:szCs w:val="4"/>
              </w:rPr>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Instance Document – the instance document does not appear in the Interactive Data File because its XBRL tags are embedded within the Inline XBRL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Schema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Calculation Linkbase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Definition Linkbase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Label Linkbase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Presentation Linkbase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 The cover page interactive data file does not appear in the Interactive Data File because its XBRL tags are embedded within the Inline XBRL document</w:t>
            </w:r>
          </w:p>
        </w:tc>
        <w:tc>
          <w:tcPr>
            <w:tcW w:w="97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14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9979"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tc>
      </w:tr>
    </w:tbl>
    <w:p>
      <w:pPr>
        <w:pStyle w:val="TextBody"/>
        <w:pBdr/>
        <w:bidi w:val="0"/>
        <w:spacing w:before="0" w:after="0"/>
        <w:ind w:left="0" w:right="0" w:hanging="45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231" w:name="_da188ecc_d735_43c7_88ed_efdd56cf59b0"/>
      <w:bookmarkEnd w:id="1231"/>
      <w:r>
        <w:rPr>
          <w:rFonts w:ascii="Arial;Helvetica;sans-serif" w:hAnsi="Arial;Helvetica;sans-serif"/>
          <w:b/>
          <w:sz w:val="20"/>
        </w:rPr>
        <w:t>SIGNATURES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as amended, the registrant has duly caused this report to be signed on its behalf by the undersigned thereunto duly authorized.</w:t>
      </w:r>
    </w:p>
    <w:tbl>
      <w:tblPr>
        <w:tblW w:w="7743" w:type="dxa"/>
        <w:jc w:val="left"/>
        <w:tblInd w:w="0" w:type="dxa"/>
        <w:tblLayout w:type="fixed"/>
        <w:tblCellMar>
          <w:top w:w="0" w:type="dxa"/>
          <w:left w:w="0" w:type="dxa"/>
          <w:bottom w:w="0" w:type="dxa"/>
          <w:right w:w="0" w:type="dxa"/>
        </w:tblCellMar>
      </w:tblPr>
      <w:tblGrid>
        <w:gridCol w:w="1966"/>
        <w:gridCol w:w="406"/>
        <w:gridCol w:w="537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8410" cy="29210"/>
                      <wp:effectExtent l="0" t="0" r="0" b="0"/>
                      <wp:wrapNone/>
                      <wp:docPr id="235" name="Frame235"/>
                      <a:graphic xmlns:a="http://schemas.openxmlformats.org/drawingml/2006/main">
                        <a:graphicData uri="http://schemas.microsoft.com/office/word/2010/wordprocessingShape">
                          <wps:wsp>
                            <wps:cNvSpPr txBox="1"/>
                            <wps:spPr>
                              <a:xfrm>
                                <a:off x="0" y="0"/>
                                <a:ext cx="1248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7810" cy="29210"/>
                      <wp:effectExtent l="0" t="0" r="0" b="0"/>
                      <wp:wrapNone/>
                      <wp:docPr id="236" name="Frame23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410585" cy="29210"/>
                      <wp:effectExtent l="0" t="0" r="0" b="0"/>
                      <wp:wrapNone/>
                      <wp:docPr id="237" name="Frame237"/>
                      <a:graphic xmlns:a="http://schemas.openxmlformats.org/drawingml/2006/main">
                        <a:graphicData uri="http://schemas.microsoft.com/office/word/2010/wordprocessingShape">
                          <wps:wsp>
                            <wps:cNvSpPr txBox="1"/>
                            <wps:spPr>
                              <a:xfrm>
                                <a:off x="0" y="0"/>
                                <a:ext cx="3410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577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Olema Pharmaceuticals, Inc.</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8, 2023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Sean Bohen, M.D., Ph.D.</w:t>
            </w:r>
          </w:p>
        </w:tc>
      </w:tr>
      <w:tr>
        <w:trPr/>
        <w:tc>
          <w:tcPr>
            <w:tcW w:w="19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Sean Bohen, M.D., Ph.D.</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President and Chief Executive Officer</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Executive Officer</w:t>
            </w:r>
            <w:r>
              <w:rPr>
                <w:rFonts w:ascii="Arial;Helvetica;sans-serif" w:hAnsi="Arial;Helvetica;sans-serif"/>
                <w:sz w:val="20"/>
              </w:rPr>
              <w:t>)</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577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Olema Pharmaceuticals, Inc.</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8, 2023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Shane Kovacs</w:t>
            </w:r>
          </w:p>
        </w:tc>
      </w:tr>
      <w:tr>
        <w:trPr/>
        <w:tc>
          <w:tcPr>
            <w:tcW w:w="19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Shane Kovacs</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Chief Operating and Financial Officer</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Financial Officer and Principal Accounting Officer</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102</w:t>
      </w:r>
    </w:p>
    <w:p>
      <w:pPr>
        <w:pStyle w:val="TextBody"/>
        <w:bidi w:val="0"/>
        <w:spacing w:before="0" w:after="240"/>
        <w:ind w:left="0" w:right="0" w:hanging="0"/>
        <w:jc w:val="right"/>
        <w:rPr>
          <w:rFonts w:ascii="Times New Roman;Times;serif" w:hAnsi="Times New Roman;Times;serif"/>
          <w:b/>
          <w:sz w:val="20"/>
        </w:rPr>
      </w:pPr>
      <w:bookmarkStart w:id="1232" w:name="olma-20230630xex31d1.htm"/>
      <w:bookmarkStart w:id="1233" w:name="ksolma20230630xex31d1"/>
      <w:bookmarkEnd w:id="1232"/>
      <w:bookmarkEnd w:id="1233"/>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Sean Bohen, certify that:</w:t>
      </w:r>
    </w:p>
    <w:tbl>
      <w:tblPr>
        <w:tblW w:w="6985" w:type="dxa"/>
        <w:jc w:val="left"/>
        <w:tblInd w:w="0" w:type="dxa"/>
        <w:tblLayout w:type="fixed"/>
        <w:tblCellMar>
          <w:top w:w="0" w:type="dxa"/>
          <w:left w:w="0" w:type="dxa"/>
          <w:bottom w:w="0" w:type="dxa"/>
          <w:right w:w="0" w:type="dxa"/>
        </w:tblCellMar>
      </w:tblPr>
      <w:tblGrid>
        <w:gridCol w:w="170"/>
        <w:gridCol w:w="681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Olema Pharmaceuticals,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463" w:type="dxa"/>
        <w:jc w:val="center"/>
        <w:tblInd w:w="0" w:type="dxa"/>
        <w:tblLayout w:type="fixed"/>
        <w:tblCellMar>
          <w:top w:w="0" w:type="dxa"/>
          <w:left w:w="0" w:type="dxa"/>
          <w:bottom w:w="0" w:type="dxa"/>
          <w:right w:w="0" w:type="dxa"/>
        </w:tblCellMar>
      </w:tblPr>
      <w:tblGrid>
        <w:gridCol w:w="1846"/>
        <w:gridCol w:w="406"/>
        <w:gridCol w:w="321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Bohen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Bohen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34" w:name="olma-20230630xex31d2.htm"/>
      <w:bookmarkStart w:id="1235" w:name="ksolma20230630xex31d2"/>
      <w:bookmarkEnd w:id="1234"/>
      <w:bookmarkEnd w:id="1235"/>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Shane Kovacs, certify that:</w:t>
      </w:r>
    </w:p>
    <w:tbl>
      <w:tblPr>
        <w:tblW w:w="6985" w:type="dxa"/>
        <w:jc w:val="left"/>
        <w:tblInd w:w="0" w:type="dxa"/>
        <w:tblLayout w:type="fixed"/>
        <w:tblCellMar>
          <w:top w:w="0" w:type="dxa"/>
          <w:left w:w="0" w:type="dxa"/>
          <w:bottom w:w="0" w:type="dxa"/>
          <w:right w:w="0" w:type="dxa"/>
        </w:tblCellMar>
      </w:tblPr>
      <w:tblGrid>
        <w:gridCol w:w="170"/>
        <w:gridCol w:w="681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Olema Pharmaceuticals,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0" w:right="0" w:hanging="0"/>
        <w:jc w:val="left"/>
        <w:rPr/>
      </w:pPr>
      <w:r>
        <w:rPr/>
        <w:t>​</w:t>
      </w:r>
    </w:p>
    <w:tbl>
      <w:tblPr>
        <w:tblW w:w="6123" w:type="dxa"/>
        <w:jc w:val="center"/>
        <w:tblInd w:w="0" w:type="dxa"/>
        <w:tblLayout w:type="fixed"/>
        <w:tblCellMar>
          <w:top w:w="0" w:type="dxa"/>
          <w:left w:w="0" w:type="dxa"/>
          <w:bottom w:w="0" w:type="dxa"/>
          <w:right w:w="0" w:type="dxa"/>
        </w:tblCellMar>
      </w:tblPr>
      <w:tblGrid>
        <w:gridCol w:w="1846"/>
        <w:gridCol w:w="406"/>
        <w:gridCol w:w="387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Shane Kovacs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Shane Kovacs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and Financial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36" w:name="olma-20230630xex32d1.htm"/>
      <w:bookmarkStart w:id="1237" w:name="ksolma20230630xex32d1"/>
      <w:bookmarkEnd w:id="1236"/>
      <w:bookmarkEnd w:id="123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Quarterly Report on Form 10-Q for the period ended June 30, 2023, to which this Certification is attached as Exhibit 32.1 (the “Periodic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463" w:type="dxa"/>
        <w:jc w:val="center"/>
        <w:tblInd w:w="0" w:type="dxa"/>
        <w:tblLayout w:type="fixed"/>
        <w:tblCellMar>
          <w:top w:w="0" w:type="dxa"/>
          <w:left w:w="0" w:type="dxa"/>
          <w:bottom w:w="0" w:type="dxa"/>
          <w:right w:w="0" w:type="dxa"/>
        </w:tblCellMar>
      </w:tblPr>
      <w:tblGrid>
        <w:gridCol w:w="1846"/>
        <w:gridCol w:w="406"/>
        <w:gridCol w:w="321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Bohen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Bohen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Shane Kovacs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Shane Kovacs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62046</Words>
  <Characters>350913</Characters>
  <CharactersWithSpaces>412782</CharactersWithSpaces>
  <Paragraphs>4836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